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9.7 -->
  <w:body>
    <w:p w:rsidR="00FF267A" w:rsidRPr="0026008C" w:rsidP="00A560E4" w14:paraId="44B86D5B" w14:textId="1C37B80A">
      <w:pPr>
        <w:pStyle w:val="Heading1"/>
        <w:pageBreakBefore/>
        <w:sectPr w:rsidSect="00B93CC2">
          <w:headerReference w:type="even" r:id="rId5"/>
          <w:headerReference w:type="default" r:id="rId6"/>
          <w:footerReference w:type="even" r:id="rId7"/>
          <w:footerReference w:type="default" r:id="rId8"/>
          <w:headerReference w:type="first" r:id="rId9"/>
          <w:footerReference w:type="first" r:id="rId10"/>
          <w:type w:val="continuous"/>
          <w:pgSz w:w="16838" w:h="11906" w:orient="landscape"/>
          <w:pgMar w:top="1814" w:right="737" w:bottom="1247" w:left="737" w:header="720" w:footer="720" w:gutter="0"/>
          <w:pgBorders w:zOrder="front" w:display="allPages" w:offsetFrom="text">
            <w:top w:val="nil"/>
            <w:left w:val="nil"/>
            <w:bottom w:val="nil"/>
            <w:right w:val="nil"/>
          </w:pgBorders>
          <w:cols w:space="720"/>
          <w:vAlign w:val="top"/>
          <w:titlePg w:val="0"/>
          <w:rtlGutter w:val="0"/>
          <w:docGrid w:linePitch="360"/>
        </w:sectPr>
      </w:pPr>
      <w:bookmarkStart w:id="0" w:name="RG_MARKER_7267"/>
      <w:bookmarkStart w:id="1" w:name="RG_MARKER_7266"/>
      <w:r w:rsidRPr="00E12521">
        <w:t>HA</w:t>
      </w:r>
      <w:bookmarkEnd w:id="1"/>
      <w:bookmarkEnd w:id="0"/>
      <w:r w:rsidRPr="00E12521">
        <w:rPr>
          <w:rStyle w:val="IntenseQuoteChar"/>
          <w:b/>
          <w:bCs/>
        </w:rPr>
        <w:t>LLI</w:t>
      </w:r>
      <w:r w:rsidRPr="00E12521">
        <w:t>TUKSEN TOIMINTAKERTOMUS</w:t>
      </w:r>
    </w:p>
    <w:p w:rsidR="00F45DB3" w:rsidRPr="007573B9" w:rsidP="00F05B44" w14:paraId="44B86D5C" w14:textId="77777777">
      <w:pPr>
        <w:pStyle w:val="Heading2"/>
      </w:pPr>
      <w:r w:rsidRPr="007573B9">
        <w:t xml:space="preserve">LIIKETOIMINTAMALLI </w:t>
      </w:r>
    </w:p>
    <w:p w:rsidR="00B212F3" w:rsidRPr="00975C6C" w:rsidP="00B212F3" w14:paraId="06C73DED" w14:textId="1A5B7C64">
      <w:pPr>
        <w:pStyle w:val="WNormal"/>
        <w:rPr>
          <w:sz w:val="16"/>
        </w:rPr>
      </w:pPr>
      <w:r w:rsidRPr="00975C6C">
        <w:rPr>
          <w:sz w:val="16"/>
        </w:rPr>
        <w:t xml:space="preserve">Wärtsilä toimittaa merenkulku- ja </w:t>
      </w:r>
      <w:r w:rsidRPr="00975C6C">
        <w:rPr>
          <w:sz w:val="16"/>
        </w:rPr>
        <w:t>energiamarkkinoille innovatiivisia teknologioita ja elinkaariratkaisuja. Energiateollisuudessa Wärtsilä tarjoaa voimajärjestelmien optimointiin muun muassa tulevaisuuden polttoaineilla toimivia säätövoimaratkaisuja, hybridiratkaisuja sekä energian hallinta</w:t>
      </w:r>
      <w:r w:rsidRPr="00975C6C">
        <w:rPr>
          <w:sz w:val="16"/>
        </w:rPr>
        <w:t xml:space="preserve">- ja varastointijärjestelmiä joko yksittäisasennuksina tai kokonaisratkaisuina. Merenkulkualan tarjonta käsittää voimantuotanto- ja propulsiojärjestelmät, liikennöintiratkaisut, pakokaasujen käsittelysovellukset sekä kaasu- ja akselistoratkaisut. Wärtsilä </w:t>
      </w:r>
      <w:r>
        <w:rPr>
          <w:sz w:val="16"/>
        </w:rPr>
        <w:t>kykenee</w:t>
      </w:r>
      <w:r w:rsidRPr="00975C6C">
        <w:rPr>
          <w:sz w:val="16"/>
        </w:rPr>
        <w:t xml:space="preserve"> yhdistämään merenkulkualan tuotteensa suuremmiksi integroiduiksi järjestelmiksi ja ratkaisuiksi. Wärtsilän palveluvalikoima kattaa kaiken varaosista ja teknisistä asiantuntijapalveluista suorituskykyperusteisiin sopimuksiin, jotka varmistavat laitos</w:t>
      </w:r>
      <w:r w:rsidRPr="00975C6C">
        <w:rPr>
          <w:sz w:val="16"/>
        </w:rPr>
        <w:t xml:space="preserve">ten maksimaalisen elinkaaren sekä paremman hyötysuhteen ja suorituskyvyn. Yhtiö pyrkii maksimoimaan asiakkaidensa ympäristösuorituskyvyn ja taloudellisen tuloksen keskittymällä kestävän kehityksen mukaisiin innovaatioihin teknologioissa ja palveluissa. </w:t>
      </w:r>
    </w:p>
    <w:p w:rsidR="003B2B33" w:rsidRPr="00975C6C" w:rsidP="00B212F3" w14:paraId="6A27CA75" w14:textId="3EAD58F0">
      <w:pPr>
        <w:pStyle w:val="WNormal"/>
        <w:rPr>
          <w:sz w:val="16"/>
        </w:rPr>
      </w:pPr>
      <w:r w:rsidRPr="00975C6C">
        <w:rPr>
          <w:sz w:val="16"/>
        </w:rPr>
        <w:t>Wä</w:t>
      </w:r>
      <w:r w:rsidRPr="00975C6C">
        <w:rPr>
          <w:sz w:val="16"/>
        </w:rPr>
        <w:t xml:space="preserve">rtsilän </w:t>
      </w:r>
      <w:r w:rsidRPr="00B60441">
        <w:rPr>
          <w:color w:val="auto"/>
          <w:sz w:val="16"/>
        </w:rPr>
        <w:t xml:space="preserve">yli 200 toimipistettä 68 maassa </w:t>
      </w:r>
      <w:r w:rsidRPr="00975C6C">
        <w:rPr>
          <w:sz w:val="16"/>
        </w:rPr>
        <w:t>käsittävä myynti- ja palveluverkosto tarjoaa paikallisen tuen koko maailmanlaajuiselle asiakaskunnalle. Wärtsilä toimii ensisijaisesti tytäryhtiöiden ja strategisten yhteisyritysten kautta. Yhtiön tuotantomalli perus</w:t>
      </w:r>
      <w:r w:rsidRPr="00975C6C">
        <w:rPr>
          <w:sz w:val="16"/>
        </w:rPr>
        <w:t xml:space="preserve">tuu kokoonpanoon, joten pitkäjänteiset suhteet maailmanlaajuiseen </w:t>
      </w:r>
      <w:r w:rsidRPr="00B60441">
        <w:rPr>
          <w:color w:val="auto"/>
          <w:sz w:val="16"/>
        </w:rPr>
        <w:t xml:space="preserve">toimittajaverkostoon ovat erittäin tärkeitä. Wärtsilällä on noin </w:t>
      </w:r>
      <w:r>
        <w:rPr>
          <w:color w:val="auto"/>
          <w:sz w:val="16"/>
        </w:rPr>
        <w:br/>
      </w:r>
      <w:r w:rsidRPr="00B60441">
        <w:rPr>
          <w:color w:val="auto"/>
          <w:sz w:val="16"/>
        </w:rPr>
        <w:t xml:space="preserve">1 200 suoraa </w:t>
      </w:r>
      <w:r w:rsidRPr="00975C6C">
        <w:rPr>
          <w:sz w:val="16"/>
        </w:rPr>
        <w:t xml:space="preserve">maailmanlaajuista </w:t>
      </w:r>
      <w:r>
        <w:rPr>
          <w:sz w:val="16"/>
        </w:rPr>
        <w:t>materiaali</w:t>
      </w:r>
      <w:r w:rsidRPr="00975C6C">
        <w:rPr>
          <w:sz w:val="16"/>
        </w:rPr>
        <w:t xml:space="preserve">toimittajaa. Wärtsilän henkilöstöön kuuluu </w:t>
      </w:r>
      <w:r w:rsidRPr="00B60441">
        <w:rPr>
          <w:color w:val="auto"/>
          <w:sz w:val="16"/>
        </w:rPr>
        <w:t>noin 17 000 työntekijää, jotka edustavat</w:t>
      </w:r>
      <w:r w:rsidRPr="00B60441">
        <w:rPr>
          <w:color w:val="auto"/>
          <w:sz w:val="16"/>
        </w:rPr>
        <w:t xml:space="preserve"> 130 </w:t>
      </w:r>
      <w:r w:rsidRPr="00975C6C">
        <w:rPr>
          <w:sz w:val="16"/>
        </w:rPr>
        <w:t>kansallisuutta. Rekrytoimalla ja pitämällä yhtiössä parhaat mahdolliset osaajat Wärtsilällä on edellytykset olla ensisijainen yhteistyökumppani asiakkaille sekä kiinnostava työnantaja nykyisille ja uusille työntekijöille. Wärtsilä on sitoutunut harjoi</w:t>
      </w:r>
      <w:r w:rsidRPr="00975C6C">
        <w:rPr>
          <w:sz w:val="16"/>
        </w:rPr>
        <w:t>ttamaan liiketoimintaansa vastuullisesti ja odottaa toimittajiensa ja liikekumppaneidensa noudattavan yhtä korkeita juridisia ja eettisiä normeja ja toimintatapoja.</w:t>
      </w:r>
    </w:p>
    <w:p>
      <w:r>
        <w:br/>
      </w:r>
    </w:p>
    <w:p w:rsidR="00C612D3" w:rsidRPr="00494B8A" w:rsidP="00CA2C7E">
      <w:pPr>
        <w:pStyle w:val="WHeading20"/>
      </w:pPr>
      <w:bookmarkStart w:id="2" w:name="RG_MARKER_7268"/>
      <w:r w:rsidRPr="00494B8A">
        <w:t xml:space="preserve">STRATEGIA </w:t>
      </w:r>
      <w:bookmarkEnd w:id="2"/>
    </w:p>
    <w:p w:rsidR="006C4727" w:rsidRPr="00E248E2" w:rsidP="007D3EB3">
      <w:pPr>
        <w:pStyle w:val="WHeadingException1"/>
      </w:pPr>
      <w:r w:rsidRPr="00E248E2">
        <w:t xml:space="preserve">Strategian toteutus vuonna </w:t>
      </w:r>
      <w:r w:rsidRPr="00E248E2" w:rsidR="004F1014">
        <w:t>2021</w:t>
      </w:r>
    </w:p>
    <w:p w:rsidR="004F1014" w:rsidRPr="004A49BC" w:rsidP="0077128F">
      <w:pPr>
        <w:pStyle w:val="WNormal"/>
        <w:spacing w:after="160"/>
        <w:rPr>
          <w:sz w:val="16"/>
          <w:szCs w:val="16"/>
        </w:rPr>
      </w:pPr>
      <w:r w:rsidRPr="004A49BC">
        <w:rPr>
          <w:sz w:val="16"/>
          <w:szCs w:val="16"/>
        </w:rPr>
        <w:t>Vuonna 2021 Wärtsilän kehityksessä käynnistettiin uusi vaihe</w:t>
      </w:r>
      <w:r w:rsidR="00DB6F9D">
        <w:rPr>
          <w:sz w:val="16"/>
          <w:szCs w:val="16"/>
        </w:rPr>
        <w:t>. Y</w:t>
      </w:r>
      <w:r w:rsidRPr="004A49BC">
        <w:rPr>
          <w:sz w:val="16"/>
          <w:szCs w:val="16"/>
        </w:rPr>
        <w:t xml:space="preserve">htiön arvonluontipotentiaali pohjautuu jatkossa kahteen strategiseen teemaan: Muutos ja Suorituskyky. Muutos viittaa </w:t>
      </w:r>
      <w:r w:rsidRPr="004A49BC">
        <w:rPr>
          <w:sz w:val="16"/>
          <w:szCs w:val="16"/>
        </w:rPr>
        <w:t>hiilineutraaliuden synnyttämiin uusiin liiketoimintamahdollisuuksiin, jotka perustuvat sähköntuotannon, säätövoiman ja vihreän merenkulun kasvuun. Suorituskyvyn keskiössä on markkinoiden elpymisen ja kasvun hyödyntäminen, jota tukevat vahva strategian tote</w:t>
      </w:r>
      <w:r w:rsidRPr="004A49BC">
        <w:rPr>
          <w:sz w:val="16"/>
          <w:szCs w:val="16"/>
        </w:rPr>
        <w:t>utus</w:t>
      </w:r>
      <w:r>
        <w:rPr>
          <w:sz w:val="16"/>
          <w:szCs w:val="16"/>
        </w:rPr>
        <w:t>, jatkuva parantaminen</w:t>
      </w:r>
      <w:r w:rsidRPr="004A49BC">
        <w:rPr>
          <w:sz w:val="16"/>
          <w:szCs w:val="16"/>
        </w:rPr>
        <w:t xml:space="preserve"> ja yhtiön sitoutuminen sekä taloudellisiin että kestävän kehityksen tavoitteisiin. Wärtsilän päämäärä kehittää kestävää yhteiskuntaa teknologia- ja palveluinnovaatioiden avulla on vahvasti kytköksissä Muutos- ja Suorituskyky-teem</w:t>
      </w:r>
      <w:r w:rsidRPr="004A49BC">
        <w:rPr>
          <w:sz w:val="16"/>
          <w:szCs w:val="16"/>
        </w:rPr>
        <w:t xml:space="preserve">oihin. Yhtiön viisi strategista painopistealuetta </w:t>
      </w:r>
      <w:r w:rsidR="00DB6F9D">
        <w:rPr>
          <w:sz w:val="16"/>
          <w:szCs w:val="16"/>
        </w:rPr>
        <w:t>keskittyvät</w:t>
      </w:r>
      <w:r w:rsidRPr="004A49BC">
        <w:rPr>
          <w:sz w:val="16"/>
          <w:szCs w:val="16"/>
        </w:rPr>
        <w:t xml:space="preserve"> asiakasarvo</w:t>
      </w:r>
      <w:r w:rsidR="00DB6F9D">
        <w:rPr>
          <w:sz w:val="16"/>
          <w:szCs w:val="16"/>
        </w:rPr>
        <w:t>on</w:t>
      </w:r>
      <w:r w:rsidRPr="004A49BC">
        <w:rPr>
          <w:sz w:val="16"/>
          <w:szCs w:val="16"/>
        </w:rPr>
        <w:t>, suorituskykyisi</w:t>
      </w:r>
      <w:r w:rsidR="00DB6F9D">
        <w:rPr>
          <w:sz w:val="16"/>
          <w:szCs w:val="16"/>
        </w:rPr>
        <w:t>in</w:t>
      </w:r>
      <w:r w:rsidRPr="004A49BC">
        <w:rPr>
          <w:sz w:val="16"/>
          <w:szCs w:val="16"/>
        </w:rPr>
        <w:t xml:space="preserve"> tiime</w:t>
      </w:r>
      <w:r w:rsidR="00DB6F9D">
        <w:rPr>
          <w:sz w:val="16"/>
          <w:szCs w:val="16"/>
        </w:rPr>
        <w:t>ihin</w:t>
      </w:r>
      <w:r w:rsidRPr="004A49BC">
        <w:rPr>
          <w:sz w:val="16"/>
          <w:szCs w:val="16"/>
        </w:rPr>
        <w:t>, hiilineutraaliut</w:t>
      </w:r>
      <w:r w:rsidR="00DB6F9D">
        <w:rPr>
          <w:sz w:val="16"/>
          <w:szCs w:val="16"/>
        </w:rPr>
        <w:t>een</w:t>
      </w:r>
      <w:r w:rsidRPr="004A49BC">
        <w:rPr>
          <w:sz w:val="16"/>
          <w:szCs w:val="16"/>
        </w:rPr>
        <w:t>, palveluiden kasvu</w:t>
      </w:r>
      <w:r w:rsidR="00DB6F9D">
        <w:rPr>
          <w:sz w:val="16"/>
          <w:szCs w:val="16"/>
        </w:rPr>
        <w:t>un</w:t>
      </w:r>
      <w:r w:rsidRPr="004A49BC">
        <w:rPr>
          <w:sz w:val="16"/>
          <w:szCs w:val="16"/>
        </w:rPr>
        <w:t xml:space="preserve"> ja jatkuvaa</w:t>
      </w:r>
      <w:r w:rsidR="00DB6F9D">
        <w:rPr>
          <w:sz w:val="16"/>
          <w:szCs w:val="16"/>
        </w:rPr>
        <w:t>n</w:t>
      </w:r>
      <w:r w:rsidRPr="004A49BC">
        <w:rPr>
          <w:sz w:val="16"/>
          <w:szCs w:val="16"/>
        </w:rPr>
        <w:t xml:space="preserve"> parantamis</w:t>
      </w:r>
      <w:r w:rsidR="00DB6F9D">
        <w:rPr>
          <w:sz w:val="16"/>
          <w:szCs w:val="16"/>
        </w:rPr>
        <w:t>een</w:t>
      </w:r>
      <w:r w:rsidRPr="004A49BC">
        <w:rPr>
          <w:sz w:val="16"/>
          <w:szCs w:val="16"/>
        </w:rPr>
        <w:t>.</w:t>
      </w:r>
    </w:p>
    <w:p w:rsidR="004F1014" w:rsidRPr="004A49BC" w:rsidP="0077128F">
      <w:pPr>
        <w:pStyle w:val="WNormal"/>
        <w:spacing w:after="160"/>
        <w:rPr>
          <w:sz w:val="16"/>
          <w:szCs w:val="16"/>
        </w:rPr>
      </w:pPr>
      <w:r w:rsidRPr="004A49BC">
        <w:rPr>
          <w:sz w:val="16"/>
          <w:szCs w:val="16"/>
        </w:rPr>
        <w:t xml:space="preserve">Liiketoimintaan kohdistuneista koronavirukseen liittyvistä häiriöistä huolimatta </w:t>
      </w:r>
      <w:r w:rsidRPr="004A49BC">
        <w:rPr>
          <w:sz w:val="16"/>
          <w:szCs w:val="16"/>
        </w:rPr>
        <w:t>Wärtsilän sitoutuminen tutkimus- ja kehitystoimintaan pysyy muuttumattomana. Vuonna 2021 otettiin uusia edistysaskeleita moottoriteknologian kestävyyden varmistamise</w:t>
      </w:r>
      <w:r w:rsidR="00DB6F9D">
        <w:rPr>
          <w:sz w:val="16"/>
          <w:szCs w:val="16"/>
        </w:rPr>
        <w:t>ksi</w:t>
      </w:r>
      <w:r w:rsidRPr="004A49BC">
        <w:rPr>
          <w:sz w:val="16"/>
          <w:szCs w:val="16"/>
        </w:rPr>
        <w:t xml:space="preserve"> pitkälle tulevaisuuteen maailmanlaajuisen hiilineutraaleihin energia- ja merenkulkumark</w:t>
      </w:r>
      <w:r w:rsidRPr="004A49BC">
        <w:rPr>
          <w:sz w:val="16"/>
          <w:szCs w:val="16"/>
        </w:rPr>
        <w:t>kinoihin tähtäävän suuntauksen mukaisesti, kun Wärtsilä käynnisti laajan testiohjelman kohti vedyllä ja ammoniakilla toimivia hiilettömiä ratkaisuja. Wärtsilä odottaa saavansa</w:t>
      </w:r>
      <w:r w:rsidRPr="00DB6F9D" w:rsidR="00DB6F9D">
        <w:rPr>
          <w:sz w:val="16"/>
          <w:szCs w:val="16"/>
        </w:rPr>
        <w:t xml:space="preserve"> </w:t>
      </w:r>
      <w:r w:rsidRPr="004A49BC" w:rsidR="00DB6F9D">
        <w:rPr>
          <w:sz w:val="16"/>
          <w:szCs w:val="16"/>
        </w:rPr>
        <w:t>valmiiksi</w:t>
      </w:r>
      <w:r w:rsidRPr="004A49BC">
        <w:rPr>
          <w:sz w:val="16"/>
          <w:szCs w:val="16"/>
        </w:rPr>
        <w:t xml:space="preserve"> puhtaalla ammoniak</w:t>
      </w:r>
      <w:r w:rsidR="00DB6F9D">
        <w:rPr>
          <w:sz w:val="16"/>
          <w:szCs w:val="16"/>
        </w:rPr>
        <w:t>i</w:t>
      </w:r>
      <w:r w:rsidRPr="004A49BC">
        <w:rPr>
          <w:sz w:val="16"/>
          <w:szCs w:val="16"/>
        </w:rPr>
        <w:t>lla toimivan moottorikonseptin vuonna 2023 ja puhta</w:t>
      </w:r>
      <w:r w:rsidRPr="004A49BC">
        <w:rPr>
          <w:sz w:val="16"/>
          <w:szCs w:val="16"/>
        </w:rPr>
        <w:t>alla vedyllä toimivan moottorikonseptin vuoteen 2025 mennessä.</w:t>
      </w:r>
    </w:p>
    <w:p w:rsidR="004F1014" w:rsidRPr="004A49BC" w:rsidP="0077128F">
      <w:pPr>
        <w:pStyle w:val="WNormal"/>
        <w:spacing w:after="160"/>
        <w:rPr>
          <w:sz w:val="16"/>
          <w:szCs w:val="16"/>
        </w:rPr>
      </w:pPr>
      <w:r w:rsidRPr="004A49BC">
        <w:rPr>
          <w:sz w:val="16"/>
          <w:szCs w:val="16"/>
        </w:rPr>
        <w:t>Vaikka hiilineutraaliustavoitteeseen liittyy vielä paljon työtä, Wärtsilä tarjoaa jo nyt hiilineutraaliutta tukevia ratkaisuja ja teknologioita, jotka mahdollistavat kokonaan uusiutuviin energi</w:t>
      </w:r>
      <w:r w:rsidRPr="004A49BC">
        <w:rPr>
          <w:sz w:val="16"/>
          <w:szCs w:val="16"/>
        </w:rPr>
        <w:t xml:space="preserve">anlähteisiin perustuvat energiajärjestelmät ja polttoainejoustavuuden. Wärtsilä Energy lanseerasi vuonna 2021 34SG </w:t>
      </w:r>
      <w:r w:rsidRPr="004A49BC">
        <w:rPr>
          <w:sz w:val="16"/>
          <w:szCs w:val="16"/>
        </w:rPr>
        <w:t>Balancer</w:t>
      </w:r>
      <w:r w:rsidRPr="004A49BC">
        <w:rPr>
          <w:sz w:val="16"/>
          <w:szCs w:val="16"/>
        </w:rPr>
        <w:t xml:space="preserve"> -ratkaisun, joka soveltuu optimaalisesti uusiutuvan energiantuotannon markkinoille, ja toimitti ensimmäiset yksiköt uudesta modulaar</w:t>
      </w:r>
      <w:r w:rsidRPr="004A49BC">
        <w:rPr>
          <w:sz w:val="16"/>
          <w:szCs w:val="16"/>
        </w:rPr>
        <w:t xml:space="preserve">isesta </w:t>
      </w:r>
      <w:r w:rsidRPr="004A49BC">
        <w:rPr>
          <w:sz w:val="16"/>
          <w:szCs w:val="16"/>
        </w:rPr>
        <w:t>Quantum</w:t>
      </w:r>
      <w:r w:rsidRPr="004A49BC">
        <w:rPr>
          <w:sz w:val="16"/>
          <w:szCs w:val="16"/>
        </w:rPr>
        <w:t xml:space="preserve">-energianvarastointiratkaisusta. Wärtsilä </w:t>
      </w:r>
      <w:r w:rsidRPr="004A49BC">
        <w:rPr>
          <w:sz w:val="16"/>
          <w:szCs w:val="16"/>
        </w:rPr>
        <w:t>Marine</w:t>
      </w:r>
      <w:r w:rsidRPr="004A49BC">
        <w:rPr>
          <w:sz w:val="16"/>
          <w:szCs w:val="16"/>
        </w:rPr>
        <w:t xml:space="preserve"> Power päivitti suositun 20DF-monipolttoainemoottorin entistä tehokkaammaksi </w:t>
      </w:r>
      <w:r w:rsidRPr="004A49BC">
        <w:rPr>
          <w:sz w:val="16"/>
          <w:szCs w:val="16"/>
        </w:rPr>
        <w:t xml:space="preserve">ja polttoainetaloudellisemmaksi. Samalla palamattoman metaanin osuus laski peräti 40%. Wärtsilä </w:t>
      </w:r>
      <w:r w:rsidRPr="004A49BC">
        <w:rPr>
          <w:sz w:val="16"/>
          <w:szCs w:val="16"/>
        </w:rPr>
        <w:t>Marine</w:t>
      </w:r>
      <w:r w:rsidRPr="004A49BC">
        <w:rPr>
          <w:sz w:val="16"/>
          <w:szCs w:val="16"/>
        </w:rPr>
        <w:t xml:space="preserve"> Systems edistä</w:t>
      </w:r>
      <w:r w:rsidRPr="004A49BC">
        <w:rPr>
          <w:sz w:val="16"/>
          <w:szCs w:val="16"/>
        </w:rPr>
        <w:t xml:space="preserve">ä hiilidioksidin talteenottoa ja varastointia merenkulkusektorilla yhtenä johtavista kumppaneista LINCCS-konsortiossa ja tukee siten merenkulun hiilineutraaliuspyrkimyksiä. Wärtsilä </w:t>
      </w:r>
      <w:r w:rsidRPr="004A49BC">
        <w:rPr>
          <w:sz w:val="16"/>
          <w:szCs w:val="16"/>
        </w:rPr>
        <w:t>Voyage</w:t>
      </w:r>
      <w:r w:rsidRPr="004A49BC">
        <w:rPr>
          <w:sz w:val="16"/>
          <w:szCs w:val="16"/>
        </w:rPr>
        <w:t xml:space="preserve"> käynnisti maailmanlaajuisia kumppanuuksia ja projekteja, jotka tuke</w:t>
      </w:r>
      <w:r w:rsidRPr="004A49BC">
        <w:rPr>
          <w:sz w:val="16"/>
          <w:szCs w:val="16"/>
        </w:rPr>
        <w:t xml:space="preserve">vat alus- ja satamapalvelujen optimointia ja kestävää merenkulkua. Digitaaliset </w:t>
      </w:r>
      <w:r w:rsidRPr="004A49BC">
        <w:rPr>
          <w:sz w:val="16"/>
          <w:szCs w:val="16"/>
        </w:rPr>
        <w:t>Navi</w:t>
      </w:r>
      <w:r w:rsidRPr="004A49BC">
        <w:rPr>
          <w:sz w:val="16"/>
          <w:szCs w:val="16"/>
        </w:rPr>
        <w:t xml:space="preserve">-Port ja </w:t>
      </w:r>
      <w:r w:rsidRPr="004A49BC">
        <w:rPr>
          <w:sz w:val="16"/>
          <w:szCs w:val="16"/>
        </w:rPr>
        <w:t>Field</w:t>
      </w:r>
      <w:r w:rsidRPr="004A49BC">
        <w:rPr>
          <w:sz w:val="16"/>
          <w:szCs w:val="16"/>
        </w:rPr>
        <w:t xml:space="preserve"> </w:t>
      </w:r>
      <w:r w:rsidRPr="004A49BC">
        <w:rPr>
          <w:sz w:val="16"/>
          <w:szCs w:val="16"/>
        </w:rPr>
        <w:t>Operations</w:t>
      </w:r>
      <w:r w:rsidRPr="004A49BC">
        <w:rPr>
          <w:sz w:val="16"/>
          <w:szCs w:val="16"/>
        </w:rPr>
        <w:t xml:space="preserve"> </w:t>
      </w:r>
      <w:r w:rsidRPr="004A49BC">
        <w:rPr>
          <w:sz w:val="16"/>
          <w:szCs w:val="16"/>
        </w:rPr>
        <w:t>Solution</w:t>
      </w:r>
      <w:r w:rsidRPr="004A49BC">
        <w:rPr>
          <w:sz w:val="16"/>
          <w:szCs w:val="16"/>
        </w:rPr>
        <w:t xml:space="preserve"> </w:t>
      </w:r>
      <w:r>
        <w:rPr>
          <w:sz w:val="16"/>
          <w:szCs w:val="16"/>
        </w:rPr>
        <w:br/>
      </w:r>
      <w:r w:rsidRPr="004A49BC">
        <w:rPr>
          <w:sz w:val="16"/>
          <w:szCs w:val="16"/>
        </w:rPr>
        <w:t xml:space="preserve">-järjestelmät auttavat optimoimaan </w:t>
      </w:r>
      <w:r w:rsidR="00DB6F9D">
        <w:rPr>
          <w:sz w:val="16"/>
          <w:szCs w:val="16"/>
        </w:rPr>
        <w:t>laiva</w:t>
      </w:r>
      <w:r w:rsidRPr="004A49BC">
        <w:rPr>
          <w:sz w:val="16"/>
          <w:szCs w:val="16"/>
        </w:rPr>
        <w:t xml:space="preserve">matkan siten, että </w:t>
      </w:r>
      <w:r w:rsidR="00DB6F9D">
        <w:rPr>
          <w:sz w:val="16"/>
          <w:szCs w:val="16"/>
        </w:rPr>
        <w:t>alus</w:t>
      </w:r>
      <w:r w:rsidRPr="004A49BC">
        <w:rPr>
          <w:sz w:val="16"/>
          <w:szCs w:val="16"/>
        </w:rPr>
        <w:t xml:space="preserve"> saapu</w:t>
      </w:r>
      <w:r w:rsidR="00DB6F9D">
        <w:rPr>
          <w:sz w:val="16"/>
          <w:szCs w:val="16"/>
        </w:rPr>
        <w:t>u</w:t>
      </w:r>
      <w:r w:rsidRPr="004A49BC">
        <w:rPr>
          <w:sz w:val="16"/>
          <w:szCs w:val="16"/>
        </w:rPr>
        <w:t xml:space="preserve"> satamaan oikea-aikaisesti</w:t>
      </w:r>
      <w:r w:rsidR="00DB6F9D">
        <w:rPr>
          <w:sz w:val="16"/>
          <w:szCs w:val="16"/>
        </w:rPr>
        <w:t>, a</w:t>
      </w:r>
      <w:r w:rsidRPr="004A49BC">
        <w:rPr>
          <w:sz w:val="16"/>
          <w:szCs w:val="16"/>
        </w:rPr>
        <w:t>nkkurointiaika lyhenee ja polttoainee</w:t>
      </w:r>
      <w:r w:rsidRPr="004A49BC">
        <w:rPr>
          <w:sz w:val="16"/>
          <w:szCs w:val="16"/>
        </w:rPr>
        <w:t>n kulutus sekä kasvihuonekaasujen päästöt vähenevät.</w:t>
      </w:r>
    </w:p>
    <w:p w:rsidR="004F1014" w:rsidRPr="004A49BC" w:rsidP="0077128F">
      <w:pPr>
        <w:pStyle w:val="WNormal"/>
        <w:spacing w:after="160"/>
        <w:rPr>
          <w:sz w:val="16"/>
          <w:szCs w:val="16"/>
        </w:rPr>
      </w:pPr>
      <w:r w:rsidRPr="004A49BC">
        <w:rPr>
          <w:sz w:val="16"/>
          <w:szCs w:val="16"/>
        </w:rPr>
        <w:t>Wärtsilälle yhteistyö sidosryhmien kanssa on olennaisen tärkeää kehitettäessä markkinoiden muuttuviin vaatimuksiin vastaavia teknologioita. Yhteishankkeisiin ekosysteemimme kanssa sisältyi hiilineutraali</w:t>
      </w:r>
      <w:r w:rsidRPr="004A49BC">
        <w:rPr>
          <w:sz w:val="16"/>
          <w:szCs w:val="16"/>
        </w:rPr>
        <w:t xml:space="preserve">en polttoaineiden käytön tehostamiseen tähtääviä sopimuksia sekä voimantuotannossa että merenkulussa ja merenkulun eri toimintojen turvallisuuden ja tehokkuuden parantamista. </w:t>
      </w:r>
    </w:p>
    <w:p w:rsidR="004F1014" w:rsidRPr="004A49BC" w:rsidP="0077128F">
      <w:pPr>
        <w:pStyle w:val="WNormal"/>
        <w:spacing w:after="160"/>
        <w:rPr>
          <w:sz w:val="16"/>
          <w:szCs w:val="16"/>
        </w:rPr>
      </w:pPr>
      <w:r w:rsidRPr="004A49BC">
        <w:rPr>
          <w:sz w:val="16"/>
          <w:szCs w:val="16"/>
        </w:rPr>
        <w:t xml:space="preserve">Vuonna 2021 Wärtsilä julkisti sitoumuksensa kunnianhimoisiin </w:t>
      </w:r>
      <w:r w:rsidR="00CD62E5">
        <w:rPr>
          <w:sz w:val="16"/>
          <w:szCs w:val="16"/>
        </w:rPr>
        <w:t>hiilineutraalius</w:t>
      </w:r>
      <w:r w:rsidRPr="004A49BC">
        <w:rPr>
          <w:sz w:val="16"/>
          <w:szCs w:val="16"/>
        </w:rPr>
        <w:t>tav</w:t>
      </w:r>
      <w:r w:rsidRPr="004A49BC">
        <w:rPr>
          <w:sz w:val="16"/>
          <w:szCs w:val="16"/>
        </w:rPr>
        <w:t>oitteisiin. Yhtiön tavoitteena on saavuttaa hiilineutraalius omassa toiminnassaan ja pystyä tarjoamaan hiilettömille polttoaineille valmis tuotevalikoima vuoteen 2030 mennessä. Uudet tavoitteet alleviivaavat Wärtsilän sitoutumista kestävään tulevaisuuteen.</w:t>
      </w:r>
      <w:r w:rsidRPr="004A49BC">
        <w:rPr>
          <w:sz w:val="16"/>
          <w:szCs w:val="16"/>
        </w:rPr>
        <w:t xml:space="preserve"> Yhtiö haluaa tukea asiakkaitaan ja koko merenkulku- ja energiasektoreita niiden matkalla kohti hiilineutraaliutta. Wärtsilän tuotteet ja ratkaisut vastaavat tiukimpi</w:t>
      </w:r>
      <w:r>
        <w:rPr>
          <w:sz w:val="16"/>
          <w:szCs w:val="16"/>
        </w:rPr>
        <w:t>inkin</w:t>
      </w:r>
      <w:r w:rsidRPr="004A49BC">
        <w:rPr>
          <w:sz w:val="16"/>
          <w:szCs w:val="16"/>
        </w:rPr>
        <w:t xml:space="preserve"> ympäristövaatimuksi</w:t>
      </w:r>
      <w:r>
        <w:rPr>
          <w:sz w:val="16"/>
          <w:szCs w:val="16"/>
        </w:rPr>
        <w:t>in</w:t>
      </w:r>
      <w:r w:rsidRPr="004A49BC">
        <w:rPr>
          <w:sz w:val="16"/>
          <w:szCs w:val="16"/>
        </w:rPr>
        <w:t>, ja näillä sektoreilla käytettävien moottoreiden polttoainejou</w:t>
      </w:r>
      <w:r w:rsidRPr="004A49BC">
        <w:rPr>
          <w:sz w:val="16"/>
          <w:szCs w:val="16"/>
        </w:rPr>
        <w:t>stavuus on tärkeä muutoksen mahdollistaja. Luonnollisesti Wärtsilän on tehtävä osansa ja minimoitava oma ympäristöjalanjälkensä.</w:t>
      </w:r>
    </w:p>
    <w:p w:rsidR="004F1014" w:rsidRPr="004F1014" w:rsidP="0077128F">
      <w:pPr>
        <w:pStyle w:val="WNormal"/>
        <w:spacing w:after="160"/>
        <w:rPr>
          <w:b/>
          <w:bCs/>
        </w:rPr>
      </w:pPr>
      <w:r w:rsidRPr="004A49BC">
        <w:rPr>
          <w:sz w:val="16"/>
          <w:szCs w:val="16"/>
        </w:rPr>
        <w:t>Henkilöstön terveys ja turvallisuus on Wärtsilälle aina erittäin tärkeää, mikä korostuu entisestään maailmanlaajuisen koronapan</w:t>
      </w:r>
      <w:r w:rsidRPr="004A49BC">
        <w:rPr>
          <w:sz w:val="16"/>
          <w:szCs w:val="16"/>
        </w:rPr>
        <w:t xml:space="preserve">demian myötä. Wärtsilän monimuotoiseen henkilöstöön kuuluu maailmanlaajuisesti tuhansia ihmisiä, jotka työskentelevät kentällä tai asiakkaiden tiloissa. Globaali kriisitiimi ja maakohtaiset johtoryhmät </w:t>
      </w:r>
      <w:r>
        <w:rPr>
          <w:sz w:val="16"/>
          <w:szCs w:val="16"/>
        </w:rPr>
        <w:t>auttoivat edelleen</w:t>
      </w:r>
      <w:r w:rsidRPr="004A49BC">
        <w:rPr>
          <w:sz w:val="16"/>
          <w:szCs w:val="16"/>
        </w:rPr>
        <w:t xml:space="preserve"> yhtiö</w:t>
      </w:r>
      <w:r>
        <w:rPr>
          <w:sz w:val="16"/>
          <w:szCs w:val="16"/>
        </w:rPr>
        <w:t>tä</w:t>
      </w:r>
      <w:r w:rsidRPr="004A49BC">
        <w:rPr>
          <w:sz w:val="16"/>
          <w:szCs w:val="16"/>
        </w:rPr>
        <w:t xml:space="preserve"> varmistama</w:t>
      </w:r>
      <w:r>
        <w:rPr>
          <w:sz w:val="16"/>
          <w:szCs w:val="16"/>
        </w:rPr>
        <w:t>an</w:t>
      </w:r>
      <w:r w:rsidRPr="004A49BC">
        <w:rPr>
          <w:sz w:val="16"/>
          <w:szCs w:val="16"/>
        </w:rPr>
        <w:t xml:space="preserve">, että </w:t>
      </w:r>
      <w:r w:rsidRPr="004A49BC">
        <w:rPr>
          <w:sz w:val="16"/>
          <w:szCs w:val="16"/>
        </w:rPr>
        <w:t>matkustaminen oli mahdollista siten, että turvallisuus- ja varotoimet tulivat huomioidu</w:t>
      </w:r>
      <w:r>
        <w:rPr>
          <w:sz w:val="16"/>
          <w:szCs w:val="16"/>
        </w:rPr>
        <w:t>i</w:t>
      </w:r>
      <w:r w:rsidRPr="004A49BC">
        <w:rPr>
          <w:sz w:val="16"/>
          <w:szCs w:val="16"/>
        </w:rPr>
        <w:t xml:space="preserve">ksi. Lisäksi Wärtsilä </w:t>
      </w:r>
      <w:r w:rsidRPr="004A49BC">
        <w:rPr>
          <w:sz w:val="16"/>
          <w:szCs w:val="16"/>
        </w:rPr>
        <w:t>perusti globaalin hyvinvointivaliokunnan tavoitteenaan parantaa henkilöstön terveyttä, turvallisuutta ja hyvinvointia tehokkaalla ihmisten johtami</w:t>
      </w:r>
      <w:r w:rsidRPr="004A49BC">
        <w:rPr>
          <w:sz w:val="16"/>
          <w:szCs w:val="16"/>
        </w:rPr>
        <w:t xml:space="preserve">sella, toiminnalla ja hyvinvointilähtöisellä kulttuurilla. Yhtiön tavoitteena on yhä poissaoloon johtavien työtapaturmien nollataso maailmanlaajuisesti. Vuonna 2021 poissaoloon </w:t>
      </w:r>
      <w:r w:rsidRPr="00494B8A">
        <w:rPr>
          <w:color w:val="auto"/>
          <w:sz w:val="16"/>
          <w:szCs w:val="16"/>
        </w:rPr>
        <w:t xml:space="preserve">johtaneiden tapaturmien taajuusindeksi oli 1,55 (2,03) eli 24% alhaisempi kuin </w:t>
      </w:r>
      <w:r w:rsidRPr="004A49BC">
        <w:rPr>
          <w:sz w:val="16"/>
          <w:szCs w:val="16"/>
        </w:rPr>
        <w:t>edellisvuonna.</w:t>
      </w:r>
      <w:r w:rsidRPr="004F1014">
        <w:t xml:space="preserve"> </w:t>
      </w:r>
    </w:p>
    <w:p w:rsidR="006C4727" w:rsidRPr="00E248E2" w:rsidP="006D0E1A">
      <w:pPr>
        <w:pStyle w:val="WHeading3"/>
      </w:pPr>
      <w:r w:rsidRPr="00E248E2">
        <w:t>Taloudelliset tavoitteet ja toteuma vuonna 2021</w:t>
      </w:r>
    </w:p>
    <w:p w:rsidR="00D60C2E" w:rsidRPr="004A49BC" w:rsidP="0077128F">
      <w:pPr>
        <w:pStyle w:val="WNormal"/>
        <w:spacing w:after="160"/>
        <w:rPr>
          <w:sz w:val="16"/>
          <w:szCs w:val="16"/>
        </w:rPr>
      </w:pPr>
      <w:r>
        <w:rPr>
          <w:sz w:val="16"/>
          <w:szCs w:val="16"/>
        </w:rPr>
        <w:t xml:space="preserve">Vuonna 2021 </w:t>
      </w:r>
      <w:r w:rsidRPr="004A49BC">
        <w:rPr>
          <w:sz w:val="16"/>
          <w:szCs w:val="16"/>
        </w:rPr>
        <w:t>Wärtsilä</w:t>
      </w:r>
      <w:r>
        <w:rPr>
          <w:sz w:val="16"/>
          <w:szCs w:val="16"/>
        </w:rPr>
        <w:t xml:space="preserve"> julkisti uudet</w:t>
      </w:r>
      <w:r w:rsidRPr="004A49BC">
        <w:rPr>
          <w:sz w:val="16"/>
          <w:szCs w:val="16"/>
        </w:rPr>
        <w:t xml:space="preserve"> </w:t>
      </w:r>
      <w:r>
        <w:rPr>
          <w:sz w:val="16"/>
          <w:szCs w:val="16"/>
        </w:rPr>
        <w:t>taloudelliset</w:t>
      </w:r>
      <w:r w:rsidRPr="004A49BC">
        <w:rPr>
          <w:sz w:val="16"/>
          <w:szCs w:val="16"/>
        </w:rPr>
        <w:t xml:space="preserve"> tavoitte</w:t>
      </w:r>
      <w:r>
        <w:rPr>
          <w:sz w:val="16"/>
          <w:szCs w:val="16"/>
        </w:rPr>
        <w:t>et.</w:t>
      </w:r>
      <w:r w:rsidRPr="004A49BC">
        <w:rPr>
          <w:sz w:val="16"/>
          <w:szCs w:val="16"/>
        </w:rPr>
        <w:t xml:space="preserve"> </w:t>
      </w:r>
      <w:r>
        <w:rPr>
          <w:sz w:val="16"/>
          <w:szCs w:val="16"/>
        </w:rPr>
        <w:t xml:space="preserve">Niihin kuuluvat </w:t>
      </w:r>
      <w:r w:rsidRPr="004A49BC">
        <w:rPr>
          <w:sz w:val="16"/>
          <w:szCs w:val="16"/>
        </w:rPr>
        <w:t>5</w:t>
      </w:r>
      <w:r>
        <w:rPr>
          <w:sz w:val="16"/>
          <w:szCs w:val="16"/>
        </w:rPr>
        <w:t xml:space="preserve"> prosentin</w:t>
      </w:r>
      <w:r w:rsidRPr="004A49BC">
        <w:rPr>
          <w:sz w:val="16"/>
          <w:szCs w:val="16"/>
        </w:rPr>
        <w:t xml:space="preserve"> orgaaninen kasvu vuositasolla </w:t>
      </w:r>
      <w:r w:rsidRPr="004A49BC" w:rsidR="004F1014">
        <w:rPr>
          <w:sz w:val="16"/>
          <w:szCs w:val="16"/>
        </w:rPr>
        <w:t>ja</w:t>
      </w:r>
      <w:r w:rsidRPr="004A49BC">
        <w:rPr>
          <w:sz w:val="16"/>
          <w:szCs w:val="16"/>
        </w:rPr>
        <w:t xml:space="preserve"> 12</w:t>
      </w:r>
      <w:r>
        <w:rPr>
          <w:sz w:val="16"/>
          <w:szCs w:val="16"/>
        </w:rPr>
        <w:t xml:space="preserve"> prosentin</w:t>
      </w:r>
      <w:r w:rsidRPr="004A49BC">
        <w:rPr>
          <w:sz w:val="16"/>
          <w:szCs w:val="16"/>
        </w:rPr>
        <w:t xml:space="preserve"> suhteellinen liiketulos. Lisäksi tavoitteena on pitää ne</w:t>
      </w:r>
      <w:r w:rsidRPr="004A49BC">
        <w:rPr>
          <w:sz w:val="16"/>
          <w:szCs w:val="16"/>
        </w:rPr>
        <w:t xml:space="preserve">ttovelkaantumisaste alle 0,50:ssä ja jakaa osinkona vähintään 50% osakekohtaisesta tuloksesta yli suhdannesyklin. </w:t>
      </w:r>
    </w:p>
    <w:p w:rsidR="007543CC" w:rsidRPr="00403A4D" w:rsidP="0077128F">
      <w:pPr>
        <w:pStyle w:val="WNormal"/>
        <w:spacing w:after="160"/>
      </w:pPr>
      <w:r w:rsidRPr="004A49BC">
        <w:rPr>
          <w:sz w:val="16"/>
          <w:szCs w:val="16"/>
        </w:rPr>
        <w:t>Vuo</w:t>
      </w:r>
      <w:r>
        <w:rPr>
          <w:sz w:val="16"/>
          <w:szCs w:val="16"/>
        </w:rPr>
        <w:t>nna</w:t>
      </w:r>
      <w:r w:rsidRPr="004A49BC">
        <w:rPr>
          <w:sz w:val="16"/>
          <w:szCs w:val="16"/>
        </w:rPr>
        <w:t xml:space="preserve"> 2021</w:t>
      </w:r>
      <w:r w:rsidRPr="008D1CE7">
        <w:rPr>
          <w:sz w:val="16"/>
          <w:szCs w:val="16"/>
        </w:rPr>
        <w:t xml:space="preserve"> </w:t>
      </w:r>
      <w:r w:rsidRPr="004A49BC">
        <w:rPr>
          <w:sz w:val="16"/>
          <w:szCs w:val="16"/>
        </w:rPr>
        <w:t xml:space="preserve">Wärtsilän </w:t>
      </w:r>
      <w:r w:rsidRPr="00494B8A">
        <w:rPr>
          <w:color w:val="auto"/>
          <w:sz w:val="16"/>
          <w:szCs w:val="16"/>
        </w:rPr>
        <w:t xml:space="preserve">liikevaihto kasvoi </w:t>
      </w:r>
      <w:r>
        <w:rPr>
          <w:color w:val="auto"/>
          <w:sz w:val="16"/>
          <w:szCs w:val="16"/>
        </w:rPr>
        <w:t>orgaanisesti 6</w:t>
      </w:r>
      <w:r w:rsidRPr="00494B8A" w:rsidR="00251326">
        <w:rPr>
          <w:color w:val="auto"/>
          <w:sz w:val="16"/>
          <w:szCs w:val="16"/>
        </w:rPr>
        <w:t>%</w:t>
      </w:r>
      <w:r w:rsidRPr="004A49BC">
        <w:rPr>
          <w:sz w:val="16"/>
          <w:szCs w:val="16"/>
        </w:rPr>
        <w:t xml:space="preserve">. </w:t>
      </w:r>
      <w:r>
        <w:rPr>
          <w:sz w:val="16"/>
          <w:szCs w:val="16"/>
        </w:rPr>
        <w:t>L</w:t>
      </w:r>
      <w:r w:rsidRPr="00494B8A">
        <w:rPr>
          <w:color w:val="auto"/>
          <w:sz w:val="16"/>
          <w:szCs w:val="16"/>
        </w:rPr>
        <w:t xml:space="preserve">iiketulos oli </w:t>
      </w:r>
      <w:r w:rsidRPr="00494B8A">
        <w:rPr>
          <w:color w:val="auto"/>
          <w:sz w:val="16"/>
          <w:szCs w:val="16"/>
        </w:rPr>
        <w:t>314</w:t>
      </w:r>
      <w:r w:rsidRPr="00494B8A">
        <w:rPr>
          <w:color w:val="auto"/>
          <w:sz w:val="16"/>
          <w:szCs w:val="16"/>
        </w:rPr>
        <w:t xml:space="preserve"> miljoonaa euroa eli </w:t>
      </w:r>
      <w:r w:rsidRPr="00494B8A">
        <w:rPr>
          <w:color w:val="auto"/>
          <w:sz w:val="16"/>
          <w:szCs w:val="16"/>
        </w:rPr>
        <w:t>6,6</w:t>
      </w:r>
      <w:r w:rsidRPr="00DB33C7">
        <w:rPr>
          <w:color w:val="auto"/>
          <w:sz w:val="16"/>
          <w:szCs w:val="16"/>
        </w:rPr>
        <w:t xml:space="preserve">% liikevaihdosta. Nettovelkaantumisaste oli </w:t>
      </w:r>
      <w:r w:rsidRPr="00DB33C7">
        <w:rPr>
          <w:color w:val="auto"/>
          <w:sz w:val="16"/>
          <w:szCs w:val="16"/>
        </w:rPr>
        <w:t>0,00</w:t>
      </w:r>
      <w:r w:rsidRPr="00DB33C7">
        <w:rPr>
          <w:color w:val="auto"/>
          <w:sz w:val="16"/>
          <w:szCs w:val="16"/>
        </w:rPr>
        <w:t xml:space="preserve">. </w:t>
      </w:r>
      <w:r w:rsidRPr="00494B8A">
        <w:rPr>
          <w:color w:val="auto"/>
          <w:sz w:val="16"/>
          <w:szCs w:val="16"/>
        </w:rPr>
        <w:t>Hallituk</w:t>
      </w:r>
      <w:r w:rsidRPr="004A49BC">
        <w:rPr>
          <w:sz w:val="16"/>
          <w:szCs w:val="16"/>
        </w:rPr>
        <w:t xml:space="preserve">sen </w:t>
      </w:r>
      <w:r w:rsidRPr="004A49BC">
        <w:rPr>
          <w:sz w:val="16"/>
          <w:szCs w:val="16"/>
        </w:rPr>
        <w:t>osinkoehdotus</w:t>
      </w:r>
      <w:r w:rsidRPr="00494B8A">
        <w:rPr>
          <w:color w:val="auto"/>
          <w:sz w:val="16"/>
          <w:szCs w:val="16"/>
        </w:rPr>
        <w:t xml:space="preserve"> </w:t>
      </w:r>
      <w:r w:rsidRPr="00494B8A">
        <w:rPr>
          <w:color w:val="auto"/>
          <w:sz w:val="16"/>
          <w:szCs w:val="16"/>
        </w:rPr>
        <w:t>0,24</w:t>
      </w:r>
      <w:r w:rsidRPr="00494B8A">
        <w:rPr>
          <w:color w:val="auto"/>
          <w:sz w:val="16"/>
          <w:szCs w:val="16"/>
        </w:rPr>
        <w:t xml:space="preserve"> </w:t>
      </w:r>
      <w:r w:rsidRPr="004A49BC">
        <w:rPr>
          <w:sz w:val="16"/>
          <w:szCs w:val="16"/>
        </w:rPr>
        <w:t xml:space="preserve">euroa </w:t>
      </w:r>
      <w:r w:rsidRPr="00563C5C" w:rsidR="005F0E6E">
        <w:rPr>
          <w:noProof/>
        </w:rPr>
        <mc:AlternateContent>
          <mc:Choice Requires="wps">
            <w:drawing>
              <wp:anchor distT="45720" distB="45720" distL="114300" distR="114300" simplePos="0" relativeHeight="251659264" behindDoc="0" locked="0" layoutInCell="1" allowOverlap="1">
                <wp:simplePos x="0" y="0"/>
                <wp:positionH relativeFrom="leftMargin">
                  <wp:posOffset>372745</wp:posOffset>
                </wp:positionH>
                <wp:positionV relativeFrom="margin">
                  <wp:posOffset>4088130</wp:posOffset>
                </wp:positionV>
                <wp:extent cx="6461760" cy="1527175"/>
                <wp:effectExtent l="0" t="0" r="0" b="0"/>
                <wp:wrapSquare wrapText="bothSides"/>
                <wp:docPr id="2067614671" name="Text Box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6461760" cy="1527175"/>
                        </a:xfrm>
                        <a:prstGeom prst="rect">
                          <a:avLst/>
                        </a:prstGeom>
                        <a:solidFill>
                          <a:srgbClr val="FFFFFF"/>
                        </a:solidFill>
                        <a:ln w="9525">
                          <a:noFill/>
                          <a:miter lim="800000"/>
                          <a:headEnd/>
                          <a:tailEnd/>
                        </a:ln>
                      </wps:spPr>
                      <wps:txbx>
                        <w:txbxContent>
                          <w:tbl>
                            <w:tblPr>
                              <w:tblStyle w:val="TableGrid"/>
                              <w:tblW w:w="93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tblPr>
                            <w:tblGrid>
                              <w:gridCol w:w="9302"/>
                            </w:tblGrid>
                            <w:tr w:rsidTr="000A5898">
                              <w:tblPrEx>
                                <w:tblW w:w="93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tblPrEx>
                              <w:trPr>
                                <w:trHeight w:val="2662"/>
                              </w:trPr>
                              <w:tc>
                                <w:tcPr>
                                  <w:tcW w:w="9302" w:type="dxa"/>
                                  <w:hideMark/>
                                </w:tcPr>
                                <w:p w:rsidR="00F022B4" w:rsidP="00F022B4">
                                  <w:pPr>
                                    <w:suppressAutoHyphens/>
                                    <w:spacing w:after="120" w:line="276" w:lineRule="auto"/>
                                    <w:rPr>
                                      <w:rFonts w:ascii="Arial" w:hAnsi="Arial" w:cs="Arial"/>
                                      <w:spacing w:val="2"/>
                                      <w:sz w:val="17"/>
                                      <w:szCs w:val="17"/>
                                      <w:lang w:val="fi-FI"/>
                                    </w:rPr>
                                  </w:pPr>
                                  <w:r>
                                    <w:rPr>
                                      <w:rFonts w:ascii="Arial" w:hAnsi="Arial" w:cs="Arial"/>
                                      <w:spacing w:val="2"/>
                                      <w:sz w:val="17"/>
                                      <w:szCs w:val="17"/>
                                      <w:lang w:val="fi-FI"/>
                                    </w:rPr>
                                    <w:br w:type="column"/>
                                    <w:t xml:space="preserve"> </w:t>
                                  </w:r>
                                </w:p>
                                <w:p w:rsidR="006A3AD0" w:rsidRPr="004A49BC" w:rsidP="0019489C">
                                  <w:pPr>
                                    <w:pStyle w:val="WHeadingException1"/>
                                    <w:rPr>
                                      <w:rStyle w:val="BookTitle"/>
                                    </w:rPr>
                                  </w:pPr>
                                  <w:r w:rsidRPr="004A49BC">
                                    <w:rPr>
                                      <w:sz w:val="16"/>
                                      <w:szCs w:val="16"/>
                                    </w:rPr>
                                    <w:t xml:space="preserve">Taloudelliset </w:t>
                                  </w:r>
                                  <w:r w:rsidRPr="004A49BC">
                                    <w:rPr>
                                      <w:rStyle w:val="SubtitleChar"/>
                                      <w:b/>
                                      <w:color w:val="0F172B"/>
                                      <w:sz w:val="16"/>
                                      <w:szCs w:val="16"/>
                                    </w:rPr>
                                    <w:t>tavoitteet</w:t>
                                  </w:r>
                                </w:p>
                                <w:tbl>
                                  <w:tblPr>
                                    <w:tblStyle w:val="TableNormal"/>
                                    <w:tblCaption w:val="Table_Financial_targets_FI"/>
                                    <w:tblW w:w="9975" w:type="dxa"/>
                                    <w:tblLook w:val="0600"/>
                                  </w:tblPr>
                                  <w:tblGrid>
                                    <w:gridCol w:w="6105"/>
                                    <w:gridCol w:w="1935"/>
                                    <w:gridCol w:w="1935"/>
                                  </w:tblGrid>
                                  <w:tr>
                                    <w:tblPrEx>
                                      <w:tblW w:w="9975" w:type="dxa"/>
                                      <w:tblLook w:val="0600"/>
                                    </w:tblPrEx>
                                    <w:trPr>
                                      <w:trHeight w:hRule="exact" w:val="255"/>
                                    </w:trPr>
                                    <w:tc>
                                      <w:tcPr>
                                        <w:tcW w:w="6105" w:type="dxa"/>
                                        <w:tcBorders>
                                          <w:top w:val="nil"/>
                                          <w:left w:val="nil"/>
                                          <w:bottom w:val="single" w:sz="8" w:space="0" w:color="000000"/>
                                          <w:right w:val="nil"/>
                                          <w:tl2br w:val="nil"/>
                                          <w:tr2bl w:val="nil"/>
                                        </w:tcBorders>
                                        <w:shd w:val="clear" w:color="FFFFFF" w:fill="F0F4F6"/>
                                        <w:noWrap/>
                                        <w:tcMar>
                                          <w:left w:w="0" w:type="dxa"/>
                                          <w:right w:w="0" w:type="dxa"/>
                                        </w:tcMar>
                                        <w:textDirection w:val="lrTb"/>
                                        <w:tcFitText w:val="0"/>
                                        <w:vAlign w:val="center"/>
                                      </w:tcPr>
                                      <w:p>
                                        <w:pPr>
                                          <w:bidi w:val="0"/>
                                          <w:spacing w:before="0" w:beforeAutospacing="0" w:after="0" w:afterAutospacing="0" w:line="240" w:lineRule="auto"/>
                                          <w:jc w:val="left"/>
                                          <w:rPr>
                                            <w:rFonts w:ascii="Arial" w:eastAsia="Arial" w:hAnsi="Arial" w:cs="Arial"/>
                                            <w:b/>
                                            <w:i w:val="0"/>
                                            <w:strike w:val="0"/>
                                            <w:color w:val="000000"/>
                                            <w:sz w:val="15"/>
                                            <w:u w:val="none"/>
                                            <w:vertAlign w:val="baseline"/>
                                          </w:rPr>
                                        </w:pPr>
                                      </w:p>
                                    </w:tc>
                                    <w:tc>
                                      <w:tcPr>
                                        <w:tcW w:w="1935" w:type="dxa"/>
                                        <w:tcBorders>
                                          <w:top w:val="nil"/>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5"/>
                                            <w:u w:val="none"/>
                                            <w:vertAlign w:val="baseline"/>
                                          </w:rPr>
                                        </w:pPr>
                                        <w:r>
                                          <w:rPr>
                                            <w:rFonts w:ascii="Arial" w:eastAsia="Arial" w:hAnsi="Arial" w:cs="Arial"/>
                                            <w:b/>
                                            <w:i w:val="0"/>
                                            <w:strike w:val="0"/>
                                            <w:color w:val="000000"/>
                                            <w:sz w:val="15"/>
                                            <w:u w:val="none"/>
                                            <w:vertAlign w:val="baseline"/>
                                          </w:rPr>
                                          <w:t>Kehitys vuonna 2021</w:t>
                                        </w:r>
                                      </w:p>
                                    </w:tc>
                                    <w:tc>
                                      <w:tcPr>
                                        <w:tcW w:w="1935" w:type="dxa"/>
                                        <w:tcBorders>
                                          <w:top w:val="nil"/>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5"/>
                                            <w:u w:val="none"/>
                                            <w:vertAlign w:val="baseline"/>
                                          </w:rPr>
                                        </w:pPr>
                                        <w:r>
                                          <w:rPr>
                                            <w:rFonts w:ascii="Arial" w:eastAsia="Arial" w:hAnsi="Arial" w:cs="Arial"/>
                                            <w:b/>
                                            <w:i w:val="0"/>
                                            <w:strike w:val="0"/>
                                            <w:color w:val="000000"/>
                                            <w:sz w:val="15"/>
                                            <w:u w:val="none"/>
                                            <w:vertAlign w:val="baseline"/>
                                          </w:rPr>
                                          <w:t>Kehitys vuonna 2020</w:t>
                                        </w:r>
                                      </w:p>
                                    </w:tc>
                                  </w:tr>
                                  <w:tr>
                                    <w:tblPrEx>
                                      <w:tblW w:w="99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600"/>
                                    </w:tblPrEx>
                                    <w:trPr>
                                      <w:trHeight w:hRule="exact" w:val="255"/>
                                    </w:trPr>
                                    <w:tc>
                                      <w:tcPr>
                                        <w:tcW w:w="6105" w:type="dxa"/>
                                        <w:tcBorders>
                                          <w:top w:val="single" w:sz="8" w:space="0" w:color="000000"/>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Liikevaihdon orgaaninen kasvu 5%</w:t>
                                        </w:r>
                                      </w:p>
                                    </w:tc>
                                    <w:tc>
                                      <w:tcPr>
                                        <w:tcW w:w="1935" w:type="dxa"/>
                                        <w:tcBorders>
                                          <w:top w:val="single" w:sz="4" w:space="0" w:color="004B6B"/>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6%</w:t>
                                        </w:r>
                                      </w:p>
                                    </w:tc>
                                    <w:tc>
                                      <w:tcPr>
                                        <w:tcW w:w="1935" w:type="dxa"/>
                                        <w:tcBorders>
                                          <w:top w:val="single" w:sz="4" w:space="0" w:color="004B6B"/>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-9%</w:t>
                                        </w:r>
                                      </w:p>
                                    </w:tc>
                                  </w:tr>
                                  <w:tr>
                                    <w:tblPrEx>
                                      <w:tblW w:w="99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600"/>
                                    </w:tblPrEx>
                                    <w:trPr>
                                      <w:trHeight w:hRule="exact" w:val="255"/>
                                    </w:trPr>
                                    <w:tc>
                                      <w:tcPr>
                                        <w:tcW w:w="6105" w:type="dxa"/>
                                        <w:tcBorders>
                                          <w:top w:val="single" w:sz="4" w:space="0" w:color="004B6B"/>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Suhteellinen liiketulos 12%</w:t>
                                        </w:r>
                                      </w:p>
                                    </w:tc>
                                    <w:tc>
                                      <w:tcPr>
                                        <w:tcW w:w="1935" w:type="dxa"/>
                                        <w:tcBorders>
                                          <w:top w:val="single" w:sz="4" w:space="0" w:color="004B6B"/>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6,6%</w:t>
                                        </w:r>
                                      </w:p>
                                    </w:tc>
                                    <w:tc>
                                      <w:tcPr>
                                        <w:tcW w:w="1935" w:type="dxa"/>
                                        <w:tcBorders>
                                          <w:top w:val="single" w:sz="4" w:space="0" w:color="004B6B"/>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5,1%</w:t>
                                        </w:r>
                                      </w:p>
                                    </w:tc>
                                  </w:tr>
                                  <w:tr>
                                    <w:tblPrEx>
                                      <w:tblW w:w="99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600"/>
                                    </w:tblPrEx>
                                    <w:trPr>
                                      <w:trHeight w:hRule="exact" w:val="255"/>
                                    </w:trPr>
                                    <w:tc>
                                      <w:tcPr>
                                        <w:tcW w:w="6105" w:type="dxa"/>
                                        <w:tcBorders>
                                          <w:top w:val="single" w:sz="4" w:space="0" w:color="004B6B"/>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Nettovelkaantumisaste alle 0,50</w:t>
                                        </w:r>
                                      </w:p>
                                    </w:tc>
                                    <w:tc>
                                      <w:tcPr>
                                        <w:tcW w:w="1935" w:type="dxa"/>
                                        <w:tcBorders>
                                          <w:top w:val="single" w:sz="4" w:space="0" w:color="004B6B"/>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0,00</w:t>
                                        </w:r>
                                      </w:p>
                                    </w:tc>
                                    <w:tc>
                                      <w:tcPr>
                                        <w:tcW w:w="1935" w:type="dxa"/>
                                        <w:tcBorders>
                                          <w:top w:val="single" w:sz="4" w:space="0" w:color="004B6B"/>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0,18</w:t>
                                        </w:r>
                                      </w:p>
                                    </w:tc>
                                  </w:tr>
                                  <w:tr>
                                    <w:tblPrEx>
                                      <w:tblW w:w="99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600"/>
                                    </w:tblPrEx>
                                    <w:trPr>
                                      <w:trHeight w:val="255"/>
                                    </w:trPr>
                                    <w:tc>
                                      <w:tcPr>
                                        <w:tcW w:w="6105" w:type="dxa"/>
                                        <w:tcBorders>
                                          <w:top w:val="single" w:sz="4" w:space="0" w:color="004B6B"/>
                                          <w:left w:val="nil"/>
                                          <w:bottom w:val="single" w:sz="4" w:space="0" w:color="004B6B"/>
                                          <w:right w:val="nil"/>
                                          <w:tl2br w:val="nil"/>
                                          <w:tr2bl w:val="nil"/>
                                        </w:tcBorders>
                                        <w:shd w:val="clear" w:color="FFFFFF" w:fill="FFFFFF"/>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Osingonmaksu vähintään 50% osakekohtaisesta tuloksesta yli suhdannesyklin</w:t>
                                        </w:r>
                                      </w:p>
                                    </w:tc>
                                    <w:tc>
                                      <w:tcPr>
                                        <w:tcW w:w="1935" w:type="dxa"/>
                                        <w:tcBorders>
                                          <w:top w:val="single" w:sz="4" w:space="0" w:color="004B6B"/>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000000"/>
                                            <w:sz w:val="14"/>
                                            <w:u w:val="none"/>
                                            <w:vertAlign w:val="baseline"/>
                                          </w:rPr>
                                        </w:pPr>
                                        <w:r>
                                          <w:rPr>
                                            <w:rFonts w:ascii="Arial" w:eastAsia="Arial" w:hAnsi="Arial" w:cs="Arial"/>
                                            <w:b w:val="0"/>
                                            <w:i w:val="0"/>
                                            <w:strike w:val="0"/>
                                            <w:color w:val="000000"/>
                                            <w:sz w:val="14"/>
                                            <w:u w:val="none"/>
                                            <w:vertAlign w:val="baseline"/>
                                          </w:rPr>
                                          <w:t>73,2%*</w:t>
                                        </w:r>
                                      </w:p>
                                    </w:tc>
                                    <w:tc>
                                      <w:tcPr>
                                        <w:tcW w:w="1935" w:type="dxa"/>
                                        <w:tcBorders>
                                          <w:top w:val="single" w:sz="4" w:space="0" w:color="004B6B"/>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88,2%</w:t>
                                        </w:r>
                                      </w:p>
                                    </w:tc>
                                  </w:tr>
                                  <w:tr>
                                    <w:tblPrEx>
                                      <w:tblW w:w="99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600"/>
                                    </w:tblPrEx>
                                    <w:trPr>
                                      <w:trHeight w:val="255"/>
                                    </w:trPr>
                                    <w:tc>
                                      <w:tcPr>
                                        <w:tcW w:w="6105" w:type="dxa"/>
                                        <w:tcBorders>
                                          <w:top w:val="single" w:sz="4" w:space="0" w:color="004B6B"/>
                                          <w:left w:val="nil"/>
                                          <w:bottom w:val="nil"/>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*Hallituksen ehdotus</w:t>
                                        </w:r>
                                      </w:p>
                                    </w:tc>
                                    <w:tc>
                                      <w:tcPr>
                                        <w:tcW w:w="1935" w:type="dxa"/>
                                        <w:tcBorders>
                                          <w:top w:val="single" w:sz="4" w:space="0" w:color="004B6B"/>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22"/>
                                            <w:u w:val="none"/>
                                            <w:vertAlign w:val="baseline"/>
                                          </w:rPr>
                                        </w:pPr>
                                      </w:p>
                                    </w:tc>
                                    <w:tc>
                                      <w:tcPr>
                                        <w:tcW w:w="1935" w:type="dxa"/>
                                        <w:tcBorders>
                                          <w:top w:val="single" w:sz="4" w:space="0" w:color="004B6B"/>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22"/>
                                            <w:u w:val="none"/>
                                            <w:vertAlign w:val="baseline"/>
                                          </w:rPr>
                                        </w:pPr>
                                      </w:p>
                                    </w:tc>
                                  </w:tr>
                                </w:tbl>
                                <w:p/>
                              </w:tc>
                            </w:tr>
                          </w:tbl>
                          <w:p w:rsidR="00563C5C" w:rsidP="000A5898"/>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5" type="#_x0000_t202" style="width:508.8pt;height:120.25pt;margin-top:321.9pt;margin-left:29.35pt;mso-height-percent:0;mso-height-relative:margin;mso-position-horizontal-relative:left-margin-area;mso-position-vertical-relative:margin;mso-width-percent:0;mso-width-relative:margin;mso-wrap-distance-bottom:3.6pt;mso-wrap-distance-left:9pt;mso-wrap-distance-right:9pt;mso-wrap-distance-top:3.6pt;position:absolute;v-text-anchor:top;z-index:251658240" fillcolor="white" stroked="f" strokeweight="0.75pt">
                <v:textbox>
                  <w:txbxContent>
                    <w:tbl>
                      <w:tblPr>
                        <w:tblStyle w:val="TableGrid"/>
                        <w:tblW w:w="93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tblPr>
                      <w:tblGrid>
                        <w:gridCol w:w="9302"/>
                      </w:tblGrid>
                      <w:tr w:rsidTr="000A5898">
                        <w:tblPrEx>
                          <w:tblW w:w="93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tblPrEx>
                        <w:trPr>
                          <w:trHeight w:val="2662"/>
                        </w:trPr>
                        <w:tc>
                          <w:tcPr>
                            <w:tcW w:w="9302" w:type="dxa"/>
                            <w:hideMark/>
                          </w:tcPr>
                          <w:p w:rsidR="00F022B4" w:rsidP="00F022B4">
                            <w:pPr>
                              <w:suppressAutoHyphens/>
                              <w:spacing w:after="120" w:line="276" w:lineRule="auto"/>
                              <w:rPr>
                                <w:rFonts w:ascii="Arial" w:hAnsi="Arial" w:cs="Arial"/>
                                <w:spacing w:val="2"/>
                                <w:sz w:val="17"/>
                                <w:szCs w:val="17"/>
                                <w:lang w:val="fi-FI"/>
                              </w:rPr>
                            </w:pPr>
                            <w:r>
                              <w:rPr>
                                <w:rFonts w:ascii="Arial" w:hAnsi="Arial" w:cs="Arial"/>
                                <w:spacing w:val="2"/>
                                <w:sz w:val="17"/>
                                <w:szCs w:val="17"/>
                                <w:lang w:val="fi-FI"/>
                              </w:rPr>
                              <w:br w:type="column"/>
                              <w:t xml:space="preserve"> </w:t>
                            </w:r>
                          </w:p>
                          <w:p w:rsidR="006A3AD0" w:rsidRPr="004A49BC" w:rsidP="0019489C">
                            <w:pPr>
                              <w:pStyle w:val="WHeadingException1"/>
                              <w:rPr>
                                <w:rStyle w:val="BookTitle"/>
                              </w:rPr>
                            </w:pPr>
                            <w:r w:rsidRPr="004A49BC">
                              <w:rPr>
                                <w:sz w:val="16"/>
                                <w:szCs w:val="16"/>
                              </w:rPr>
                              <w:t xml:space="preserve">Taloudelliset </w:t>
                            </w:r>
                            <w:r w:rsidRPr="004A49BC">
                              <w:rPr>
                                <w:rStyle w:val="SubtitleChar"/>
                                <w:b/>
                                <w:color w:val="0F172B"/>
                                <w:sz w:val="16"/>
                                <w:szCs w:val="16"/>
                              </w:rPr>
                              <w:t>tavoitteet</w:t>
                            </w:r>
                          </w:p>
                          <w:tbl>
                            <w:tblPr>
                              <w:tblStyle w:val="TableNormal"/>
                              <w:tblCaption w:val="Table_Financial_targets_FI"/>
                              <w:tblW w:w="9975" w:type="dxa"/>
                              <w:tblLook w:val="0600"/>
                            </w:tblPr>
                            <w:tblGrid>
                              <w:gridCol w:w="6105"/>
                              <w:gridCol w:w="1935"/>
                              <w:gridCol w:w="1935"/>
                            </w:tblGrid>
                            <w:tr>
                              <w:tblPrEx>
                                <w:tblW w:w="9975" w:type="dxa"/>
                                <w:tblLook w:val="0600"/>
                              </w:tblPrEx>
                              <w:trPr>
                                <w:trHeight w:hRule="exact" w:val="255"/>
                              </w:trPr>
                              <w:tc>
                                <w:tcPr>
                                  <w:tcW w:w="6105" w:type="dxa"/>
                                  <w:tcBorders>
                                    <w:top w:val="nil"/>
                                    <w:left w:val="nil"/>
                                    <w:bottom w:val="single" w:sz="8" w:space="0" w:color="000000"/>
                                    <w:right w:val="nil"/>
                                    <w:tl2br w:val="nil"/>
                                    <w:tr2bl w:val="nil"/>
                                  </w:tcBorders>
                                  <w:shd w:val="clear" w:color="FFFFFF" w:fill="F0F4F6"/>
                                  <w:noWrap/>
                                  <w:tcMar>
                                    <w:left w:w="0" w:type="dxa"/>
                                    <w:right w:w="0" w:type="dxa"/>
                                  </w:tcMar>
                                  <w:textDirection w:val="lrTb"/>
                                  <w:tcFitText w:val="0"/>
                                  <w:vAlign w:val="center"/>
                                </w:tcPr>
                                <w:p>
                                  <w:pPr>
                                    <w:bidi w:val="0"/>
                                    <w:spacing w:before="0" w:beforeAutospacing="0" w:after="0" w:afterAutospacing="0" w:line="240" w:lineRule="auto"/>
                                    <w:jc w:val="left"/>
                                    <w:rPr>
                                      <w:rFonts w:ascii="Arial" w:eastAsia="Arial" w:hAnsi="Arial" w:cs="Arial"/>
                                      <w:b/>
                                      <w:i w:val="0"/>
                                      <w:strike w:val="0"/>
                                      <w:color w:val="000000"/>
                                      <w:sz w:val="15"/>
                                      <w:u w:val="none"/>
                                      <w:vertAlign w:val="baseline"/>
                                    </w:rPr>
                                  </w:pPr>
                                </w:p>
                              </w:tc>
                              <w:tc>
                                <w:tcPr>
                                  <w:tcW w:w="1935" w:type="dxa"/>
                                  <w:tcBorders>
                                    <w:top w:val="nil"/>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5"/>
                                      <w:u w:val="none"/>
                                      <w:vertAlign w:val="baseline"/>
                                    </w:rPr>
                                  </w:pPr>
                                  <w:r>
                                    <w:rPr>
                                      <w:rFonts w:ascii="Arial" w:eastAsia="Arial" w:hAnsi="Arial" w:cs="Arial"/>
                                      <w:b/>
                                      <w:i w:val="0"/>
                                      <w:strike w:val="0"/>
                                      <w:color w:val="000000"/>
                                      <w:sz w:val="15"/>
                                      <w:u w:val="none"/>
                                      <w:vertAlign w:val="baseline"/>
                                    </w:rPr>
                                    <w:t>Kehitys vuonna 2021</w:t>
                                  </w:r>
                                </w:p>
                              </w:tc>
                              <w:tc>
                                <w:tcPr>
                                  <w:tcW w:w="1935" w:type="dxa"/>
                                  <w:tcBorders>
                                    <w:top w:val="nil"/>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5"/>
                                      <w:u w:val="none"/>
                                      <w:vertAlign w:val="baseline"/>
                                    </w:rPr>
                                  </w:pPr>
                                  <w:r>
                                    <w:rPr>
                                      <w:rFonts w:ascii="Arial" w:eastAsia="Arial" w:hAnsi="Arial" w:cs="Arial"/>
                                      <w:b/>
                                      <w:i w:val="0"/>
                                      <w:strike w:val="0"/>
                                      <w:color w:val="000000"/>
                                      <w:sz w:val="15"/>
                                      <w:u w:val="none"/>
                                      <w:vertAlign w:val="baseline"/>
                                    </w:rPr>
                                    <w:t>Kehitys vuonna 2020</w:t>
                                  </w:r>
                                </w:p>
                              </w:tc>
                            </w:tr>
                            <w:tr>
                              <w:tblPrEx>
                                <w:tblW w:w="99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600"/>
                              </w:tblPrEx>
                              <w:trPr>
                                <w:trHeight w:hRule="exact" w:val="255"/>
                              </w:trPr>
                              <w:tc>
                                <w:tcPr>
                                  <w:tcW w:w="6105" w:type="dxa"/>
                                  <w:tcBorders>
                                    <w:top w:val="single" w:sz="8" w:space="0" w:color="000000"/>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Liikevaihdon orgaaninen kasvu 5%</w:t>
                                  </w:r>
                                </w:p>
                              </w:tc>
                              <w:tc>
                                <w:tcPr>
                                  <w:tcW w:w="1935" w:type="dxa"/>
                                  <w:tcBorders>
                                    <w:top w:val="single" w:sz="4" w:space="0" w:color="004B6B"/>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6%</w:t>
                                  </w:r>
                                </w:p>
                              </w:tc>
                              <w:tc>
                                <w:tcPr>
                                  <w:tcW w:w="1935" w:type="dxa"/>
                                  <w:tcBorders>
                                    <w:top w:val="single" w:sz="4" w:space="0" w:color="004B6B"/>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-9%</w:t>
                                  </w:r>
                                </w:p>
                              </w:tc>
                            </w:tr>
                            <w:tr>
                              <w:tblPrEx>
                                <w:tblW w:w="99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600"/>
                              </w:tblPrEx>
                              <w:trPr>
                                <w:trHeight w:hRule="exact" w:val="255"/>
                              </w:trPr>
                              <w:tc>
                                <w:tcPr>
                                  <w:tcW w:w="6105" w:type="dxa"/>
                                  <w:tcBorders>
                                    <w:top w:val="single" w:sz="4" w:space="0" w:color="004B6B"/>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Suhteellinen liiketulos 12%</w:t>
                                  </w:r>
                                </w:p>
                              </w:tc>
                              <w:tc>
                                <w:tcPr>
                                  <w:tcW w:w="1935" w:type="dxa"/>
                                  <w:tcBorders>
                                    <w:top w:val="single" w:sz="4" w:space="0" w:color="004B6B"/>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6,6%</w:t>
                                  </w:r>
                                </w:p>
                              </w:tc>
                              <w:tc>
                                <w:tcPr>
                                  <w:tcW w:w="1935" w:type="dxa"/>
                                  <w:tcBorders>
                                    <w:top w:val="single" w:sz="4" w:space="0" w:color="004B6B"/>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5,1%</w:t>
                                  </w:r>
                                </w:p>
                              </w:tc>
                            </w:tr>
                            <w:tr>
                              <w:tblPrEx>
                                <w:tblW w:w="99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600"/>
                              </w:tblPrEx>
                              <w:trPr>
                                <w:trHeight w:hRule="exact" w:val="255"/>
                              </w:trPr>
                              <w:tc>
                                <w:tcPr>
                                  <w:tcW w:w="6105" w:type="dxa"/>
                                  <w:tcBorders>
                                    <w:top w:val="single" w:sz="4" w:space="0" w:color="004B6B"/>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Nettovelkaantumisaste alle 0,50</w:t>
                                  </w:r>
                                </w:p>
                              </w:tc>
                              <w:tc>
                                <w:tcPr>
                                  <w:tcW w:w="1935" w:type="dxa"/>
                                  <w:tcBorders>
                                    <w:top w:val="single" w:sz="4" w:space="0" w:color="004B6B"/>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0,00</w:t>
                                  </w:r>
                                </w:p>
                              </w:tc>
                              <w:tc>
                                <w:tcPr>
                                  <w:tcW w:w="1935" w:type="dxa"/>
                                  <w:tcBorders>
                                    <w:top w:val="single" w:sz="4" w:space="0" w:color="004B6B"/>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0,18</w:t>
                                  </w:r>
                                </w:p>
                              </w:tc>
                            </w:tr>
                            <w:tr>
                              <w:tblPrEx>
                                <w:tblW w:w="99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600"/>
                              </w:tblPrEx>
                              <w:trPr>
                                <w:trHeight w:val="255"/>
                              </w:trPr>
                              <w:tc>
                                <w:tcPr>
                                  <w:tcW w:w="6105" w:type="dxa"/>
                                  <w:tcBorders>
                                    <w:top w:val="single" w:sz="4" w:space="0" w:color="004B6B"/>
                                    <w:left w:val="nil"/>
                                    <w:bottom w:val="single" w:sz="4" w:space="0" w:color="004B6B"/>
                                    <w:right w:val="nil"/>
                                    <w:tl2br w:val="nil"/>
                                    <w:tr2bl w:val="nil"/>
                                  </w:tcBorders>
                                  <w:shd w:val="clear" w:color="FFFFFF" w:fill="FFFFFF"/>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Osingonmaksu vähintään 50% osakekohtaisesta tuloksesta yli suhdannesyklin</w:t>
                                  </w:r>
                                </w:p>
                              </w:tc>
                              <w:tc>
                                <w:tcPr>
                                  <w:tcW w:w="1935" w:type="dxa"/>
                                  <w:tcBorders>
                                    <w:top w:val="single" w:sz="4" w:space="0" w:color="004B6B"/>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000000"/>
                                      <w:sz w:val="14"/>
                                      <w:u w:val="none"/>
                                      <w:vertAlign w:val="baseline"/>
                                    </w:rPr>
                                  </w:pPr>
                                  <w:r>
                                    <w:rPr>
                                      <w:rFonts w:ascii="Arial" w:eastAsia="Arial" w:hAnsi="Arial" w:cs="Arial"/>
                                      <w:b w:val="0"/>
                                      <w:i w:val="0"/>
                                      <w:strike w:val="0"/>
                                      <w:color w:val="000000"/>
                                      <w:sz w:val="14"/>
                                      <w:u w:val="none"/>
                                      <w:vertAlign w:val="baseline"/>
                                    </w:rPr>
                                    <w:t>73,2%*</w:t>
                                  </w:r>
                                </w:p>
                              </w:tc>
                              <w:tc>
                                <w:tcPr>
                                  <w:tcW w:w="1935" w:type="dxa"/>
                                  <w:tcBorders>
                                    <w:top w:val="single" w:sz="4" w:space="0" w:color="004B6B"/>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88,2%</w:t>
                                  </w:r>
                                </w:p>
                              </w:tc>
                            </w:tr>
                            <w:tr>
                              <w:tblPrEx>
                                <w:tblW w:w="99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600"/>
                              </w:tblPrEx>
                              <w:trPr>
                                <w:trHeight w:val="255"/>
                              </w:trPr>
                              <w:tc>
                                <w:tcPr>
                                  <w:tcW w:w="6105" w:type="dxa"/>
                                  <w:tcBorders>
                                    <w:top w:val="single" w:sz="4" w:space="0" w:color="004B6B"/>
                                    <w:left w:val="nil"/>
                                    <w:bottom w:val="nil"/>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*Hallituksen ehdotus</w:t>
                                  </w:r>
                                </w:p>
                              </w:tc>
                              <w:tc>
                                <w:tcPr>
                                  <w:tcW w:w="1935" w:type="dxa"/>
                                  <w:tcBorders>
                                    <w:top w:val="single" w:sz="4" w:space="0" w:color="004B6B"/>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22"/>
                                      <w:u w:val="none"/>
                                      <w:vertAlign w:val="baseline"/>
                                    </w:rPr>
                                  </w:pPr>
                                </w:p>
                              </w:tc>
                              <w:tc>
                                <w:tcPr>
                                  <w:tcW w:w="1935" w:type="dxa"/>
                                  <w:tcBorders>
                                    <w:top w:val="single" w:sz="4" w:space="0" w:color="004B6B"/>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22"/>
                                      <w:u w:val="none"/>
                                      <w:vertAlign w:val="baseline"/>
                                    </w:rPr>
                                  </w:pPr>
                                </w:p>
                              </w:tc>
                            </w:tr>
                          </w:tbl>
                          <w:p/>
                        </w:tc>
                      </w:tr>
                    </w:tbl>
                    <w:p w:rsidR="00563C5C" w:rsidP="000A5898"/>
                  </w:txbxContent>
                </v:textbox>
                <w10:wrap type="square"/>
              </v:shape>
            </w:pict>
          </mc:Fallback>
        </mc:AlternateContent>
      </w:r>
      <w:r w:rsidRPr="004A49BC">
        <w:rPr>
          <w:sz w:val="16"/>
          <w:szCs w:val="16"/>
        </w:rPr>
        <w:t xml:space="preserve">osaketta kohti </w:t>
      </w:r>
      <w:r w:rsidRPr="002F3EF8">
        <w:rPr>
          <w:color w:val="auto"/>
          <w:sz w:val="16"/>
          <w:szCs w:val="16"/>
        </w:rPr>
        <w:t>on 73,2</w:t>
      </w:r>
      <w:r w:rsidRPr="002F3EF8">
        <w:rPr>
          <w:color w:val="auto"/>
          <w:sz w:val="16"/>
          <w:szCs w:val="16"/>
        </w:rPr>
        <w:t xml:space="preserve">% </w:t>
      </w:r>
      <w:r w:rsidRPr="002F3EF8">
        <w:rPr>
          <w:color w:val="auto"/>
          <w:sz w:val="16"/>
          <w:szCs w:val="16"/>
        </w:rPr>
        <w:t>osake</w:t>
      </w:r>
      <w:r w:rsidRPr="002F3EF8">
        <w:rPr>
          <w:color w:val="auto"/>
          <w:sz w:val="16"/>
          <w:szCs w:val="16"/>
        </w:rPr>
        <w:t xml:space="preserve">kohtaisesta </w:t>
      </w:r>
      <w:r w:rsidRPr="004A49BC">
        <w:rPr>
          <w:sz w:val="16"/>
          <w:szCs w:val="16"/>
        </w:rPr>
        <w:t>tuloksesta.</w:t>
      </w:r>
    </w:p>
    <w:p w:rsidR="00C612D3" w:rsidRPr="0022534C" w:rsidP="00B30FF3" w14:paraId="25A7B625" w14:textId="695CB6FC">
      <w:pPr>
        <w:pStyle w:val="WHeading20"/>
        <w:rPr>
          <w:b w:val="0"/>
          <w:bCs/>
          <w:szCs w:val="20"/>
          <w:lang w:val="en-GB"/>
        </w:rPr>
      </w:pPr>
      <w:bookmarkStart w:id="3" w:name="RG_MARKER_7269"/>
      <w:r w:rsidRPr="0022534C">
        <w:rPr>
          <w:bCs/>
          <w:szCs w:val="20"/>
          <w:lang w:val="en-GB"/>
        </w:rPr>
        <w:t xml:space="preserve">VUOSI </w:t>
      </w:r>
      <w:bookmarkEnd w:id="3"/>
      <w:r>
        <w:rPr>
          <w:bCs/>
          <w:szCs w:val="20"/>
          <w:lang w:val="en-GB"/>
        </w:rPr>
        <w:t>2021</w:t>
      </w:r>
    </w:p>
    <w:p w:rsidR="0088375F" w:rsidRPr="008C7BF2" w:rsidP="00B825B0">
      <w:pPr>
        <w:pStyle w:val="WHeading3"/>
        <w:rPr>
          <w:b/>
          <w:bCs/>
          <w:sz w:val="17"/>
          <w:szCs w:val="17"/>
        </w:rPr>
      </w:pPr>
      <w:bookmarkStart w:id="4" w:name="RG_MARKER_7503"/>
      <w:r w:rsidRPr="008C7BF2">
        <w:rPr>
          <w:b/>
          <w:bCs/>
          <w:sz w:val="17"/>
          <w:szCs w:val="17"/>
        </w:rPr>
        <w:t>Liiketoimintaympäristö</w:t>
      </w:r>
      <w:bookmarkEnd w:id="4"/>
    </w:p>
    <w:p w:rsidR="007D550D" w:rsidRPr="008C7BF2" w:rsidP="009D6164">
      <w:pPr>
        <w:pStyle w:val="WHeadingException3"/>
        <w:rPr>
          <w:color w:val="0F172B"/>
        </w:rPr>
      </w:pPr>
      <w:r w:rsidRPr="008C7BF2">
        <w:rPr>
          <w:color w:val="0F172B"/>
        </w:rPr>
        <w:t>Merenkulkumarkkinat</w:t>
      </w:r>
    </w:p>
    <w:p w:rsidR="00CC6822" w:rsidRPr="00CC6822" w:rsidP="00CC6822">
      <w:pPr>
        <w:pStyle w:val="WNormal"/>
        <w:rPr>
          <w:sz w:val="16"/>
          <w:szCs w:val="16"/>
        </w:rPr>
      </w:pPr>
      <w:r w:rsidRPr="00CC6822">
        <w:rPr>
          <w:sz w:val="16"/>
          <w:szCs w:val="16"/>
        </w:rPr>
        <w:t>Kysyntä merenkulku- ja laivanrakennusmarkkinoiden eri alussegmenteillä oli vaihtelevaa vuonna 2021. Katsauskaudelle tammi-joulukuu kirjattiin kaikkiaan 1 855 sopimusta uusien alusten rakentamisesta (815 vastaavalla ajanjaksolla vuonna 2020 lukuun ottamatta kauden jälkeen raportoituja tilauksia) pitkälti konttialustilausten siivittämänä. Kontti-, kaasunkuljetus-, ja irtolastialussektoreilla kasvava ja patoutunut kysyntä sekä logistiset häiriöt ovat johtaneet rahtitonnistopulaan sekä nostaneet tuotot ja uusien alusten tilaukset koronaa edeltävää tasoa korkeammalle. Uusien alusten tilausten kasvu on pidentänyt isompien telakkakonsernien tilauskirjoja. Ne ovat onnistuneet torjumaan raaka-ainekustannusten nopean nousun vaikutuksia nostamalla uusien alusten hintoja. Korkeat tuotot ja rahtitonniston kysyntä ovat kuitenkin johtaneet esimerkiksi rikkipesureiden jälkiasennusten ja muiden kuivatelakointia vaativien toimenpiteiden lykkäyksiin. Samaan aikaan koronarokotusohjelmien edistyminen ja matkustusrajoitusten purkaminen keskeisillä risteilymarkkinoilla ovat edelleen tukeneet risteilyalusten palauttamista liikenteeseen. Omikronvariantin vaikutukset jatkossa aiheuttavat kuitenkin yhä epävarmuutta. Uusien risteilyalusten kysyntä on edelleen rajallista ja käyttöasteet yhä alhaisemmat kuin vuonna 2019.</w:t>
      </w:r>
    </w:p>
    <w:p w:rsidR="00CC6822" w:rsidRPr="00CC6822" w:rsidP="00CC6822">
      <w:pPr>
        <w:pStyle w:val="WNormal"/>
        <w:rPr>
          <w:sz w:val="16"/>
          <w:szCs w:val="16"/>
        </w:rPr>
      </w:pPr>
      <w:r w:rsidRPr="00CC6822">
        <w:rPr>
          <w:sz w:val="16"/>
          <w:szCs w:val="16"/>
        </w:rPr>
        <w:t xml:space="preserve">Wärtsilälle tärkeimmät segmentit, erikoistuneet alukset, ovat toipuneet pandemian aiheuttamasta myllerryksestä vaihtelevasti. Risteilyalusten uudelleenaktivointi eteni vuoden toisella puoliskolla, kun laivayhtiöt jatkoivat liikennöintiä. Joulukuun lopussa noin 70% risteilyaluskapasiteetista oli käytössä, kun syyskuun lopussa luku oli noin 50% ja kesäkuun lopussa noin 20%. Matkustajalauttamarkkinoilla jatkuu myönteinen suuntaus, vaikka koronarajoitukset rajoittavat yhä jossain määrin matkustusta. </w:t>
      </w:r>
      <w:r w:rsidRPr="00CC6822">
        <w:rPr>
          <w:sz w:val="16"/>
          <w:szCs w:val="16"/>
        </w:rPr>
        <w:t>Offshore</w:t>
      </w:r>
      <w:r w:rsidRPr="00CC6822">
        <w:rPr>
          <w:sz w:val="16"/>
          <w:szCs w:val="16"/>
        </w:rPr>
        <w:t xml:space="preserve">-öljy- ja -kaasualalla aktiviteetti kasvoi hieman alusten kysynnän hienoisen nousun ja lisääntyneiden romutusten myötä. Esimerkiksi merituulivoimaloiden asennustöissä käytettävien alusten kysyntä on parantunut johtuen toiminnassa olevien merituulipuistojen vahvasta kasvusta. Nesteytetyn maakaasun (LNG) kuljetusalusten markkinatilanne on hyvällä tasolla, sillä </w:t>
      </w:r>
      <w:r w:rsidRPr="00CC6822">
        <w:rPr>
          <w:sz w:val="16"/>
          <w:szCs w:val="16"/>
        </w:rPr>
        <w:t>LNG:n</w:t>
      </w:r>
      <w:r w:rsidRPr="00CC6822">
        <w:rPr>
          <w:sz w:val="16"/>
          <w:szCs w:val="16"/>
        </w:rPr>
        <w:t xml:space="preserve"> varastotasot ovat ennätysalhaiset, mikä tukee LNG-kauppaa ja tonniston kysyntää kaasun hinnan vahvasta noususta huolimatta. Konttialusten markkinaolosuhteet ovat jatkuneet poikkeuksellisen hyvinä. Satamaruuhkat, laajat logistiset häiriöt ja vahva kysyntä ovat johtaneet jälleen ennätyksellisiin rahti- ja tilauskuljetushintoihin sekä uusien alusten tilauksiin. Säiliö- ja etenkin raakaöljyalusmarkkinoilla haasteet jatkuivat. </w:t>
      </w:r>
    </w:p>
    <w:p w:rsidR="00DE3EE9" w:rsidRPr="00040672" w:rsidP="00CC6822">
      <w:pPr>
        <w:pStyle w:val="WNormal"/>
        <w:rPr>
          <w:sz w:val="16"/>
          <w:szCs w:val="16"/>
        </w:rPr>
      </w:pPr>
      <w:r w:rsidRPr="00CC6822">
        <w:rPr>
          <w:sz w:val="16"/>
          <w:szCs w:val="16"/>
        </w:rPr>
        <w:t>Vallitsevana suuntauksena on edelleen ympäristöhuolien korostuminen, kun poliittiset päättäjät, lastinomistajat ja rahoittajat kiristävät sääntelyä ja julkaisevat tiukempia kannanottoja tarkoituksenaan painostaa merenkulkualaa toimimaan nopeammin kuin Kansainvälisen merenkulkujärjestö IMO:n nykyiset tavoitteet edellyttävät. Heinäkuussa Euroopan komissio esitti ehdotuspaketin (</w:t>
      </w:r>
      <w:r w:rsidRPr="00CC6822">
        <w:rPr>
          <w:sz w:val="16"/>
          <w:szCs w:val="16"/>
        </w:rPr>
        <w:t>Fit</w:t>
      </w:r>
      <w:r w:rsidRPr="00CC6822">
        <w:rPr>
          <w:sz w:val="16"/>
          <w:szCs w:val="16"/>
        </w:rPr>
        <w:t xml:space="preserve"> for 55) kasvihuonekaasupäästöjen vähentämiseksi vähintään 55% vuoden 1990 tasosta vuoteen 2030 mennessä. Yksi monista ehdotuksista koski meriliikenteen sisällyttämistä päästökauppajärjestelmään vuodesta 2023 lähtien. </w:t>
      </w:r>
      <w:r w:rsidRPr="00CC6822">
        <w:rPr>
          <w:sz w:val="16"/>
          <w:szCs w:val="16"/>
        </w:rPr>
        <w:t>FuelEU</w:t>
      </w:r>
      <w:r w:rsidRPr="00CC6822">
        <w:rPr>
          <w:sz w:val="16"/>
          <w:szCs w:val="16"/>
        </w:rPr>
        <w:t xml:space="preserve"> </w:t>
      </w:r>
      <w:r w:rsidRPr="00CC6822">
        <w:rPr>
          <w:sz w:val="16"/>
          <w:szCs w:val="16"/>
        </w:rPr>
        <w:t>Maritime</w:t>
      </w:r>
      <w:r w:rsidRPr="00CC6822">
        <w:rPr>
          <w:sz w:val="16"/>
          <w:szCs w:val="16"/>
        </w:rPr>
        <w:t xml:space="preserve"> -aloite puolestaan tähtää puhtaampien teknologioiden ja kestävien vaihtoehtoisten polttoaineiden käyttöönottoon rajoittamalla alusten käyttämän energian kasvihuonekaasuintensiteettiä. Paineet löytää keinoja pysäyttää ilmastonmuutos kasvavat maailmanlaajuisesti, minkä johdosta varustamoiden on pohdittava erilaisia vaihtoehtoja, kuten alempia ajonopeuksia, energiaa säästäviä laitteita, laivaliikenteen optimointiratkaisuja, hybridi- ja täyssähkövoimajärjestelmiä sekä vaihtoehtoisia polttoaineita. Siirtymä puhtaampiin polttoaineisiin on jo käynnistynyt. Tammi-joulukuun katsauskaudella tehtiin 384 tilausta vaihtoehtoisia polttoaineita käyttävistä aluksista, mikä on 21% (17%) kaikista katsauskauden uusien alusten tilauksista. LNG on suosituin valinta, ja sen suosio vain kasvaa, vaikka muutkin vaihtoehtoiset polttoaineet yleistyvät hiljalleen. Korkea- ja vähärikkisten polttoaineiden hintaero kasvoi läpi vuoden 150 dollariin tonnilta. Rikkipesuriasennusten kysyntä painottui yhä uusiin aluksiin. Vuonna 2021 tilauksia tehtiin 231 alukseen maailmanlaajuisesti. Rikkipesureiden jälkiasennusten kysyntä oli yhä vaimeaa.</w:t>
      </w:r>
    </w:p>
    <w:p w:rsidR="007D550D" w:rsidRPr="008C7BF2" w:rsidP="002E49A1">
      <w:pPr>
        <w:pStyle w:val="WHeadingException3"/>
        <w:rPr>
          <w:color w:val="0F172B"/>
          <w:szCs w:val="16"/>
        </w:rPr>
      </w:pPr>
      <w:r w:rsidRPr="008C7BF2">
        <w:rPr>
          <w:color w:val="0F172B"/>
          <w:szCs w:val="16"/>
        </w:rPr>
        <w:t>Energiamarkkin</w:t>
      </w:r>
      <w:r w:rsidRPr="008C7BF2">
        <w:rPr>
          <w:color w:val="0F172B"/>
          <w:szCs w:val="16"/>
        </w:rPr>
        <w:t>at</w:t>
      </w:r>
    </w:p>
    <w:p w:rsidR="00FA3FB1" w:rsidRPr="00FA3FB1" w:rsidP="00FA3FB1">
      <w:pPr>
        <w:pStyle w:val="WNormal"/>
        <w:rPr>
          <w:sz w:val="16"/>
          <w:szCs w:val="16"/>
          <w:lang w:bidi="fi-FI"/>
        </w:rPr>
      </w:pPr>
      <w:r w:rsidRPr="00FA3FB1">
        <w:rPr>
          <w:sz w:val="16"/>
          <w:szCs w:val="16"/>
          <w:lang w:bidi="fi-FI"/>
        </w:rPr>
        <w:t xml:space="preserve">Koronaviruspandemiasta ja sitä seuranneesta investointiympäristön heikkenemisestä huolimatta nestepolttoaineita ja kaasua hyödyntävien voimalaitosten maailmanmarkkinat elpyivät vuoden 2021 loppua kohti. Vaikka markkinatilanne on paranemassa, asiakkaat lykkäävät edelleen investointeja pandemian kestoon, kehitykseen ja taloudellisiin vaikutuksiin liittyvän epävarmuuden vuoksi. Elpyminen vie todennäköisesti aikaa rokoteohjelmien edetessä hitaasti monilla ydinmarkkinoillamme. Lisäksi energia- ja ilmastopolitiikan </w:t>
      </w:r>
      <w:r w:rsidRPr="00FA3FB1">
        <w:rPr>
          <w:sz w:val="16"/>
          <w:szCs w:val="16"/>
          <w:lang w:bidi="fi-FI"/>
        </w:rPr>
        <w:t>kehittämis</w:t>
      </w:r>
      <w:r w:rsidRPr="00FA3FB1">
        <w:rPr>
          <w:sz w:val="16"/>
          <w:szCs w:val="16"/>
          <w:lang w:bidi="fi-FI"/>
        </w:rPr>
        <w:t>- ja arviointityö eri puolilla maailmaa kunnianhimoisempien hiilineutraaliustavoitteiden saavuttamiseksi sekä sähköyhtiöiden investointistrategioiden päivitystyö aiheuttavat epävarmuutta ja viivästyksiä päätöksenteossa. Kansalliset sitoumukset ja nettopäästöttömyystavoitteet kattavat valtaosan maailman kasvihuonekaasupäästöistä, mutta yksityiskohtaiset suunnitelmat ja strategiat päästöjen leikkaamiseksi jo tällä vuosikymmenellä ovat vielä kesken. Energian varastoinnin kysyntä on jatkunut hyvällä tasolla johtuen kasvavasta lyhytaikaisen joustavan kapasiteetin tarpeesta sähköjärjestelmissä, joissa uusiutuvien energialähteiden osuus on suuri. Erilaisten joustavien ratkaisujen, kuten energian varastoinnin ja säätövoimalaitosten, tarpeen odotetaan jatkossa kasvavan samalla, kun epäsäännöllisen uusiutuvan energian osuus sähköjärjestelmissä kasvaa. Hallitusten ja rahoituslaitosten energia-alalle kohdistamilla elvytystoimilla on tarkoitus tukea investointeja vihreään energiaan, mutta näiden suunnitelmien toteuttaminen laajemmassa mittakaavassa on vielä kesken. Palveluiden kysyntä oli hyvällä tasolla. Asiakkaat osoittivat edelleen kiinnostusta pitkäaikaisia sopimuksia kohtaan, mikä vakauttaa liiketoimintaa, jossa laitetilaukset ovat tyypillisesti harvoja ja isoja.</w:t>
      </w:r>
    </w:p>
    <w:p w:rsidR="00F015E9" w:rsidRPr="00040672" w:rsidP="00FA3FB1">
      <w:pPr>
        <w:pStyle w:val="WNormal"/>
        <w:rPr>
          <w:sz w:val="16"/>
          <w:szCs w:val="16"/>
        </w:rPr>
      </w:pPr>
      <w:r w:rsidRPr="00FA3FB1">
        <w:rPr>
          <w:sz w:val="16"/>
          <w:szCs w:val="16"/>
          <w:lang w:bidi="fi-FI"/>
        </w:rPr>
        <w:t>Wärtsilän osuus enintään 500 MW:n laitosten markkinasegmentistä laski 5 prosenttiin (6) samalla, kun maailmanlaajuiset maakaasu- ja nestevoimalaitosten tilaukset kasvoivat 10% 19,2 gigawattiin syyskuussa 2021 päättyneellä 12 kuukauden ajanjaksolla (17,4 GW kesäkuun lopussa). Globaali tilausmäärä sisältää kaasuturbiinit ja Wärtsilän toimitukset, joissa voimakone on kooltaan vähintään 5 MW. Tiedot ovat peräisin McCoy Power Report  julkaisusta.</w:t>
      </w:r>
    </w:p>
    <w:p w:rsidR="00E349CA" w:rsidRPr="005848B2" w:rsidP="006D4E54" w14:paraId="20D2F816" w14:textId="77777777">
      <w:pPr>
        <w:pStyle w:val="WHeading3"/>
      </w:pPr>
      <w:bookmarkStart w:id="5" w:name="RG_MARKER_7475"/>
      <w:r w:rsidRPr="005848B2">
        <w:t>Tilauskertymä ja tilauskanta</w:t>
      </w:r>
      <w:bookmarkEnd w:id="5"/>
    </w:p>
    <w:p w:rsidR="00D037C2" w:rsidRPr="00950C76" w:rsidP="00D037C2" w14:paraId="58843237" w14:textId="74761FF3">
      <w:pPr>
        <w:pStyle w:val="WNormal"/>
        <w:rPr>
          <w:sz w:val="16"/>
          <w:szCs w:val="16"/>
        </w:rPr>
      </w:pPr>
      <w:r w:rsidRPr="00C021A0">
        <w:rPr>
          <w:sz w:val="16"/>
          <w:szCs w:val="16"/>
        </w:rPr>
        <w:t xml:space="preserve">Wärtsilän tilauskertymä </w:t>
      </w:r>
      <w:r w:rsidRPr="00C021A0" w:rsidR="00BC0EE0">
        <w:rPr>
          <w:sz w:val="16"/>
          <w:szCs w:val="16"/>
        </w:rPr>
        <w:t xml:space="preserve">vuonna </w:t>
      </w:r>
      <w:r w:rsidRPr="00C021A0">
        <w:rPr>
          <w:sz w:val="16"/>
          <w:szCs w:val="16"/>
        </w:rPr>
        <w:t>2021</w:t>
      </w:r>
      <w:r w:rsidRPr="00C021A0">
        <w:rPr>
          <w:sz w:val="16"/>
          <w:szCs w:val="16"/>
        </w:rPr>
        <w:t xml:space="preserve"> </w:t>
      </w:r>
      <w:r w:rsidRPr="00C021A0">
        <w:rPr>
          <w:sz w:val="16"/>
          <w:szCs w:val="16"/>
        </w:rPr>
        <w:t>kasvoi 32% 5 735 miljoonaan euroon</w:t>
      </w:r>
      <w:r w:rsidRPr="00C021A0">
        <w:rPr>
          <w:sz w:val="16"/>
          <w:szCs w:val="16"/>
        </w:rPr>
        <w:t xml:space="preserve"> (</w:t>
      </w:r>
      <w:r w:rsidRPr="00C021A0">
        <w:rPr>
          <w:sz w:val="16"/>
          <w:szCs w:val="16"/>
        </w:rPr>
        <w:t>4 359</w:t>
      </w:r>
      <w:r w:rsidRPr="00C021A0">
        <w:rPr>
          <w:sz w:val="16"/>
          <w:szCs w:val="16"/>
        </w:rPr>
        <w:t xml:space="preserve">) </w:t>
      </w:r>
      <w:r w:rsidRPr="00950C76">
        <w:rPr>
          <w:sz w:val="16"/>
          <w:szCs w:val="16"/>
        </w:rPr>
        <w:t xml:space="preserve">edellisvuoden alhaisiin tilaustasoihin </w:t>
      </w:r>
      <w:r w:rsidRPr="00C021A0">
        <w:rPr>
          <w:sz w:val="16"/>
          <w:szCs w:val="16"/>
        </w:rPr>
        <w:t xml:space="preserve">nähden. </w:t>
      </w:r>
      <w:r w:rsidRPr="00C021A0">
        <w:rPr>
          <w:sz w:val="16"/>
          <w:szCs w:val="16"/>
        </w:rPr>
        <w:t xml:space="preserve">Tilaus-laskutussuhde oli </w:t>
      </w:r>
      <w:r w:rsidRPr="00C021A0">
        <w:rPr>
          <w:sz w:val="16"/>
          <w:szCs w:val="16"/>
        </w:rPr>
        <w:t>1,20</w:t>
      </w:r>
      <w:r w:rsidRPr="00C021A0">
        <w:rPr>
          <w:sz w:val="16"/>
          <w:szCs w:val="16"/>
        </w:rPr>
        <w:t xml:space="preserve"> (</w:t>
      </w:r>
      <w:r w:rsidRPr="00C021A0">
        <w:rPr>
          <w:sz w:val="16"/>
          <w:szCs w:val="16"/>
        </w:rPr>
        <w:t>0,95</w:t>
      </w:r>
      <w:r w:rsidRPr="00C021A0">
        <w:rPr>
          <w:sz w:val="16"/>
          <w:szCs w:val="16"/>
        </w:rPr>
        <w:t xml:space="preserve">). </w:t>
      </w:r>
      <w:r w:rsidRPr="00950C76">
        <w:rPr>
          <w:sz w:val="16"/>
          <w:szCs w:val="16"/>
        </w:rPr>
        <w:t xml:space="preserve">Palveluiden tilauskertymä </w:t>
      </w:r>
      <w:r w:rsidRPr="00950C76">
        <w:rPr>
          <w:sz w:val="16"/>
          <w:szCs w:val="16"/>
        </w:rPr>
        <w:t>kasvoi 17% 2 656 miljoonaan euroon</w:t>
      </w:r>
      <w:r w:rsidRPr="00950C76">
        <w:rPr>
          <w:sz w:val="16"/>
          <w:szCs w:val="16"/>
        </w:rPr>
        <w:t xml:space="preserve"> (</w:t>
      </w:r>
      <w:r w:rsidRPr="00950C76">
        <w:rPr>
          <w:sz w:val="16"/>
          <w:szCs w:val="16"/>
        </w:rPr>
        <w:t>2 267</w:t>
      </w:r>
      <w:r w:rsidRPr="00950C76">
        <w:rPr>
          <w:sz w:val="16"/>
          <w:szCs w:val="16"/>
        </w:rPr>
        <w:t xml:space="preserve">) heijastellen merenkulkumarkkinoiden piristymistä. Laitteiden tilauskertymä </w:t>
      </w:r>
      <w:r w:rsidRPr="00950C76">
        <w:rPr>
          <w:sz w:val="16"/>
          <w:szCs w:val="16"/>
        </w:rPr>
        <w:t>kasvoi 47% 3 079 miljoonaan euroon</w:t>
      </w:r>
      <w:r w:rsidRPr="00950C76">
        <w:rPr>
          <w:sz w:val="16"/>
          <w:szCs w:val="16"/>
        </w:rPr>
        <w:t xml:space="preserve"> (</w:t>
      </w:r>
      <w:r w:rsidRPr="00950C76">
        <w:rPr>
          <w:sz w:val="16"/>
          <w:szCs w:val="16"/>
        </w:rPr>
        <w:t>2 091</w:t>
      </w:r>
      <w:r w:rsidRPr="00950C76">
        <w:rPr>
          <w:sz w:val="16"/>
          <w:szCs w:val="16"/>
        </w:rPr>
        <w:t>) energian varastointiratkaisujen vahvan kysynnän ja joidenkin merkittävien voimalaitostilausten ansiosta.</w:t>
      </w:r>
    </w:p>
    <w:p w:rsidR="000C6E13" w:rsidRPr="00C021A0" w:rsidP="00D037C2" w14:paraId="62875A18" w14:textId="19BBE101">
      <w:pPr>
        <w:pStyle w:val="WNormal"/>
        <w:rPr>
          <w:sz w:val="16"/>
          <w:szCs w:val="16"/>
        </w:rPr>
      </w:pPr>
      <w:r w:rsidRPr="00C021A0">
        <w:rPr>
          <w:sz w:val="16"/>
          <w:szCs w:val="16"/>
        </w:rPr>
        <w:t xml:space="preserve">Vuoden lopun tilauskanta </w:t>
      </w:r>
      <w:r w:rsidRPr="00C021A0">
        <w:rPr>
          <w:sz w:val="16"/>
          <w:szCs w:val="16"/>
        </w:rPr>
        <w:t>kasvoi 16% 5 859 miljoonaan euroon</w:t>
      </w:r>
      <w:r w:rsidRPr="00C021A0">
        <w:rPr>
          <w:sz w:val="16"/>
          <w:szCs w:val="16"/>
        </w:rPr>
        <w:t xml:space="preserve"> (</w:t>
      </w:r>
      <w:r w:rsidRPr="00C021A0">
        <w:rPr>
          <w:sz w:val="16"/>
          <w:szCs w:val="16"/>
        </w:rPr>
        <w:t>5 057</w:t>
      </w:r>
      <w:r w:rsidRPr="00C021A0">
        <w:rPr>
          <w:sz w:val="16"/>
          <w:szCs w:val="16"/>
        </w:rPr>
        <w:t>)</w:t>
      </w:r>
      <w:r>
        <w:rPr>
          <w:sz w:val="16"/>
          <w:szCs w:val="16"/>
        </w:rPr>
        <w:t xml:space="preserve"> </w:t>
      </w:r>
      <w:r w:rsidRPr="00950C76">
        <w:rPr>
          <w:sz w:val="16"/>
          <w:szCs w:val="16"/>
        </w:rPr>
        <w:t>tiettyjen liiketoimintayksiköiden myynneistä huolimatta</w:t>
      </w:r>
      <w:r w:rsidRPr="00C021A0">
        <w:rPr>
          <w:sz w:val="16"/>
          <w:szCs w:val="16"/>
        </w:rPr>
        <w:t xml:space="preserve">. Wärtsilän tämänhetkisestä tilauskannasta on määrä toimittaa vuoden </w:t>
      </w:r>
      <w:r w:rsidRPr="00C021A0">
        <w:rPr>
          <w:sz w:val="16"/>
          <w:szCs w:val="16"/>
        </w:rPr>
        <w:t>2021</w:t>
      </w:r>
      <w:r w:rsidRPr="00C021A0">
        <w:rPr>
          <w:sz w:val="16"/>
          <w:szCs w:val="16"/>
        </w:rPr>
        <w:t xml:space="preserve"> aikana </w:t>
      </w:r>
      <w:r>
        <w:rPr>
          <w:rFonts w:ascii="Helvetica" w:hAnsi="Helvetica" w:cs="Helvetica"/>
          <w:color w:val="212529"/>
          <w:sz w:val="16"/>
          <w:szCs w:val="16"/>
        </w:rPr>
        <w:t>3 763</w:t>
      </w:r>
      <w:r w:rsidRPr="00C021A0">
        <w:rPr>
          <w:rFonts w:ascii="Helvetica" w:hAnsi="Helvetica" w:cs="Helvetica"/>
          <w:color w:val="212529"/>
          <w:sz w:val="16"/>
          <w:szCs w:val="16"/>
        </w:rPr>
        <w:t xml:space="preserve"> </w:t>
      </w:r>
      <w:r w:rsidRPr="00C021A0">
        <w:rPr>
          <w:sz w:val="16"/>
          <w:szCs w:val="16"/>
        </w:rPr>
        <w:t>miljoonaa euroa (</w:t>
      </w:r>
      <w:r>
        <w:rPr>
          <w:rFonts w:ascii="Helvetica" w:hAnsi="Helvetica" w:cs="Helvetica"/>
          <w:color w:val="212529"/>
          <w:sz w:val="16"/>
          <w:szCs w:val="16"/>
        </w:rPr>
        <w:t>3 298</w:t>
      </w:r>
      <w:r w:rsidRPr="00C021A0">
        <w:rPr>
          <w:sz w:val="16"/>
          <w:szCs w:val="16"/>
        </w:rPr>
        <w:t>).</w:t>
      </w:r>
    </w:p>
    <w:p w:rsidR="00F714BD" w:rsidRPr="00906117" w:rsidP="00792914">
      <w:pPr>
        <w:pStyle w:val="WHeading3"/>
      </w:pPr>
      <w:bookmarkStart w:id="6" w:name="RG_MARKER_7271"/>
      <w:r w:rsidRPr="00906117">
        <w:t>Liikevaihto ja liiketulos</w:t>
      </w:r>
      <w:bookmarkEnd w:id="6"/>
    </w:p>
    <w:p w:rsidR="00372D5D" w:rsidRPr="00086092" w:rsidP="00372D5D">
      <w:pPr>
        <w:pStyle w:val="WNormal"/>
        <w:rPr>
          <w:color w:val="111111"/>
          <w:sz w:val="16"/>
          <w:szCs w:val="16"/>
        </w:rPr>
      </w:pPr>
      <w:r w:rsidRPr="00086092">
        <w:rPr>
          <w:color w:val="111111"/>
          <w:sz w:val="16"/>
          <w:szCs w:val="16"/>
        </w:rPr>
        <w:t xml:space="preserve">Wärtsilän liikevaihto vuonna </w:t>
      </w:r>
      <w:r w:rsidRPr="00086092">
        <w:rPr>
          <w:sz w:val="16"/>
          <w:szCs w:val="16"/>
        </w:rPr>
        <w:t>2021</w:t>
      </w:r>
      <w:r w:rsidRPr="00086092">
        <w:rPr>
          <w:color w:val="111111"/>
          <w:sz w:val="16"/>
          <w:szCs w:val="16"/>
        </w:rPr>
        <w:t xml:space="preserve"> </w:t>
      </w:r>
      <w:r w:rsidRPr="00086092">
        <w:rPr>
          <w:color w:val="111111"/>
          <w:sz w:val="16"/>
          <w:szCs w:val="16"/>
        </w:rPr>
        <w:t>kasvoi 4% 4 778 miljoonaan euroon</w:t>
      </w:r>
      <w:r w:rsidRPr="00086092">
        <w:rPr>
          <w:color w:val="111111"/>
          <w:sz w:val="16"/>
          <w:szCs w:val="16"/>
        </w:rPr>
        <w:t xml:space="preserve"> (</w:t>
      </w:r>
      <w:r w:rsidRPr="00086092">
        <w:rPr>
          <w:color w:val="111111"/>
          <w:sz w:val="16"/>
          <w:szCs w:val="16"/>
        </w:rPr>
        <w:t>4 604</w:t>
      </w:r>
      <w:r w:rsidRPr="00086092">
        <w:rPr>
          <w:color w:val="111111"/>
          <w:sz w:val="16"/>
          <w:szCs w:val="16"/>
        </w:rPr>
        <w:t xml:space="preserve">) edellisvuoteen nähden. </w:t>
      </w:r>
      <w:r w:rsidRPr="00086092">
        <w:rPr>
          <w:color w:val="111111"/>
          <w:sz w:val="16"/>
          <w:szCs w:val="16"/>
          <w:lang w:val="en-GB"/>
        </w:rPr>
        <w:t>Palveluiden liikevaihto</w:t>
      </w:r>
      <w:r w:rsidRPr="00086092">
        <w:rPr>
          <w:color w:val="111111"/>
          <w:sz w:val="16"/>
          <w:szCs w:val="16"/>
          <w:lang w:val="en-GB"/>
        </w:rPr>
        <w:t xml:space="preserve"> </w:t>
      </w:r>
      <w:r w:rsidRPr="00086092">
        <w:rPr>
          <w:color w:val="111111"/>
          <w:sz w:val="16"/>
          <w:szCs w:val="16"/>
          <w:lang w:val="en-GB"/>
        </w:rPr>
        <w:t>kasvoi 11% 2 499 miljoonaan euroon</w:t>
      </w:r>
      <w:r w:rsidRPr="00086092">
        <w:rPr>
          <w:color w:val="111111"/>
          <w:sz w:val="16"/>
          <w:szCs w:val="16"/>
          <w:lang w:val="en-GB"/>
        </w:rPr>
        <w:t xml:space="preserve"> (</w:t>
      </w:r>
      <w:r w:rsidRPr="00086092">
        <w:rPr>
          <w:color w:val="111111"/>
          <w:sz w:val="16"/>
          <w:szCs w:val="16"/>
          <w:lang w:val="en-GB"/>
        </w:rPr>
        <w:t>2 255</w:t>
      </w:r>
      <w:r w:rsidRPr="00086092">
        <w:rPr>
          <w:color w:val="111111"/>
          <w:sz w:val="16"/>
          <w:szCs w:val="16"/>
          <w:lang w:val="en-GB"/>
        </w:rPr>
        <w:t>)</w:t>
      </w:r>
      <w:r>
        <w:rPr>
          <w:color w:val="111111"/>
          <w:sz w:val="16"/>
          <w:szCs w:val="16"/>
          <w:lang w:val="en-GB"/>
        </w:rPr>
        <w:t xml:space="preserve"> </w:t>
      </w:r>
      <w:r w:rsidRPr="00AA2867">
        <w:rPr>
          <w:color w:val="111111"/>
          <w:sz w:val="16"/>
          <w:szCs w:val="16"/>
          <w:lang w:val="en-GB"/>
        </w:rPr>
        <w:t>heikkoon vertailuvuoteen nähden</w:t>
      </w:r>
      <w:r w:rsidRPr="00086092">
        <w:rPr>
          <w:color w:val="111111"/>
          <w:sz w:val="16"/>
          <w:szCs w:val="16"/>
          <w:lang w:val="en-GB"/>
        </w:rPr>
        <w:t xml:space="preserve">. Laitteiden liikevaihto </w:t>
      </w:r>
      <w:r w:rsidRPr="00086092">
        <w:rPr>
          <w:color w:val="111111"/>
          <w:sz w:val="16"/>
          <w:szCs w:val="16"/>
          <w:lang w:val="en-GB"/>
        </w:rPr>
        <w:t>laski 3% 2 279 miljoonaan euroon</w:t>
      </w:r>
      <w:r w:rsidRPr="00086092">
        <w:rPr>
          <w:color w:val="111111"/>
          <w:sz w:val="16"/>
          <w:szCs w:val="16"/>
          <w:lang w:val="en-GB"/>
        </w:rPr>
        <w:t xml:space="preserve"> (</w:t>
      </w:r>
      <w:r w:rsidRPr="00086092">
        <w:rPr>
          <w:color w:val="111111"/>
          <w:sz w:val="16"/>
          <w:szCs w:val="16"/>
          <w:lang w:val="en-GB"/>
        </w:rPr>
        <w:t>2 349</w:t>
      </w:r>
      <w:r w:rsidRPr="00086092">
        <w:rPr>
          <w:color w:val="111111"/>
          <w:sz w:val="16"/>
          <w:szCs w:val="16"/>
          <w:lang w:val="en-GB"/>
        </w:rPr>
        <w:t xml:space="preserve">). </w:t>
      </w:r>
      <w:r w:rsidRPr="00086092">
        <w:rPr>
          <w:color w:val="111111"/>
          <w:sz w:val="16"/>
          <w:szCs w:val="16"/>
        </w:rPr>
        <w:t xml:space="preserve">Wärtsilän liikevaihdosta noin </w:t>
      </w:r>
      <w:r w:rsidRPr="00086092">
        <w:rPr>
          <w:color w:val="111111"/>
          <w:sz w:val="16"/>
          <w:szCs w:val="16"/>
        </w:rPr>
        <w:t>60</w:t>
      </w:r>
      <w:r w:rsidRPr="00086092">
        <w:rPr>
          <w:color w:val="111111"/>
          <w:sz w:val="16"/>
          <w:szCs w:val="16"/>
        </w:rPr>
        <w:t xml:space="preserve">% oli euromääräistä ja </w:t>
      </w:r>
      <w:r w:rsidRPr="00086092">
        <w:rPr>
          <w:color w:val="111111"/>
          <w:sz w:val="16"/>
          <w:szCs w:val="16"/>
        </w:rPr>
        <w:t>25</w:t>
      </w:r>
      <w:r w:rsidRPr="00086092">
        <w:rPr>
          <w:color w:val="111111"/>
          <w:sz w:val="16"/>
          <w:szCs w:val="16"/>
        </w:rPr>
        <w:t>% Yhdysvaltain dollareissa. Loppuosa liikevaihdosta jakautui usean valuutan kesken.</w:t>
      </w:r>
    </w:p>
    <w:p w:rsidR="00372D5D" w:rsidRPr="00086092" w:rsidP="00372D5D">
      <w:pPr>
        <w:pStyle w:val="WNormal"/>
        <w:rPr>
          <w:color w:val="111111"/>
          <w:sz w:val="16"/>
          <w:szCs w:val="16"/>
        </w:rPr>
      </w:pPr>
      <w:r w:rsidRPr="00086092">
        <w:rPr>
          <w:color w:val="111111"/>
          <w:sz w:val="16"/>
          <w:szCs w:val="16"/>
        </w:rPr>
        <w:t xml:space="preserve">Liiketulos oli </w:t>
      </w:r>
      <w:r w:rsidRPr="00086092">
        <w:rPr>
          <w:color w:val="111111"/>
          <w:sz w:val="16"/>
          <w:szCs w:val="16"/>
        </w:rPr>
        <w:t>314</w:t>
      </w:r>
      <w:r w:rsidRPr="00086092">
        <w:rPr>
          <w:color w:val="111111"/>
          <w:sz w:val="16"/>
          <w:szCs w:val="16"/>
        </w:rPr>
        <w:t xml:space="preserve"> miljoonaa euroa (</w:t>
      </w:r>
      <w:r w:rsidRPr="00086092">
        <w:rPr>
          <w:color w:val="111111"/>
          <w:sz w:val="16"/>
          <w:szCs w:val="16"/>
        </w:rPr>
        <w:t>234</w:t>
      </w:r>
      <w:r w:rsidRPr="00086092">
        <w:rPr>
          <w:color w:val="111111"/>
          <w:sz w:val="16"/>
          <w:szCs w:val="16"/>
        </w:rPr>
        <w:t xml:space="preserve">) eli </w:t>
      </w:r>
      <w:r w:rsidRPr="00086092">
        <w:rPr>
          <w:color w:val="111111"/>
          <w:sz w:val="16"/>
          <w:szCs w:val="16"/>
        </w:rPr>
        <w:t>6,6</w:t>
      </w:r>
      <w:r w:rsidRPr="00086092">
        <w:rPr>
          <w:color w:val="111111"/>
          <w:sz w:val="16"/>
          <w:szCs w:val="16"/>
        </w:rPr>
        <w:t>% liikevaihdosta (</w:t>
      </w:r>
      <w:r w:rsidRPr="00086092">
        <w:rPr>
          <w:color w:val="111111"/>
          <w:sz w:val="16"/>
          <w:szCs w:val="16"/>
        </w:rPr>
        <w:t>5,1</w:t>
      </w:r>
      <w:r w:rsidRPr="00086092">
        <w:rPr>
          <w:color w:val="111111"/>
          <w:sz w:val="16"/>
          <w:szCs w:val="16"/>
        </w:rPr>
        <w:t xml:space="preserve">). </w:t>
      </w:r>
      <w:r w:rsidRPr="00AA2867">
        <w:rPr>
          <w:sz w:val="16"/>
          <w:szCs w:val="16"/>
        </w:rPr>
        <w:t>Kannattavuuden paranemisen taustalla oli suotuisampi liikevaihdon jakauma laitteiden ja palveluiden kesken sekä palvelukapasiteetin korkeampi käyttöaste. Liiketu</w:t>
      </w:r>
      <w:r w:rsidRPr="00AA2867">
        <w:rPr>
          <w:sz w:val="16"/>
          <w:szCs w:val="16"/>
        </w:rPr>
        <w:t>losta rasittivat kuitenkin yhä koronapandemian siivittämä kustannusten nousu ja henkilöstön käyttöön liittyvät haasteet, tehtaiden kapasiteetin alhainen käyttöaste, hankinta- ja logistiikkakustannuksiin kohdistuva paine sekä Wärtsilä Energyssä ensimmäisell</w:t>
      </w:r>
      <w:r w:rsidRPr="00AA2867">
        <w:rPr>
          <w:sz w:val="16"/>
          <w:szCs w:val="16"/>
        </w:rPr>
        <w:t xml:space="preserve">ä vuosineljänneksellä suoritetun perusteellisen projektiriskiarvion perusteella tehdyt noin 20 miljoonan euron nettovaraukset. </w:t>
      </w:r>
      <w:r w:rsidRPr="00086092">
        <w:rPr>
          <w:color w:val="111111"/>
          <w:sz w:val="16"/>
          <w:szCs w:val="16"/>
        </w:rPr>
        <w:t xml:space="preserve">Vertailukelpoinen liiketulos oli </w:t>
      </w:r>
      <w:r w:rsidRPr="00086092">
        <w:rPr>
          <w:color w:val="111111"/>
          <w:sz w:val="16"/>
          <w:szCs w:val="16"/>
        </w:rPr>
        <w:t>357</w:t>
      </w:r>
      <w:r w:rsidRPr="00086092">
        <w:rPr>
          <w:color w:val="111111"/>
          <w:sz w:val="16"/>
          <w:szCs w:val="16"/>
        </w:rPr>
        <w:t xml:space="preserve"> miljoonaa euroa (</w:t>
      </w:r>
      <w:r w:rsidRPr="00086092">
        <w:rPr>
          <w:color w:val="111111"/>
          <w:sz w:val="16"/>
          <w:szCs w:val="16"/>
        </w:rPr>
        <w:t>275</w:t>
      </w:r>
      <w:r w:rsidRPr="00086092">
        <w:rPr>
          <w:color w:val="111111"/>
          <w:sz w:val="16"/>
          <w:szCs w:val="16"/>
          <w:lang w:val="en-GB"/>
        </w:rPr>
        <w:t>) e</w:t>
      </w:r>
      <w:r w:rsidRPr="00086092">
        <w:rPr>
          <w:color w:val="111111"/>
          <w:sz w:val="16"/>
          <w:szCs w:val="16"/>
          <w:lang w:val="en-GB"/>
        </w:rPr>
        <w:t xml:space="preserve">li </w:t>
      </w:r>
      <w:r w:rsidRPr="00086092">
        <w:rPr>
          <w:color w:val="111111"/>
          <w:sz w:val="16"/>
          <w:szCs w:val="16"/>
          <w:lang w:val="en-GB"/>
        </w:rPr>
        <w:t>7,5</w:t>
      </w:r>
      <w:r w:rsidRPr="00086092">
        <w:rPr>
          <w:color w:val="111111"/>
          <w:sz w:val="16"/>
          <w:szCs w:val="16"/>
          <w:lang w:val="en-GB"/>
        </w:rPr>
        <w:t>% liikevaihdosta (</w:t>
      </w:r>
      <w:r w:rsidRPr="00086092">
        <w:rPr>
          <w:color w:val="111111"/>
          <w:sz w:val="16"/>
          <w:szCs w:val="16"/>
          <w:lang w:val="en-GB"/>
        </w:rPr>
        <w:t>6,0</w:t>
      </w:r>
      <w:r w:rsidRPr="00086092">
        <w:rPr>
          <w:color w:val="111111"/>
          <w:sz w:val="16"/>
          <w:szCs w:val="16"/>
        </w:rPr>
        <w:t xml:space="preserve">). Vertailukelpoisuuteen vaikuttaviin eriin sisältyi </w:t>
      </w:r>
      <w:r w:rsidRPr="00086092">
        <w:rPr>
          <w:color w:val="111111"/>
          <w:sz w:val="16"/>
          <w:szCs w:val="16"/>
        </w:rPr>
        <w:t>43</w:t>
      </w:r>
      <w:r w:rsidRPr="00086092">
        <w:rPr>
          <w:color w:val="111111"/>
          <w:sz w:val="16"/>
          <w:szCs w:val="16"/>
        </w:rPr>
        <w:t xml:space="preserve"> miljoonaa euroa (</w:t>
      </w:r>
      <w:r w:rsidRPr="00086092">
        <w:rPr>
          <w:color w:val="111111"/>
          <w:sz w:val="16"/>
          <w:szCs w:val="16"/>
        </w:rPr>
        <w:t>41</w:t>
      </w:r>
      <w:r w:rsidRPr="00086092">
        <w:rPr>
          <w:color w:val="111111"/>
          <w:sz w:val="16"/>
          <w:szCs w:val="16"/>
        </w:rPr>
        <w:t>)</w:t>
      </w:r>
      <w:r>
        <w:rPr>
          <w:color w:val="111111"/>
          <w:sz w:val="16"/>
          <w:szCs w:val="16"/>
        </w:rPr>
        <w:t xml:space="preserve"> </w:t>
      </w:r>
      <w:r w:rsidRPr="00AA2867">
        <w:rPr>
          <w:color w:val="111111"/>
          <w:sz w:val="16"/>
          <w:szCs w:val="16"/>
        </w:rPr>
        <w:t>lähinnä yritysmyynteihin, rake</w:t>
      </w:r>
      <w:r w:rsidRPr="00AA2867">
        <w:rPr>
          <w:color w:val="111111"/>
          <w:sz w:val="16"/>
          <w:szCs w:val="16"/>
        </w:rPr>
        <w:t>nnejärjestelyihin ja toiminnan laajuuden muutoksiin liittyviä kuluja</w:t>
      </w:r>
      <w:r w:rsidRPr="00086092">
        <w:rPr>
          <w:color w:val="111111"/>
          <w:sz w:val="16"/>
          <w:szCs w:val="16"/>
        </w:rPr>
        <w:t xml:space="preserve">. Vertailukelpoinen oikaistu EBITA oli </w:t>
      </w:r>
      <w:r w:rsidRPr="00086092">
        <w:rPr>
          <w:color w:val="111111"/>
          <w:sz w:val="16"/>
          <w:szCs w:val="16"/>
        </w:rPr>
        <w:t>388</w:t>
      </w:r>
      <w:r w:rsidRPr="00086092">
        <w:rPr>
          <w:color w:val="111111"/>
          <w:sz w:val="16"/>
          <w:szCs w:val="16"/>
        </w:rPr>
        <w:t xml:space="preserve"> miljoonaa euroa (</w:t>
      </w:r>
      <w:r w:rsidRPr="00086092">
        <w:rPr>
          <w:color w:val="111111"/>
          <w:sz w:val="16"/>
          <w:szCs w:val="16"/>
        </w:rPr>
        <w:t>308</w:t>
      </w:r>
      <w:r w:rsidRPr="00086092">
        <w:rPr>
          <w:color w:val="111111"/>
          <w:sz w:val="16"/>
          <w:szCs w:val="16"/>
        </w:rPr>
        <w:t xml:space="preserve">) eli </w:t>
      </w:r>
      <w:r w:rsidRPr="00086092">
        <w:rPr>
          <w:color w:val="111111"/>
          <w:sz w:val="16"/>
          <w:szCs w:val="16"/>
        </w:rPr>
        <w:t>8,1</w:t>
      </w:r>
      <w:r w:rsidRPr="00086092">
        <w:rPr>
          <w:color w:val="111111"/>
          <w:sz w:val="16"/>
          <w:szCs w:val="16"/>
        </w:rPr>
        <w:t>% liik</w:t>
      </w:r>
      <w:r w:rsidRPr="00086092">
        <w:rPr>
          <w:color w:val="111111"/>
          <w:sz w:val="16"/>
          <w:szCs w:val="16"/>
        </w:rPr>
        <w:t>evaihdosta (</w:t>
      </w:r>
      <w:r w:rsidRPr="00086092">
        <w:rPr>
          <w:color w:val="111111"/>
          <w:sz w:val="16"/>
          <w:szCs w:val="16"/>
        </w:rPr>
        <w:t>6,7</w:t>
      </w:r>
      <w:r w:rsidRPr="00086092">
        <w:rPr>
          <w:color w:val="111111"/>
          <w:sz w:val="16"/>
          <w:szCs w:val="16"/>
        </w:rPr>
        <w:t xml:space="preserve">). Hankintamenojen allokointeihin liittyvät poistot olivat </w:t>
      </w:r>
      <w:r w:rsidRPr="00086092">
        <w:rPr>
          <w:color w:val="111111"/>
          <w:sz w:val="16"/>
          <w:szCs w:val="16"/>
        </w:rPr>
        <w:t>31</w:t>
      </w:r>
      <w:r w:rsidRPr="00086092">
        <w:rPr>
          <w:color w:val="111111"/>
          <w:sz w:val="16"/>
          <w:szCs w:val="16"/>
        </w:rPr>
        <w:t xml:space="preserve"> miljoonaa euroa (</w:t>
      </w:r>
      <w:r w:rsidRPr="00086092">
        <w:rPr>
          <w:color w:val="111111"/>
          <w:sz w:val="16"/>
          <w:szCs w:val="16"/>
        </w:rPr>
        <w:t>33</w:t>
      </w:r>
      <w:r w:rsidRPr="00086092">
        <w:rPr>
          <w:color w:val="111111"/>
          <w:sz w:val="16"/>
          <w:szCs w:val="16"/>
        </w:rPr>
        <w:t>).</w:t>
      </w:r>
    </w:p>
    <w:p w:rsidR="00F87D38" w:rsidP="00372D5D">
      <w:pPr>
        <w:pStyle w:val="WNormal"/>
        <w:rPr>
          <w:color w:val="111111"/>
          <w:sz w:val="16"/>
          <w:szCs w:val="16"/>
        </w:rPr>
      </w:pPr>
      <w:r w:rsidRPr="00086092">
        <w:rPr>
          <w:color w:val="111111"/>
          <w:sz w:val="16"/>
          <w:szCs w:val="16"/>
        </w:rPr>
        <w:t xml:space="preserve">Rahoituserät olivat yhteensä </w:t>
      </w:r>
      <w:r w:rsidRPr="00086092">
        <w:rPr>
          <w:color w:val="111111"/>
          <w:sz w:val="16"/>
          <w:szCs w:val="16"/>
        </w:rPr>
        <w:t>-18</w:t>
      </w:r>
      <w:r w:rsidRPr="00086092">
        <w:rPr>
          <w:color w:val="111111"/>
          <w:sz w:val="16"/>
          <w:szCs w:val="16"/>
        </w:rPr>
        <w:t xml:space="preserve"> miljoonaa euroa (</w:t>
      </w:r>
      <w:r w:rsidRPr="00086092">
        <w:rPr>
          <w:color w:val="111111"/>
          <w:sz w:val="16"/>
          <w:szCs w:val="16"/>
        </w:rPr>
        <w:t>-43</w:t>
      </w:r>
      <w:r w:rsidRPr="00086092">
        <w:rPr>
          <w:color w:val="111111"/>
          <w:sz w:val="16"/>
          <w:szCs w:val="16"/>
        </w:rPr>
        <w:t xml:space="preserve">). Nettokorot olivat yhteensä </w:t>
      </w:r>
      <w:r w:rsidRPr="00086092">
        <w:rPr>
          <w:color w:val="111111"/>
          <w:sz w:val="16"/>
          <w:szCs w:val="16"/>
        </w:rPr>
        <w:t>-11</w:t>
      </w:r>
      <w:r w:rsidRPr="00086092">
        <w:rPr>
          <w:color w:val="111111"/>
          <w:sz w:val="16"/>
          <w:szCs w:val="16"/>
        </w:rPr>
        <w:t xml:space="preserve"> miljoonaa euroa (</w:t>
      </w:r>
      <w:r w:rsidRPr="00086092">
        <w:rPr>
          <w:color w:val="111111"/>
          <w:sz w:val="16"/>
          <w:szCs w:val="16"/>
        </w:rPr>
        <w:t>-10</w:t>
      </w:r>
      <w:r w:rsidRPr="00086092">
        <w:rPr>
          <w:color w:val="111111"/>
          <w:sz w:val="16"/>
          <w:szCs w:val="16"/>
        </w:rPr>
        <w:t xml:space="preserve">). Tulos ennen veroja oli </w:t>
      </w:r>
      <w:r w:rsidRPr="00086092">
        <w:rPr>
          <w:color w:val="111111"/>
          <w:sz w:val="16"/>
          <w:szCs w:val="16"/>
        </w:rPr>
        <w:t>296</w:t>
      </w:r>
      <w:r w:rsidRPr="00086092">
        <w:rPr>
          <w:color w:val="111111"/>
          <w:sz w:val="16"/>
          <w:szCs w:val="16"/>
        </w:rPr>
        <w:t xml:space="preserve"> miljoonaa euroa (</w:t>
      </w:r>
      <w:r w:rsidRPr="00086092">
        <w:rPr>
          <w:color w:val="111111"/>
          <w:sz w:val="16"/>
          <w:szCs w:val="16"/>
        </w:rPr>
        <w:t>191</w:t>
      </w:r>
      <w:r w:rsidRPr="00086092">
        <w:rPr>
          <w:color w:val="111111"/>
          <w:sz w:val="16"/>
          <w:szCs w:val="16"/>
        </w:rPr>
        <w:t xml:space="preserve">). Verot olivat yhteensä </w:t>
      </w:r>
      <w:r w:rsidRPr="00086092">
        <w:rPr>
          <w:color w:val="111111"/>
          <w:sz w:val="16"/>
          <w:szCs w:val="16"/>
        </w:rPr>
        <w:t>103</w:t>
      </w:r>
      <w:r w:rsidRPr="00086092">
        <w:rPr>
          <w:color w:val="111111"/>
          <w:sz w:val="16"/>
          <w:szCs w:val="16"/>
        </w:rPr>
        <w:t xml:space="preserve"> miljoonaa euroa (</w:t>
      </w:r>
      <w:r w:rsidRPr="00086092">
        <w:rPr>
          <w:color w:val="111111"/>
          <w:sz w:val="16"/>
          <w:szCs w:val="16"/>
        </w:rPr>
        <w:t>58</w:t>
      </w:r>
      <w:r w:rsidRPr="00086092">
        <w:rPr>
          <w:color w:val="111111"/>
          <w:sz w:val="16"/>
          <w:szCs w:val="16"/>
        </w:rPr>
        <w:t xml:space="preserve">), mikä vastaa </w:t>
      </w:r>
      <w:r w:rsidRPr="00086092">
        <w:rPr>
          <w:color w:val="111111"/>
          <w:sz w:val="16"/>
          <w:szCs w:val="16"/>
        </w:rPr>
        <w:t>34,7</w:t>
      </w:r>
      <w:r w:rsidRPr="00086092">
        <w:rPr>
          <w:color w:val="111111"/>
          <w:sz w:val="16"/>
          <w:szCs w:val="16"/>
        </w:rPr>
        <w:t xml:space="preserve"> prosentin efektiivistä verokantaa (</w:t>
      </w:r>
      <w:r w:rsidRPr="00086092">
        <w:rPr>
          <w:color w:val="111111"/>
          <w:sz w:val="16"/>
          <w:szCs w:val="16"/>
        </w:rPr>
        <w:t>30,3</w:t>
      </w:r>
      <w:r w:rsidRPr="00086092">
        <w:rPr>
          <w:color w:val="111111"/>
          <w:sz w:val="16"/>
          <w:szCs w:val="16"/>
        </w:rPr>
        <w:t xml:space="preserve">). Tilikauden tulos oli </w:t>
      </w:r>
      <w:r w:rsidRPr="00086092">
        <w:rPr>
          <w:color w:val="111111"/>
          <w:sz w:val="16"/>
          <w:szCs w:val="16"/>
        </w:rPr>
        <w:t>193</w:t>
      </w:r>
      <w:r w:rsidRPr="00086092">
        <w:rPr>
          <w:color w:val="111111"/>
          <w:sz w:val="16"/>
          <w:szCs w:val="16"/>
        </w:rPr>
        <w:t xml:space="preserve"> miljoonaa euroa (</w:t>
      </w:r>
      <w:r w:rsidRPr="00086092">
        <w:rPr>
          <w:color w:val="111111"/>
          <w:sz w:val="16"/>
          <w:szCs w:val="16"/>
        </w:rPr>
        <w:t>133</w:t>
      </w:r>
      <w:r w:rsidRPr="00086092">
        <w:rPr>
          <w:color w:val="111111"/>
          <w:sz w:val="16"/>
          <w:szCs w:val="16"/>
        </w:rPr>
        <w:t xml:space="preserve">). </w:t>
      </w:r>
      <w:r>
        <w:rPr>
          <w:color w:val="111111"/>
          <w:sz w:val="16"/>
          <w:szCs w:val="16"/>
        </w:rPr>
        <w:t>Laimentamaton o</w:t>
      </w:r>
      <w:r w:rsidRPr="00086092">
        <w:rPr>
          <w:color w:val="111111"/>
          <w:sz w:val="16"/>
          <w:szCs w:val="16"/>
        </w:rPr>
        <w:t xml:space="preserve">sakekohtainen tulos oli </w:t>
      </w:r>
      <w:r w:rsidRPr="00086092">
        <w:rPr>
          <w:color w:val="111111"/>
          <w:sz w:val="16"/>
          <w:szCs w:val="16"/>
        </w:rPr>
        <w:t>0,33</w:t>
      </w:r>
      <w:r w:rsidRPr="00086092">
        <w:rPr>
          <w:color w:val="111111"/>
          <w:sz w:val="16"/>
          <w:szCs w:val="16"/>
        </w:rPr>
        <w:t xml:space="preserve"> euroa (</w:t>
      </w:r>
      <w:r w:rsidRPr="00086092">
        <w:rPr>
          <w:color w:val="111111"/>
          <w:sz w:val="16"/>
          <w:szCs w:val="16"/>
        </w:rPr>
        <w:t>0,23</w:t>
      </w:r>
      <w:r w:rsidRPr="00086092">
        <w:rPr>
          <w:color w:val="111111"/>
          <w:sz w:val="16"/>
          <w:szCs w:val="16"/>
        </w:rPr>
        <w:t xml:space="preserve">). Sijoitetun pääoman tuotto (ROI) oli </w:t>
      </w:r>
      <w:r w:rsidRPr="00086092">
        <w:rPr>
          <w:color w:val="111111"/>
          <w:sz w:val="16"/>
          <w:szCs w:val="16"/>
        </w:rPr>
        <w:t>9,7</w:t>
      </w:r>
      <w:r w:rsidRPr="00086092">
        <w:rPr>
          <w:color w:val="111111"/>
          <w:sz w:val="16"/>
          <w:szCs w:val="16"/>
        </w:rPr>
        <w:t>% (</w:t>
      </w:r>
      <w:r w:rsidRPr="00086092">
        <w:rPr>
          <w:color w:val="111111"/>
          <w:sz w:val="16"/>
          <w:szCs w:val="16"/>
        </w:rPr>
        <w:t>7,1</w:t>
      </w:r>
      <w:r w:rsidRPr="00086092">
        <w:rPr>
          <w:color w:val="111111"/>
          <w:sz w:val="16"/>
          <w:szCs w:val="16"/>
        </w:rPr>
        <w:t xml:space="preserve">) ja oman pääoman tuotto (ROE) </w:t>
      </w:r>
      <w:r w:rsidRPr="00086092">
        <w:rPr>
          <w:color w:val="111111"/>
          <w:sz w:val="16"/>
          <w:szCs w:val="16"/>
        </w:rPr>
        <w:t>8,6</w:t>
      </w:r>
      <w:r w:rsidRPr="00086092">
        <w:rPr>
          <w:color w:val="111111"/>
          <w:sz w:val="16"/>
          <w:szCs w:val="16"/>
        </w:rPr>
        <w:t>% (</w:t>
      </w:r>
      <w:r w:rsidRPr="00086092">
        <w:rPr>
          <w:color w:val="111111"/>
          <w:sz w:val="16"/>
          <w:szCs w:val="16"/>
        </w:rPr>
        <w:t>5,8</w:t>
      </w:r>
      <w:r w:rsidRPr="00086092">
        <w:rPr>
          <w:color w:val="111111"/>
          <w:sz w:val="16"/>
          <w:szCs w:val="16"/>
        </w:rPr>
        <w:t>).</w:t>
      </w:r>
    </w:p>
    <w:tbl>
      <w:tblPr>
        <w:tblStyle w:val="TableGrid"/>
        <w:tblW w:w="5046"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tblPr>
      <w:tblGrid>
        <w:gridCol w:w="186"/>
        <w:gridCol w:w="4674"/>
        <w:gridCol w:w="186"/>
      </w:tblGrid>
      <w:tr w:rsidTr="0077412C">
        <w:tblPrEx>
          <w:tblW w:w="5046"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tblPrEx>
        <w:trPr>
          <w:gridBefore w:val="1"/>
          <w:wBefore w:w="186" w:type="dxa"/>
          <w:trHeight w:val="3243"/>
        </w:trPr>
        <w:tc>
          <w:tcPr>
            <w:tcW w:w="4860" w:type="dxa"/>
            <w:gridSpan w:val="2"/>
            <w:tcMar>
              <w:top w:w="0" w:type="dxa"/>
              <w:left w:w="0" w:type="dxa"/>
              <w:bottom w:w="0" w:type="dxa"/>
              <w:right w:w="0" w:type="dxa"/>
            </w:tcMar>
          </w:tcPr>
          <w:p w:rsidR="006D06BF" w:rsidRPr="00086092" w:rsidP="006D06BF">
            <w:pPr>
              <w:pStyle w:val="Subtitle"/>
              <w:rPr>
                <w:color w:val="0F172B"/>
                <w:sz w:val="16"/>
              </w:rPr>
            </w:pPr>
            <w:r w:rsidRPr="00086092">
              <w:rPr>
                <w:color w:val="0F172B"/>
                <w:sz w:val="16"/>
              </w:rPr>
              <w:t>Konsernin liikevaihdon kehitys</w:t>
            </w:r>
          </w:p>
          <w:p w:rsidR="006D06BF" w:rsidRPr="00372D5D" w:rsidP="006D06BF">
            <w:pPr>
              <w:pStyle w:val="Normal1"/>
              <w:rPr>
                <w:b/>
                <w:bCs/>
                <w:color w:val="FF7321"/>
              </w:rPr>
            </w:pPr>
            <w:r w:rsidRPr="00086092">
              <w:rPr>
                <w:rFonts w:ascii="Times New Roman" w:hAnsi="Times New Roman" w:cs="Times New Roman"/>
                <w:noProof/>
                <w:sz w:val="16"/>
                <w:szCs w:val="16"/>
                <w:lang w:val="en-GB" w:eastAsia="en-GB"/>
              </w:rPr>
              <mc:AlternateContent>
                <mc:Choice Requires="wps">
                  <w:drawing>
                    <wp:anchor distT="45720" distB="45720" distL="114300" distR="114300" simplePos="0" relativeHeight="251689984" behindDoc="0" locked="0" layoutInCell="1" allowOverlap="1">
                      <wp:simplePos x="0" y="0"/>
                      <wp:positionH relativeFrom="page">
                        <wp:posOffset>26035</wp:posOffset>
                      </wp:positionH>
                      <wp:positionV relativeFrom="paragraph">
                        <wp:posOffset>1584628</wp:posOffset>
                      </wp:positionV>
                      <wp:extent cx="1536700" cy="183515"/>
                      <wp:effectExtent l="0" t="0" r="6350" b="6985"/>
                      <wp:wrapNone/>
                      <wp:docPr id="5" name="Text Box 5"/>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1536700" cy="183515"/>
                              </a:xfrm>
                              <a:prstGeom prst="rect">
                                <a:avLst/>
                              </a:prstGeom>
                              <a:solidFill>
                                <a:srgbClr val="FFFFFF"/>
                              </a:solidFill>
                              <a:ln w="9525">
                                <a:noFill/>
                                <a:miter lim="800000"/>
                                <a:headEnd/>
                                <a:tailEnd/>
                              </a:ln>
                            </wps:spPr>
                            <wps:txbx>
                              <w:txbxContent>
                                <w:p w:rsidR="006D06BF" w:rsidP="006D06BF">
                                  <w:pPr>
                                    <w:rPr>
                                      <w:rFonts w:ascii="Arial" w:hAnsi="Arial" w:cs="Arial"/>
                                      <w:sz w:val="13"/>
                                      <w:szCs w:val="13"/>
                                    </w:rPr>
                                  </w:pPr>
                                  <w:r>
                                    <w:rPr>
                                      <w:rFonts w:ascii="Arial" w:hAnsi="Arial" w:cs="Arial"/>
                                      <w:sz w:val="13"/>
                                      <w:szCs w:val="13"/>
                                      <w:lang w:val="fi-FI"/>
                                    </w:rPr>
                                    <w:t>*Oikaistu IFRS 15:n mukaisesti</w:t>
                                  </w: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 id="Text Box 5" o:spid="_x0000_s1026" type="#_x0000_t202" style="width:121pt;height:14.45pt;margin-top:124.77pt;margin-left:2.05pt;mso-height-percent:0;mso-height-relative:margin;mso-position-horizontal-relative:page;mso-width-percent:0;mso-width-relative:margin;mso-wrap-distance-bottom:3.6pt;mso-wrap-distance-left:9pt;mso-wrap-distance-right:9pt;mso-wrap-distance-top:3.6pt;position:absolute;v-text-anchor:top;z-index:251688960" fillcolor="white" stroked="f" strokeweight="0.75pt">
                      <v:textbox>
                        <w:txbxContent>
                          <w:p w:rsidR="006D06BF" w:rsidP="006D06BF">
                            <w:pPr>
                              <w:rPr>
                                <w:rFonts w:ascii="Arial" w:hAnsi="Arial" w:cs="Arial"/>
                                <w:sz w:val="13"/>
                                <w:szCs w:val="13"/>
                              </w:rPr>
                            </w:pPr>
                            <w:r>
                              <w:rPr>
                                <w:rFonts w:ascii="Arial" w:hAnsi="Arial" w:cs="Arial"/>
                                <w:sz w:val="13"/>
                                <w:szCs w:val="13"/>
                                <w:lang w:val="fi-FI"/>
                              </w:rPr>
                              <w:t>*Oikaistu IFRS 15:n mukaisesti</w:t>
                            </w:r>
                          </w:p>
                        </w:txbxContent>
                      </v:textbox>
                    </v:shape>
                  </w:pict>
                </mc:Fallback>
              </mc:AlternateContent>
            </w:r>
            <w:r>
              <w:drawing>
                <wp:inline>
                  <wp:extent cx="3024332" cy="1517651"/>
                  <wp:docPr id="2132031379" name="Chart_Group_net_sales_devel"/>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tc>
      </w:tr>
      <w:tr w:rsidTr="00136BF9">
        <w:tblPrEx>
          <w:tblW w:w="5046" w:type="dxa"/>
          <w:tblInd w:w="-5" w:type="dxa"/>
          <w:tblCellMar>
            <w:left w:w="0" w:type="dxa"/>
            <w:right w:w="0" w:type="dxa"/>
          </w:tblCellMar>
          <w:tblLook w:val="04A0"/>
        </w:tblPrEx>
        <w:trPr>
          <w:gridAfter w:val="1"/>
          <w:wAfter w:w="186" w:type="dxa"/>
          <w:trHeight w:val="3547"/>
        </w:trPr>
        <w:tc>
          <w:tcPr>
            <w:tcW w:w="4860" w:type="dxa"/>
            <w:gridSpan w:val="2"/>
            <w:tcMar>
              <w:top w:w="0" w:type="dxa"/>
              <w:left w:w="0" w:type="dxa"/>
              <w:bottom w:w="0" w:type="dxa"/>
              <w:right w:w="0" w:type="dxa"/>
            </w:tcMar>
          </w:tcPr>
          <w:p w:rsidR="006D06BF" w:rsidRPr="00086092" w:rsidP="00A54CD1">
            <w:pPr>
              <w:pStyle w:val="Subtitle"/>
              <w:rPr>
                <w:color w:val="0F172B"/>
                <w:sz w:val="16"/>
              </w:rPr>
            </w:pPr>
            <w:r w:rsidRPr="00086092">
              <w:rPr>
                <w:color w:val="0F172B"/>
                <w:sz w:val="16"/>
              </w:rPr>
              <w:t xml:space="preserve">Tulos </w:t>
            </w:r>
          </w:p>
          <w:p w:rsidR="006D06BF" w:rsidRPr="00F6271E" w:rsidP="00A54CD1">
            <w:pPr>
              <w:pStyle w:val="Subtitle"/>
              <w:rPr>
                <w:lang w:val="en-GB"/>
              </w:rPr>
            </w:pPr>
            <w:r w:rsidRPr="00086092">
              <w:rPr>
                <w:rFonts w:ascii="Times New Roman" w:hAnsi="Times New Roman" w:cs="Times New Roman"/>
                <w:noProof/>
                <w:sz w:val="16"/>
                <w:lang w:val="en-GB" w:eastAsia="en-GB"/>
              </w:rPr>
              <mc:AlternateContent>
                <mc:Choice Requires="wps">
                  <w:drawing>
                    <wp:anchor distT="45720" distB="45720" distL="114300" distR="114300" simplePos="0" relativeHeight="251661312" behindDoc="0" locked="0" layoutInCell="1" allowOverlap="1">
                      <wp:simplePos x="0" y="0"/>
                      <wp:positionH relativeFrom="page">
                        <wp:posOffset>166729</wp:posOffset>
                      </wp:positionH>
                      <wp:positionV relativeFrom="page">
                        <wp:posOffset>1946495</wp:posOffset>
                      </wp:positionV>
                      <wp:extent cx="1536700" cy="184067"/>
                      <wp:effectExtent l="0" t="0" r="6350" b="6985"/>
                      <wp:wrapNone/>
                      <wp:docPr id="2" name="Text Box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1536700" cy="184067"/>
                              </a:xfrm>
                              <a:prstGeom prst="rect">
                                <a:avLst/>
                              </a:prstGeom>
                              <a:solidFill>
                                <a:srgbClr val="FFFFFF"/>
                              </a:solidFill>
                              <a:ln w="9525">
                                <a:noFill/>
                                <a:miter lim="800000"/>
                                <a:headEnd/>
                                <a:tailEnd/>
                              </a:ln>
                            </wps:spPr>
                            <wps:txbx>
                              <w:txbxContent>
                                <w:p w:rsidR="00B44DC3" w:rsidP="00B44DC3">
                                  <w:pPr>
                                    <w:rPr>
                                      <w:rFonts w:ascii="Arial" w:hAnsi="Arial" w:cs="Arial"/>
                                      <w:sz w:val="13"/>
                                      <w:szCs w:val="13"/>
                                    </w:rPr>
                                  </w:pPr>
                                  <w:r>
                                    <w:rPr>
                                      <w:rFonts w:ascii="Arial" w:hAnsi="Arial" w:cs="Arial"/>
                                      <w:sz w:val="13"/>
                                      <w:szCs w:val="13"/>
                                      <w:lang w:val="fi-FI"/>
                                    </w:rPr>
                                    <w:t>*Oikaistu IFRS 15:n mukaisesti</w:t>
                                  </w: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 id="Text Box 2" o:spid="_x0000_s1027" type="#_x0000_t202" style="width:121pt;height:14.49pt;margin-top:153.27pt;margin-left:13.13pt;mso-height-percent:0;mso-height-relative:margin;mso-position-horizontal-relative:page;mso-position-vertical-relative:page;mso-width-percent:0;mso-width-relative:margin;mso-wrap-distance-bottom:3.6pt;mso-wrap-distance-left:9pt;mso-wrap-distance-right:9pt;mso-wrap-distance-top:3.6pt;position:absolute;v-text-anchor:top;z-index:251660288" fillcolor="white" stroked="f" strokeweight="0.75pt">
                      <v:textbox>
                        <w:txbxContent>
                          <w:p w:rsidR="00B44DC3" w:rsidP="00B44DC3">
                            <w:pPr>
                              <w:rPr>
                                <w:rFonts w:ascii="Arial" w:hAnsi="Arial" w:cs="Arial"/>
                                <w:sz w:val="13"/>
                                <w:szCs w:val="13"/>
                              </w:rPr>
                            </w:pPr>
                            <w:r>
                              <w:rPr>
                                <w:rFonts w:ascii="Arial" w:hAnsi="Arial" w:cs="Arial"/>
                                <w:sz w:val="13"/>
                                <w:szCs w:val="13"/>
                                <w:lang w:val="fi-FI"/>
                              </w:rPr>
                              <w:t>*Oikaistu IFRS 15:n mukaisesti</w:t>
                            </w:r>
                          </w:p>
                        </w:txbxContent>
                      </v:textbox>
                    </v:shape>
                  </w:pict>
                </mc:Fallback>
              </mc:AlternateContent>
            </w:r>
            <w:r>
              <w:drawing>
                <wp:inline>
                  <wp:extent cx="3025688" cy="1818075"/>
                  <wp:docPr id="2132031380" name="Chart_Result_FI"/>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tc>
      </w:tr>
      <w:tr w:rsidTr="0077412C">
        <w:tblPrEx>
          <w:tblW w:w="5046" w:type="dxa"/>
          <w:tblInd w:w="-5" w:type="dxa"/>
          <w:tblCellMar>
            <w:left w:w="0" w:type="dxa"/>
            <w:right w:w="0" w:type="dxa"/>
          </w:tblCellMar>
          <w:tblLook w:val="04A0"/>
        </w:tblPrEx>
        <w:trPr>
          <w:gridAfter w:val="1"/>
          <w:wAfter w:w="186" w:type="dxa"/>
          <w:trHeight w:val="1694"/>
        </w:trPr>
        <w:tc>
          <w:tcPr>
            <w:tcW w:w="4860" w:type="dxa"/>
            <w:gridSpan w:val="2"/>
          </w:tcPr>
          <w:p w:rsidR="006D06BF" w:rsidRPr="00086092" w:rsidP="00A54CD1">
            <w:pPr>
              <w:pStyle w:val="Subtitle"/>
              <w:rPr>
                <w:color w:val="0F172B"/>
                <w:sz w:val="16"/>
                <w:lang w:val="en-GB"/>
              </w:rPr>
            </w:pPr>
            <w:r w:rsidRPr="00086092">
              <w:rPr>
                <w:color w:val="0F172B"/>
                <w:sz w:val="16"/>
                <w:lang w:val="en-GB"/>
              </w:rPr>
              <w:t>Toimitetut</w:t>
            </w:r>
            <w:r w:rsidRPr="00086092">
              <w:rPr>
                <w:color w:val="0F172B"/>
                <w:sz w:val="16"/>
                <w:lang w:val="en-GB"/>
              </w:rPr>
              <w:t xml:space="preserve"> </w:t>
            </w:r>
            <w:r w:rsidRPr="00086092">
              <w:rPr>
                <w:color w:val="0F172B"/>
                <w:sz w:val="16"/>
                <w:lang w:val="en-GB"/>
              </w:rPr>
              <w:t>megawatit</w:t>
            </w:r>
          </w:p>
          <w:tbl>
            <w:tblPr>
              <w:tblStyle w:val="TableNormal"/>
              <w:tblCaption w:val="Table_Megawatts_delivered_FI"/>
              <w:tblW w:w="4590" w:type="dxa"/>
              <w:tblLook w:val="0600"/>
            </w:tblPr>
            <w:tblGrid>
              <w:gridCol w:w="2385"/>
              <w:gridCol w:w="735"/>
              <w:gridCol w:w="735"/>
              <w:gridCol w:w="735"/>
            </w:tblGrid>
            <w:tr>
              <w:tblPrEx>
                <w:tblW w:w="4590" w:type="dxa"/>
                <w:tblLook w:val="0600"/>
              </w:tblPrEx>
              <w:trPr>
                <w:trHeight w:hRule="exact" w:val="255"/>
              </w:trPr>
              <w:tc>
                <w:tcPr>
                  <w:tcW w:w="2385" w:type="dxa"/>
                  <w:tcBorders>
                    <w:top w:val="nil"/>
                    <w:left w:val="nil"/>
                    <w:bottom w:val="single" w:sz="8" w:space="0" w:color="000000"/>
                    <w:right w:val="nil"/>
                    <w:tl2br w:val="nil"/>
                    <w:tr2bl w:val="nil"/>
                  </w:tcBorders>
                  <w:shd w:val="clear" w:color="FFFFFF" w:fill="F0F4F6"/>
                  <w:noWrap/>
                  <w:tcMar>
                    <w:left w:w="0" w:type="dxa"/>
                    <w:right w:w="0" w:type="dxa"/>
                  </w:tcMar>
                  <w:textDirection w:val="lrTb"/>
                  <w:tcFitText w:val="0"/>
                  <w:vAlign w:val="center"/>
                </w:tcPr>
                <w:p>
                  <w:pPr>
                    <w:bidi w:val="0"/>
                    <w:spacing w:before="0" w:beforeAutospacing="0" w:after="0" w:afterAutospacing="0" w:line="240" w:lineRule="auto"/>
                    <w:jc w:val="left"/>
                    <w:rPr>
                      <w:rFonts w:ascii="Arial" w:eastAsia="Arial" w:hAnsi="Arial" w:cs="Arial"/>
                      <w:b/>
                      <w:i w:val="0"/>
                      <w:strike w:val="0"/>
                      <w:color w:val="000000"/>
                      <w:sz w:val="15"/>
                      <w:u w:val="none"/>
                      <w:vertAlign w:val="baseline"/>
                    </w:rPr>
                  </w:pPr>
                </w:p>
              </w:tc>
              <w:tc>
                <w:tcPr>
                  <w:tcW w:w="735" w:type="dxa"/>
                  <w:tcBorders>
                    <w:top w:val="nil"/>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5"/>
                      <w:u w:val="none"/>
                      <w:vertAlign w:val="baseline"/>
                    </w:rPr>
                  </w:pPr>
                  <w:r>
                    <w:rPr>
                      <w:rFonts w:ascii="Arial" w:eastAsia="Arial" w:hAnsi="Arial" w:cs="Arial"/>
                      <w:b/>
                      <w:i w:val="0"/>
                      <w:strike w:val="0"/>
                      <w:color w:val="000000"/>
                      <w:sz w:val="15"/>
                      <w:u w:val="none"/>
                      <w:vertAlign w:val="baseline"/>
                    </w:rPr>
                    <w:t>2021</w:t>
                  </w:r>
                </w:p>
              </w:tc>
              <w:tc>
                <w:tcPr>
                  <w:tcW w:w="735" w:type="dxa"/>
                  <w:tcBorders>
                    <w:top w:val="nil"/>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5"/>
                      <w:u w:val="none"/>
                      <w:vertAlign w:val="baseline"/>
                    </w:rPr>
                  </w:pPr>
                  <w:r>
                    <w:rPr>
                      <w:rFonts w:ascii="Arial" w:eastAsia="Arial" w:hAnsi="Arial" w:cs="Arial"/>
                      <w:b/>
                      <w:i w:val="0"/>
                      <w:strike w:val="0"/>
                      <w:color w:val="000000"/>
                      <w:sz w:val="15"/>
                      <w:u w:val="none"/>
                      <w:vertAlign w:val="baseline"/>
                    </w:rPr>
                    <w:t>2020</w:t>
                  </w:r>
                </w:p>
              </w:tc>
              <w:tc>
                <w:tcPr>
                  <w:tcW w:w="735" w:type="dxa"/>
                  <w:tcBorders>
                    <w:top w:val="nil"/>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5"/>
                      <w:u w:val="none"/>
                      <w:vertAlign w:val="baseline"/>
                    </w:rPr>
                  </w:pPr>
                  <w:r>
                    <w:rPr>
                      <w:rFonts w:ascii="Arial" w:eastAsia="Arial" w:hAnsi="Arial" w:cs="Arial"/>
                      <w:b/>
                      <w:i w:val="0"/>
                      <w:strike w:val="0"/>
                      <w:color w:val="000000"/>
                      <w:sz w:val="15"/>
                      <w:u w:val="none"/>
                      <w:vertAlign w:val="baseline"/>
                    </w:rPr>
                    <w:t>Muutos</w:t>
                  </w:r>
                </w:p>
              </w:tc>
            </w:tr>
            <w:tr>
              <w:tblPrEx>
                <w:tblW w:w="4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600"/>
              </w:tblPrEx>
              <w:trPr>
                <w:trHeight w:hRule="exact" w:val="255"/>
              </w:trPr>
              <w:tc>
                <w:tcPr>
                  <w:tcW w:w="2385" w:type="dxa"/>
                  <w:tcBorders>
                    <w:top w:val="single" w:sz="8" w:space="0" w:color="000000"/>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Marine Power</w:t>
                  </w:r>
                </w:p>
              </w:tc>
              <w:tc>
                <w:tcPr>
                  <w:tcW w:w="735" w:type="dxa"/>
                  <w:tcBorders>
                    <w:top w:val="single" w:sz="8" w:space="0" w:color="000000"/>
                    <w:left w:val="nil"/>
                    <w:bottom w:val="single" w:sz="4" w:space="0" w:color="004B6B"/>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1 315</w:t>
                  </w:r>
                </w:p>
              </w:tc>
              <w:tc>
                <w:tcPr>
                  <w:tcW w:w="735" w:type="dxa"/>
                  <w:tcBorders>
                    <w:top w:val="single" w:sz="8" w:space="0" w:color="000000"/>
                    <w:left w:val="nil"/>
                    <w:bottom w:val="single" w:sz="4" w:space="0" w:color="004B6B"/>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1 257</w:t>
                  </w:r>
                </w:p>
              </w:tc>
              <w:tc>
                <w:tcPr>
                  <w:tcW w:w="735" w:type="dxa"/>
                  <w:tcBorders>
                    <w:top w:val="single" w:sz="8" w:space="0" w:color="000000"/>
                    <w:left w:val="nil"/>
                    <w:bottom w:val="single" w:sz="4" w:space="0" w:color="000000"/>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5%</w:t>
                  </w:r>
                </w:p>
              </w:tc>
            </w:tr>
            <w:tr>
              <w:tblPrEx>
                <w:tblW w:w="4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600"/>
              </w:tblPrEx>
              <w:trPr>
                <w:trHeight w:hRule="exact" w:val="255"/>
              </w:trPr>
              <w:tc>
                <w:tcPr>
                  <w:tcW w:w="2385" w:type="dxa"/>
                  <w:tcBorders>
                    <w:top w:val="single" w:sz="4" w:space="0" w:color="004B6B"/>
                    <w:left w:val="nil"/>
                    <w:bottom w:val="single" w:sz="8" w:space="0" w:color="000000"/>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Energy</w:t>
                  </w:r>
                </w:p>
              </w:tc>
              <w:tc>
                <w:tcPr>
                  <w:tcW w:w="735" w:type="dxa"/>
                  <w:tcBorders>
                    <w:top w:val="single" w:sz="4" w:space="0" w:color="004B6B"/>
                    <w:left w:val="nil"/>
                    <w:bottom w:val="single" w:sz="8" w:space="0" w:color="000000"/>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1 402</w:t>
                  </w:r>
                </w:p>
              </w:tc>
              <w:tc>
                <w:tcPr>
                  <w:tcW w:w="735" w:type="dxa"/>
                  <w:tcBorders>
                    <w:top w:val="single" w:sz="4" w:space="0" w:color="004B6B"/>
                    <w:left w:val="nil"/>
                    <w:bottom w:val="single" w:sz="8" w:space="0" w:color="000000"/>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1 172</w:t>
                  </w:r>
                </w:p>
              </w:tc>
              <w:tc>
                <w:tcPr>
                  <w:tcW w:w="735" w:type="dxa"/>
                  <w:tcBorders>
                    <w:top w:val="single" w:sz="4" w:space="0" w:color="000000"/>
                    <w:left w:val="nil"/>
                    <w:bottom w:val="single" w:sz="8" w:space="0" w:color="000000"/>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20%</w:t>
                  </w:r>
                </w:p>
              </w:tc>
            </w:tr>
            <w:tr>
              <w:tblPrEx>
                <w:tblW w:w="4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600"/>
              </w:tblPrEx>
              <w:trPr>
                <w:trHeight w:hRule="exact" w:val="255"/>
              </w:trPr>
              <w:tc>
                <w:tcPr>
                  <w:tcW w:w="2385" w:type="dxa"/>
                  <w:tcBorders>
                    <w:top w:val="single" w:sz="8" w:space="0" w:color="000000"/>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Wärtsilän toimitukset yhteensä</w:t>
                  </w:r>
                </w:p>
              </w:tc>
              <w:tc>
                <w:tcPr>
                  <w:tcW w:w="735" w:type="dxa"/>
                  <w:tcBorders>
                    <w:top w:val="single" w:sz="8" w:space="0" w:color="000000"/>
                    <w:left w:val="nil"/>
                    <w:bottom w:val="single" w:sz="4" w:space="0" w:color="004B6B"/>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2 717</w:t>
                  </w:r>
                </w:p>
              </w:tc>
              <w:tc>
                <w:tcPr>
                  <w:tcW w:w="735" w:type="dxa"/>
                  <w:tcBorders>
                    <w:top w:val="single" w:sz="8" w:space="0" w:color="000000"/>
                    <w:left w:val="nil"/>
                    <w:bottom w:val="single" w:sz="4" w:space="0" w:color="004B6B"/>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2 429</w:t>
                  </w:r>
                </w:p>
              </w:tc>
              <w:tc>
                <w:tcPr>
                  <w:tcW w:w="735" w:type="dxa"/>
                  <w:tcBorders>
                    <w:top w:val="single" w:sz="8" w:space="0" w:color="000000"/>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12%</w:t>
                  </w:r>
                </w:p>
              </w:tc>
            </w:tr>
            <w:tr>
              <w:tblPrEx>
                <w:tblW w:w="4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600"/>
              </w:tblPrEx>
              <w:trPr>
                <w:trHeight w:val="255"/>
              </w:trPr>
              <w:tc>
                <w:tcPr>
                  <w:tcW w:w="2385" w:type="dxa"/>
                  <w:tcBorders>
                    <w:top w:val="single" w:sz="4" w:space="0" w:color="004B6B"/>
                    <w:left w:val="nil"/>
                    <w:bottom w:val="single" w:sz="8" w:space="0" w:color="000000"/>
                    <w:right w:val="nil"/>
                    <w:tl2br w:val="nil"/>
                    <w:tr2bl w:val="nil"/>
                  </w:tcBorders>
                  <w:shd w:val="clear" w:color="FFFFFF" w:fill="FFFFFF"/>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Yhteisyritysten toimitukset</w:t>
                  </w:r>
                </w:p>
              </w:tc>
              <w:tc>
                <w:tcPr>
                  <w:tcW w:w="735" w:type="dxa"/>
                  <w:tcBorders>
                    <w:top w:val="single" w:sz="4" w:space="0" w:color="004B6B"/>
                    <w:left w:val="nil"/>
                    <w:bottom w:val="single" w:sz="8" w:space="0" w:color="000000"/>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250</w:t>
                  </w:r>
                </w:p>
              </w:tc>
              <w:tc>
                <w:tcPr>
                  <w:tcW w:w="735" w:type="dxa"/>
                  <w:tcBorders>
                    <w:top w:val="single" w:sz="4" w:space="0" w:color="004B6B"/>
                    <w:left w:val="nil"/>
                    <w:bottom w:val="single" w:sz="8" w:space="0" w:color="000000"/>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274</w:t>
                  </w:r>
                </w:p>
              </w:tc>
              <w:tc>
                <w:tcPr>
                  <w:tcW w:w="735" w:type="dxa"/>
                  <w:tcBorders>
                    <w:top w:val="single" w:sz="4" w:space="0" w:color="004B6B"/>
                    <w:left w:val="nil"/>
                    <w:bottom w:val="single" w:sz="8" w:space="0" w:color="000000"/>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-9%</w:t>
                  </w:r>
                </w:p>
              </w:tc>
            </w:tr>
            <w:tr>
              <w:tblPrEx>
                <w:tblW w:w="4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600"/>
              </w:tblPrEx>
              <w:trPr>
                <w:trHeight w:val="255"/>
              </w:trPr>
              <w:tc>
                <w:tcPr>
                  <w:tcW w:w="2385" w:type="dxa"/>
                  <w:tcBorders>
                    <w:top w:val="single" w:sz="8" w:space="0" w:color="000000"/>
                    <w:left w:val="nil"/>
                    <w:bottom w:val="single" w:sz="4" w:space="0" w:color="004B6B"/>
                    <w:right w:val="nil"/>
                    <w:tl2br w:val="nil"/>
                    <w:tr2bl w:val="nil"/>
                  </w:tcBorders>
                  <w:shd w:val="clear" w:color="FFFFFF" w:fill="FFFFFF"/>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Toimitukset yhteensä</w:t>
                  </w:r>
                </w:p>
              </w:tc>
              <w:tc>
                <w:tcPr>
                  <w:tcW w:w="735" w:type="dxa"/>
                  <w:tcBorders>
                    <w:top w:val="single" w:sz="8" w:space="0" w:color="000000"/>
                    <w:left w:val="nil"/>
                    <w:bottom w:val="single" w:sz="4" w:space="0" w:color="004B6B"/>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2 967</w:t>
                  </w:r>
                </w:p>
              </w:tc>
              <w:tc>
                <w:tcPr>
                  <w:tcW w:w="735" w:type="dxa"/>
                  <w:tcBorders>
                    <w:top w:val="single" w:sz="8" w:space="0" w:color="000000"/>
                    <w:left w:val="nil"/>
                    <w:bottom w:val="single" w:sz="4" w:space="0" w:color="004B6B"/>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2 703</w:t>
                  </w:r>
                </w:p>
              </w:tc>
              <w:tc>
                <w:tcPr>
                  <w:tcW w:w="735" w:type="dxa"/>
                  <w:tcBorders>
                    <w:top w:val="single" w:sz="8" w:space="0" w:color="000000"/>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10%</w:t>
                  </w:r>
                </w:p>
              </w:tc>
            </w:tr>
          </w:tbl>
          <w:p/>
        </w:tc>
      </w:tr>
    </w:tbl>
    <w:p w:rsidR="001935EE" w:rsidRPr="00F87D38" w:rsidP="00642B87">
      <w:pPr>
        <w:pStyle w:val="WNormal"/>
        <w:spacing w:after="0" w:line="20" w:lineRule="exact"/>
        <w:rPr>
          <w:lang w:val="en-GB"/>
        </w:rPr>
      </w:pPr>
      <w:r w:rsidRPr="00F87D38">
        <w:rPr>
          <w:color w:val="111111"/>
          <w:lang w:val="en-GB"/>
        </w:rPr>
        <w:br w:type="column"/>
      </w:r>
    </w:p>
    <w:p w:rsidR="00F714BD" w:rsidRPr="00A74BE5" w:rsidP="007858F5" w14:paraId="1880E702" w14:textId="77777777">
      <w:pPr>
        <w:pStyle w:val="WHeadingException1"/>
      </w:pPr>
      <w:bookmarkStart w:id="7" w:name="RG_MARKER_7272"/>
      <w:r w:rsidRPr="00A74BE5">
        <w:t>Rahoitus ja rahavirta</w:t>
      </w:r>
      <w:bookmarkEnd w:id="7"/>
    </w:p>
    <w:p w:rsidR="00D70A59" w:rsidRPr="004B6E54" w:rsidP="00D70A59" w14:paraId="242AE596" w14:textId="4ED37A7A">
      <w:pPr>
        <w:pStyle w:val="WNormal"/>
        <w:rPr>
          <w:color w:val="111111"/>
          <w:sz w:val="16"/>
          <w:szCs w:val="16"/>
        </w:rPr>
      </w:pPr>
      <w:r w:rsidRPr="002E67A6">
        <w:rPr>
          <w:color w:val="111111"/>
          <w:sz w:val="16"/>
          <w:szCs w:val="16"/>
        </w:rPr>
        <w:t xml:space="preserve">Wärtsilän liiketoiminnan rahavirta </w:t>
      </w:r>
      <w:r w:rsidR="002E67A6">
        <w:rPr>
          <w:color w:val="111111"/>
          <w:sz w:val="16"/>
          <w:szCs w:val="16"/>
        </w:rPr>
        <w:t xml:space="preserve">oli </w:t>
      </w:r>
      <w:r w:rsidRPr="002E67A6" w:rsidR="00E64EBA">
        <w:rPr>
          <w:color w:val="111111"/>
          <w:sz w:val="16"/>
          <w:szCs w:val="16"/>
        </w:rPr>
        <w:t xml:space="preserve">vuonna </w:t>
      </w:r>
      <w:r w:rsidRPr="002E67A6" w:rsidR="001439B2">
        <w:rPr>
          <w:sz w:val="16"/>
          <w:szCs w:val="16"/>
        </w:rPr>
        <w:t>2021</w:t>
      </w:r>
      <w:r w:rsidRPr="002E67A6">
        <w:rPr>
          <w:color w:val="111111"/>
          <w:sz w:val="16"/>
          <w:szCs w:val="16"/>
        </w:rPr>
        <w:t xml:space="preserve"> </w:t>
      </w:r>
      <w:r w:rsidRPr="002E67A6" w:rsidR="002E67A6">
        <w:rPr>
          <w:color w:val="111111"/>
          <w:sz w:val="16"/>
          <w:szCs w:val="16"/>
        </w:rPr>
        <w:t>731</w:t>
      </w:r>
      <w:r w:rsidRPr="002E67A6">
        <w:rPr>
          <w:color w:val="111111"/>
          <w:sz w:val="16"/>
          <w:szCs w:val="16"/>
        </w:rPr>
        <w:t xml:space="preserve"> </w:t>
      </w:r>
      <w:r w:rsidR="002E67A6">
        <w:rPr>
          <w:color w:val="111111"/>
          <w:sz w:val="16"/>
          <w:szCs w:val="16"/>
        </w:rPr>
        <w:t xml:space="preserve">miljoonaa euroa </w:t>
      </w:r>
      <w:r w:rsidRPr="002E67A6">
        <w:rPr>
          <w:color w:val="111111"/>
          <w:sz w:val="16"/>
          <w:szCs w:val="16"/>
        </w:rPr>
        <w:t>(</w:t>
      </w:r>
      <w:r w:rsidRPr="002E67A6">
        <w:rPr>
          <w:color w:val="111111"/>
          <w:sz w:val="16"/>
          <w:szCs w:val="16"/>
        </w:rPr>
        <w:t>681</w:t>
      </w:r>
      <w:r w:rsidRPr="002E67A6">
        <w:rPr>
          <w:color w:val="111111"/>
          <w:sz w:val="16"/>
          <w:szCs w:val="16"/>
        </w:rPr>
        <w:t>)</w:t>
      </w:r>
      <w:r w:rsidRPr="002E67A6" w:rsidR="002E67A6">
        <w:rPr>
          <w:color w:val="111111"/>
          <w:sz w:val="16"/>
          <w:szCs w:val="16"/>
        </w:rPr>
        <w:t>, ja sitä tuki suotuisa nettokäyttöpääoman kehitys</w:t>
      </w:r>
      <w:r w:rsidRPr="002E67A6">
        <w:rPr>
          <w:color w:val="111111"/>
          <w:sz w:val="16"/>
          <w:szCs w:val="16"/>
        </w:rPr>
        <w:t xml:space="preserve">. </w:t>
      </w:r>
      <w:r w:rsidRPr="002E67A6">
        <w:rPr>
          <w:color w:val="111111"/>
          <w:sz w:val="16"/>
          <w:szCs w:val="16"/>
          <w:lang w:val="en-GB"/>
        </w:rPr>
        <w:t xml:space="preserve">Nettokäyttöpääoma </w:t>
      </w:r>
      <w:r w:rsidRPr="002E67A6" w:rsidR="002E67A6">
        <w:rPr>
          <w:color w:val="111111"/>
          <w:sz w:val="16"/>
          <w:szCs w:val="16"/>
          <w:lang w:val="en-GB"/>
        </w:rPr>
        <w:t xml:space="preserve">oli </w:t>
      </w:r>
      <w:r w:rsidRPr="002E67A6">
        <w:rPr>
          <w:color w:val="111111"/>
          <w:sz w:val="16"/>
          <w:szCs w:val="16"/>
          <w:lang w:val="en-GB"/>
        </w:rPr>
        <w:t xml:space="preserve">vuoden lopussa </w:t>
      </w:r>
      <w:r w:rsidRPr="002E67A6" w:rsidR="002E67A6">
        <w:rPr>
          <w:color w:val="111111"/>
          <w:sz w:val="16"/>
          <w:szCs w:val="16"/>
          <w:lang w:val="en-GB"/>
        </w:rPr>
        <w:t>-100</w:t>
      </w:r>
      <w:r w:rsidRPr="002E67A6" w:rsidR="002E67A6">
        <w:rPr>
          <w:color w:val="111111"/>
          <w:sz w:val="16"/>
          <w:szCs w:val="16"/>
          <w:lang w:val="en-GB"/>
        </w:rPr>
        <w:t xml:space="preserve"> miljoonaa euroa</w:t>
      </w:r>
      <w:r w:rsidRPr="002E67A6">
        <w:rPr>
          <w:color w:val="111111"/>
          <w:sz w:val="16"/>
          <w:szCs w:val="16"/>
          <w:lang w:val="en-GB"/>
        </w:rPr>
        <w:t xml:space="preserve"> (</w:t>
      </w:r>
      <w:r w:rsidRPr="002E67A6" w:rsidR="002E67A6">
        <w:rPr>
          <w:color w:val="111111"/>
          <w:sz w:val="16"/>
          <w:szCs w:val="16"/>
          <w:lang w:val="en-GB"/>
        </w:rPr>
        <w:t>257</w:t>
      </w:r>
      <w:r w:rsidRPr="002E67A6">
        <w:rPr>
          <w:color w:val="111111"/>
          <w:sz w:val="16"/>
          <w:szCs w:val="16"/>
          <w:lang w:val="en-GB"/>
        </w:rPr>
        <w:t xml:space="preserve">). </w:t>
      </w:r>
      <w:r w:rsidRPr="004B6E54">
        <w:rPr>
          <w:color w:val="111111"/>
          <w:sz w:val="16"/>
          <w:szCs w:val="16"/>
          <w:lang w:val="en-GB"/>
        </w:rPr>
        <w:t xml:space="preserve">Saatujen ennakoiden määrä oli </w:t>
      </w:r>
      <w:r w:rsidRPr="004B6E54">
        <w:rPr>
          <w:color w:val="111111"/>
          <w:sz w:val="16"/>
          <w:szCs w:val="16"/>
          <w:lang w:val="en-GB"/>
        </w:rPr>
        <w:t>498</w:t>
      </w:r>
      <w:r w:rsidRPr="004B6E54">
        <w:rPr>
          <w:color w:val="111111"/>
          <w:sz w:val="16"/>
          <w:szCs w:val="16"/>
          <w:lang w:val="en-GB"/>
        </w:rPr>
        <w:t xml:space="preserve"> miljoonaa euroa (</w:t>
      </w:r>
      <w:r w:rsidRPr="004B6E54">
        <w:rPr>
          <w:color w:val="111111"/>
          <w:sz w:val="16"/>
          <w:szCs w:val="16"/>
          <w:lang w:val="en-GB"/>
        </w:rPr>
        <w:t>452</w:t>
      </w:r>
      <w:r w:rsidRPr="004B6E54">
        <w:rPr>
          <w:color w:val="111111"/>
          <w:sz w:val="16"/>
          <w:szCs w:val="16"/>
          <w:lang w:val="en-GB"/>
        </w:rPr>
        <w:t xml:space="preserve">). </w:t>
      </w:r>
      <w:r w:rsidRPr="002E67A6" w:rsidR="002E67A6">
        <w:rPr>
          <w:color w:val="111111"/>
          <w:sz w:val="16"/>
          <w:szCs w:val="16"/>
        </w:rPr>
        <w:t>Yhtiöllä ei ollut myytävinä oleviin omaisuuseriin liittyviä ennakoita</w:t>
      </w:r>
      <w:r w:rsidR="002E67A6">
        <w:rPr>
          <w:color w:val="111111"/>
          <w:sz w:val="16"/>
          <w:szCs w:val="16"/>
        </w:rPr>
        <w:t xml:space="preserve"> (</w:t>
      </w:r>
      <w:r w:rsidR="002E67A6">
        <w:rPr>
          <w:color w:val="111111"/>
          <w:sz w:val="16"/>
          <w:szCs w:val="16"/>
        </w:rPr>
        <w:t>38</w:t>
      </w:r>
      <w:r w:rsidR="002E67A6">
        <w:rPr>
          <w:color w:val="111111"/>
          <w:sz w:val="16"/>
          <w:szCs w:val="16"/>
        </w:rPr>
        <w:t>)</w:t>
      </w:r>
      <w:r w:rsidRPr="004B6E54">
        <w:rPr>
          <w:color w:val="111111"/>
          <w:sz w:val="16"/>
          <w:szCs w:val="16"/>
        </w:rPr>
        <w:t>.</w:t>
      </w:r>
    </w:p>
    <w:p w:rsidR="00D70A59" w:rsidRPr="004B6E54" w:rsidP="00D70A59" w14:paraId="1CB66544" w14:textId="67648081">
      <w:pPr>
        <w:pStyle w:val="WNormal"/>
        <w:rPr>
          <w:color w:val="FF0000"/>
          <w:sz w:val="16"/>
          <w:szCs w:val="16"/>
        </w:rPr>
      </w:pPr>
      <w:r w:rsidRPr="00287047">
        <w:rPr>
          <w:color w:val="111111"/>
          <w:sz w:val="16"/>
          <w:szCs w:val="16"/>
        </w:rPr>
        <w:t>Wärtsilä pyrkii jatkuvasti varmistamaan riittävän likviditeetin tehokkaalla kassanhallinnalla ja pitämällä käytet</w:t>
      </w:r>
      <w:r w:rsidRPr="00287047">
        <w:rPr>
          <w:color w:val="111111"/>
          <w:sz w:val="16"/>
          <w:szCs w:val="16"/>
        </w:rPr>
        <w:t>tävissään riittävän määrän vahvistettuja ja vahvistamattomia luottolimiittejä. Jälleenrahoitusriskiä hallitaan tasapainoisella ja riittävän pitkällä lainasalkulla.</w:t>
      </w:r>
    </w:p>
    <w:p w:rsidR="00D70A59" w:rsidRPr="004B6E54" w:rsidP="00D70A59" w14:paraId="1C5796E8" w14:textId="15BB1884">
      <w:pPr>
        <w:pStyle w:val="WNormal"/>
        <w:rPr>
          <w:color w:val="111111"/>
          <w:sz w:val="16"/>
          <w:szCs w:val="16"/>
        </w:rPr>
      </w:pPr>
      <w:r w:rsidRPr="004B6E54">
        <w:rPr>
          <w:color w:val="111111"/>
          <w:sz w:val="16"/>
          <w:szCs w:val="16"/>
        </w:rPr>
        <w:t>Rahavaroja oli</w:t>
      </w:r>
      <w:r w:rsidRPr="004B6E54" w:rsidR="00E64EBA">
        <w:rPr>
          <w:color w:val="111111"/>
          <w:sz w:val="16"/>
          <w:szCs w:val="16"/>
        </w:rPr>
        <w:t xml:space="preserve"> vuoden lopussa</w:t>
      </w:r>
      <w:r w:rsidRPr="004B6E54">
        <w:rPr>
          <w:color w:val="111111"/>
          <w:sz w:val="16"/>
          <w:szCs w:val="16"/>
        </w:rPr>
        <w:t xml:space="preserve"> </w:t>
      </w:r>
      <w:r w:rsidRPr="004B6E54">
        <w:rPr>
          <w:color w:val="111111"/>
          <w:sz w:val="16"/>
          <w:szCs w:val="16"/>
        </w:rPr>
        <w:t>964</w:t>
      </w:r>
      <w:r w:rsidRPr="004B6E54">
        <w:rPr>
          <w:color w:val="111111"/>
          <w:sz w:val="16"/>
          <w:szCs w:val="16"/>
        </w:rPr>
        <w:t xml:space="preserve"> miljoonaa euroa (</w:t>
      </w:r>
      <w:r w:rsidRPr="004B6E54">
        <w:rPr>
          <w:color w:val="111111"/>
          <w:sz w:val="16"/>
          <w:szCs w:val="16"/>
        </w:rPr>
        <w:t>919</w:t>
      </w:r>
      <w:r w:rsidRPr="004B6E54">
        <w:rPr>
          <w:color w:val="111111"/>
          <w:sz w:val="16"/>
          <w:szCs w:val="16"/>
        </w:rPr>
        <w:t xml:space="preserve">). </w:t>
      </w:r>
      <w:r w:rsidRPr="003F4DB7">
        <w:rPr>
          <w:color w:val="111111"/>
          <w:sz w:val="16"/>
          <w:szCs w:val="16"/>
        </w:rPr>
        <w:t>Yhtiöllä ei ollut myytävinä oleviin omaisuuseriin liittyviä rahavaroja</w:t>
      </w:r>
      <w:r w:rsidRPr="004B6E54">
        <w:rPr>
          <w:color w:val="111111"/>
          <w:sz w:val="16"/>
          <w:szCs w:val="16"/>
        </w:rPr>
        <w:t xml:space="preserve"> </w:t>
      </w:r>
      <w:r w:rsidRPr="004B6E54">
        <w:rPr>
          <w:sz w:val="16"/>
          <w:szCs w:val="16"/>
        </w:rPr>
        <w:t>(</w:t>
      </w:r>
      <w:r>
        <w:rPr>
          <w:sz w:val="16"/>
          <w:szCs w:val="16"/>
        </w:rPr>
        <w:t>14</w:t>
      </w:r>
      <w:r w:rsidRPr="004B6E54">
        <w:rPr>
          <w:sz w:val="16"/>
          <w:szCs w:val="16"/>
        </w:rPr>
        <w:t>)</w:t>
      </w:r>
      <w:r w:rsidRPr="004B6E54">
        <w:rPr>
          <w:color w:val="111111"/>
          <w:sz w:val="16"/>
          <w:szCs w:val="16"/>
        </w:rPr>
        <w:t>. Vahvistettuja ja käyttämättömiä luottolimiittisopimusoh</w:t>
      </w:r>
      <w:r w:rsidRPr="004B6E54">
        <w:rPr>
          <w:color w:val="111111"/>
          <w:sz w:val="16"/>
          <w:szCs w:val="16"/>
        </w:rPr>
        <w:t xml:space="preserve">jelmia oli </w:t>
      </w:r>
      <w:r>
        <w:rPr>
          <w:color w:val="111111"/>
          <w:sz w:val="16"/>
          <w:szCs w:val="16"/>
        </w:rPr>
        <w:t>650</w:t>
      </w:r>
      <w:r w:rsidRPr="004B6E54">
        <w:rPr>
          <w:color w:val="FF0000"/>
          <w:sz w:val="16"/>
          <w:szCs w:val="16"/>
        </w:rPr>
        <w:t xml:space="preserve"> </w:t>
      </w:r>
      <w:r w:rsidRPr="004B6E54">
        <w:rPr>
          <w:color w:val="111111"/>
          <w:sz w:val="16"/>
          <w:szCs w:val="16"/>
        </w:rPr>
        <w:t>miljoonaa euroa (</w:t>
      </w:r>
      <w:r w:rsidRPr="004B6E54">
        <w:rPr>
          <w:color w:val="111111"/>
          <w:sz w:val="16"/>
          <w:szCs w:val="16"/>
        </w:rPr>
        <w:t>660</w:t>
      </w:r>
      <w:r w:rsidRPr="004B6E54">
        <w:rPr>
          <w:color w:val="111111"/>
          <w:sz w:val="16"/>
          <w:szCs w:val="16"/>
        </w:rPr>
        <w:t>).</w:t>
      </w:r>
    </w:p>
    <w:p w:rsidR="00D70A59" w:rsidRPr="004B6E54" w:rsidP="00D70A59" w14:paraId="6744F468" w14:textId="77777777">
      <w:pPr>
        <w:pStyle w:val="WNormal"/>
        <w:rPr>
          <w:color w:val="111111"/>
          <w:sz w:val="16"/>
          <w:szCs w:val="16"/>
        </w:rPr>
      </w:pPr>
      <w:r w:rsidRPr="004B6E54">
        <w:rPr>
          <w:color w:val="111111"/>
          <w:sz w:val="16"/>
          <w:szCs w:val="16"/>
        </w:rPr>
        <w:t xml:space="preserve">Wärtsilällä oli </w:t>
      </w:r>
      <w:r w:rsidRPr="004B6E54" w:rsidR="00E64EBA">
        <w:rPr>
          <w:color w:val="111111"/>
          <w:sz w:val="16"/>
          <w:szCs w:val="16"/>
        </w:rPr>
        <w:t>vuoden</w:t>
      </w:r>
      <w:r w:rsidRPr="004B6E54">
        <w:rPr>
          <w:color w:val="111111"/>
          <w:sz w:val="16"/>
          <w:szCs w:val="16"/>
        </w:rPr>
        <w:t xml:space="preserve"> lopussa korollisia lainoja yhteensä </w:t>
      </w:r>
      <w:r w:rsidRPr="004B6E54">
        <w:rPr>
          <w:color w:val="111111"/>
          <w:sz w:val="16"/>
          <w:szCs w:val="16"/>
        </w:rPr>
        <w:t>973</w:t>
      </w:r>
      <w:r w:rsidRPr="004B6E54">
        <w:rPr>
          <w:color w:val="111111"/>
          <w:sz w:val="16"/>
          <w:szCs w:val="16"/>
        </w:rPr>
        <w:t xml:space="preserve"> miljoo</w:t>
      </w:r>
      <w:r w:rsidRPr="004B6E54">
        <w:rPr>
          <w:color w:val="111111"/>
          <w:sz w:val="16"/>
          <w:szCs w:val="16"/>
        </w:rPr>
        <w:t>naa euroa (</w:t>
      </w:r>
      <w:r w:rsidRPr="004B6E54">
        <w:rPr>
          <w:color w:val="111111"/>
          <w:sz w:val="16"/>
          <w:szCs w:val="16"/>
        </w:rPr>
        <w:t>1 327</w:t>
      </w:r>
      <w:r w:rsidRPr="004B6E54">
        <w:rPr>
          <w:color w:val="111111"/>
          <w:sz w:val="16"/>
          <w:szCs w:val="16"/>
        </w:rPr>
        <w:t xml:space="preserve">). Lyhytaikaisia lainoja, jotka erääntyvät seuraavan 12 kuukauden sisällä, oli yhteensä </w:t>
      </w:r>
      <w:r w:rsidRPr="004B6E54">
        <w:rPr>
          <w:color w:val="111111"/>
          <w:sz w:val="16"/>
          <w:szCs w:val="16"/>
        </w:rPr>
        <w:t>121</w:t>
      </w:r>
      <w:r w:rsidRPr="004B6E54">
        <w:rPr>
          <w:color w:val="111111"/>
          <w:sz w:val="16"/>
          <w:szCs w:val="16"/>
        </w:rPr>
        <w:t xml:space="preserve"> miljoonaa euroa. Pitkäaikaisia lainoja oli yhteensä </w:t>
      </w:r>
      <w:r w:rsidRPr="004B6E54">
        <w:rPr>
          <w:color w:val="111111"/>
          <w:sz w:val="16"/>
          <w:szCs w:val="16"/>
        </w:rPr>
        <w:t>851</w:t>
      </w:r>
      <w:r w:rsidRPr="004B6E54">
        <w:rPr>
          <w:color w:val="111111"/>
          <w:sz w:val="16"/>
          <w:szCs w:val="16"/>
        </w:rPr>
        <w:t xml:space="preserve"> miljoonaa euroa.</w:t>
      </w:r>
    </w:p>
    <w:p w:rsidR="0028665A" w:rsidP="00D70A59" w14:paraId="5B61277A" w14:textId="0FAFF1AC">
      <w:pPr>
        <w:pStyle w:val="WNormal"/>
        <w:rPr>
          <w:color w:val="111111"/>
          <w:sz w:val="16"/>
          <w:szCs w:val="16"/>
          <w:lang w:val="en-GB"/>
        </w:rPr>
      </w:pPr>
      <w:r w:rsidRPr="004B6E54">
        <w:rPr>
          <w:color w:val="111111"/>
          <w:sz w:val="16"/>
          <w:szCs w:val="16"/>
          <w:lang w:val="en-GB"/>
        </w:rPr>
        <w:t xml:space="preserve">Korollisen lainapääoman nettomäärä oli </w:t>
      </w:r>
      <w:r w:rsidRPr="004B6E54">
        <w:rPr>
          <w:color w:val="111111"/>
          <w:sz w:val="16"/>
          <w:szCs w:val="16"/>
          <w:lang w:val="en-GB"/>
        </w:rPr>
        <w:t>4</w:t>
      </w:r>
      <w:r w:rsidRPr="004B6E54">
        <w:rPr>
          <w:color w:val="111111"/>
          <w:sz w:val="16"/>
          <w:szCs w:val="16"/>
          <w:lang w:val="en-GB"/>
        </w:rPr>
        <w:t xml:space="preserve"> miljoonaa euroa (</w:t>
      </w:r>
      <w:r w:rsidRPr="004B6E54">
        <w:rPr>
          <w:color w:val="111111"/>
          <w:sz w:val="16"/>
          <w:szCs w:val="16"/>
          <w:lang w:val="en-GB"/>
        </w:rPr>
        <w:t>394</w:t>
      </w:r>
      <w:r w:rsidRPr="004B6E54">
        <w:rPr>
          <w:color w:val="111111"/>
          <w:sz w:val="16"/>
          <w:szCs w:val="16"/>
          <w:lang w:val="en-GB"/>
        </w:rPr>
        <w:t xml:space="preserve">). Nettovelkaantumisaste oli </w:t>
      </w:r>
      <w:r w:rsidRPr="004B6E54">
        <w:rPr>
          <w:color w:val="111111"/>
          <w:sz w:val="16"/>
          <w:szCs w:val="16"/>
          <w:lang w:val="en-GB"/>
        </w:rPr>
        <w:t>0,00</w:t>
      </w:r>
      <w:r w:rsidRPr="004B6E54">
        <w:rPr>
          <w:color w:val="111111"/>
          <w:sz w:val="16"/>
          <w:szCs w:val="16"/>
          <w:lang w:val="en-GB"/>
        </w:rPr>
        <w:t xml:space="preserve"> (</w:t>
      </w:r>
      <w:r w:rsidRPr="004B6E54">
        <w:rPr>
          <w:color w:val="111111"/>
          <w:sz w:val="16"/>
          <w:szCs w:val="16"/>
          <w:lang w:val="en-GB"/>
        </w:rPr>
        <w:t>0,18</w:t>
      </w:r>
      <w:r w:rsidRPr="004B6E54">
        <w:rPr>
          <w:color w:val="111111"/>
          <w:sz w:val="16"/>
          <w:szCs w:val="16"/>
          <w:lang w:val="en-GB"/>
        </w:rPr>
        <w:t xml:space="preserve">) </w:t>
      </w:r>
      <w:r w:rsidRPr="004B6E54">
        <w:rPr>
          <w:color w:val="111111"/>
          <w:sz w:val="16"/>
          <w:szCs w:val="16"/>
          <w:lang w:val="en-GB"/>
        </w:rPr>
        <w:t xml:space="preserve">ja omavaraisuusaste </w:t>
      </w:r>
      <w:r w:rsidRPr="004B6E54">
        <w:rPr>
          <w:color w:val="111111"/>
          <w:sz w:val="16"/>
          <w:szCs w:val="16"/>
          <w:lang w:val="en-GB"/>
        </w:rPr>
        <w:t>38,6</w:t>
      </w:r>
      <w:r w:rsidRPr="004B6E54">
        <w:rPr>
          <w:color w:val="111111"/>
          <w:sz w:val="16"/>
          <w:szCs w:val="16"/>
          <w:lang w:val="en-GB"/>
        </w:rPr>
        <w:t>% (</w:t>
      </w:r>
      <w:r w:rsidRPr="004B6E54">
        <w:rPr>
          <w:color w:val="111111"/>
          <w:sz w:val="16"/>
          <w:szCs w:val="16"/>
          <w:lang w:val="en-GB"/>
        </w:rPr>
        <w:t>38,1</w:t>
      </w:r>
      <w:r w:rsidRPr="004B6E54">
        <w:rPr>
          <w:color w:val="111111"/>
          <w:sz w:val="16"/>
          <w:szCs w:val="16"/>
          <w:lang w:val="en-GB"/>
        </w:rPr>
        <w:t xml:space="preserve">). Osakekohtainen oma pääoma oli </w:t>
      </w:r>
      <w:r w:rsidRPr="004B6E54">
        <w:rPr>
          <w:color w:val="111111"/>
          <w:sz w:val="16"/>
          <w:szCs w:val="16"/>
          <w:lang w:val="en-GB"/>
        </w:rPr>
        <w:t>3,92</w:t>
      </w:r>
      <w:r w:rsidRPr="004B6E54">
        <w:rPr>
          <w:color w:val="111111"/>
          <w:sz w:val="16"/>
          <w:szCs w:val="16"/>
          <w:lang w:val="en-GB"/>
        </w:rPr>
        <w:t xml:space="preserve"> euroa (</w:t>
      </w:r>
      <w:r w:rsidRPr="004B6E54">
        <w:rPr>
          <w:color w:val="111111"/>
          <w:sz w:val="16"/>
          <w:szCs w:val="16"/>
          <w:lang w:val="en-GB"/>
        </w:rPr>
        <w:t>3,68</w:t>
      </w:r>
      <w:r w:rsidRPr="004B6E54">
        <w:rPr>
          <w:color w:val="111111"/>
          <w:sz w:val="16"/>
          <w:szCs w:val="16"/>
          <w:lang w:val="en-GB"/>
        </w:rPr>
        <w:t>).</w:t>
      </w:r>
    </w:p>
    <w:p w:rsidR="00316930" w:rsidP="00D70A59" w14:paraId="6BD712F2" w14:textId="5F39E4D5">
      <w:pPr>
        <w:pStyle w:val="WNormal"/>
        <w:rPr>
          <w:color w:val="111111"/>
          <w:lang w:val="en-GB"/>
        </w:rPr>
      </w:pPr>
      <w:r>
        <w:rPr>
          <w:color w:val="111111"/>
          <w:lang w:val="en-GB"/>
        </w:rPr>
        <w:br w:type="column"/>
      </w:r>
      <w:r>
        <w:rPr>
          <w:noProof/>
        </w:rPr>
        <w:drawing>
          <wp:inline distT="0" distB="0" distL="0" distR="0">
            <wp:extent cx="3035935" cy="2286635"/>
            <wp:effectExtent l="0" t="0" r="0" b="0"/>
            <wp:docPr id="14066229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76690" name=""/>
                    <pic:cNvPicPr/>
                  </pic:nvPicPr>
                  <pic:blipFill>
                    <a:blip xmlns:r="http://schemas.openxmlformats.org/officeDocument/2006/relationships" r:embed="rId13"/>
                    <a:stretch>
                      <a:fillRect/>
                    </a:stretch>
                  </pic:blipFill>
                  <pic:spPr>
                    <a:xfrm>
                      <a:off x="0" y="0"/>
                      <a:ext cx="3035935" cy="2286635"/>
                    </a:xfrm>
                    <a:prstGeom prst="rect">
                      <a:avLst/>
                    </a:prstGeom>
                  </pic:spPr>
                </pic:pic>
              </a:graphicData>
            </a:graphic>
          </wp:inline>
        </w:drawing>
      </w:r>
    </w:p>
    <w:p w:rsidR="00320B29" w:rsidP="00D70A59" w14:paraId="5E8F5CD6" w14:textId="77777777">
      <w:pPr>
        <w:pStyle w:val="WNormal"/>
        <w:rPr>
          <w:color w:val="111111"/>
          <w:lang w:val="en-GB"/>
        </w:rPr>
      </w:pPr>
    </w:p>
    <w:tbl>
      <w:tblPr>
        <w:tblStyle w:val="TableGrid"/>
        <w:tblW w:w="4887" w:type="dxa"/>
        <w:tblInd w:w="1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tblPr>
      <w:tblGrid>
        <w:gridCol w:w="4887"/>
      </w:tblGrid>
      <w:tr w14:paraId="022C6D1F" w14:textId="77777777" w:rsidTr="00987DE7">
        <w:tblPrEx>
          <w:tblW w:w="4887" w:type="dxa"/>
          <w:tblInd w:w="1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tblPrEx>
        <w:trPr>
          <w:trHeight w:val="3972"/>
        </w:trPr>
        <w:tc>
          <w:tcPr>
            <w:tcW w:w="4887" w:type="dxa"/>
            <w:tcMar>
              <w:top w:w="0" w:type="dxa"/>
              <w:left w:w="0" w:type="dxa"/>
              <w:bottom w:w="0" w:type="dxa"/>
              <w:right w:w="0" w:type="dxa"/>
            </w:tcMar>
          </w:tcPr>
          <w:p w:rsidR="000C6BA7" w:rsidRPr="00D13A32" w:rsidP="00623F0C" w14:paraId="4655172B" w14:textId="77777777">
            <w:pPr>
              <w:pStyle w:val="Subtitle"/>
              <w:rPr>
                <w:color w:val="0F172B"/>
                <w:sz w:val="16"/>
                <w:szCs w:val="14"/>
              </w:rPr>
            </w:pPr>
            <w:r w:rsidRPr="00D13A32">
              <w:rPr>
                <w:color w:val="0F172B"/>
                <w:sz w:val="16"/>
                <w:szCs w:val="14"/>
              </w:rPr>
              <w:t>V</w:t>
            </w:r>
            <w:r w:rsidRPr="00D13A32">
              <w:rPr>
                <w:color w:val="0F172B"/>
                <w:sz w:val="16"/>
                <w:szCs w:val="14"/>
              </w:rPr>
              <w:t>ahvistetut luottolimiittisopimukset (kauden lopussa)</w:t>
            </w:r>
          </w:p>
          <w:p w:rsidR="000C6BA7" w:rsidP="000C6BA7" w14:paraId="4966A749" w14:textId="77777777">
            <w:pPr>
              <w:suppressAutoHyphens/>
              <w:spacing w:after="240" w:line="276" w:lineRule="auto"/>
              <w:rPr>
                <w:rFonts w:ascii="Arial" w:hAnsi="Arial" w:cs="Arial"/>
                <w:spacing w:val="2"/>
                <w:sz w:val="17"/>
                <w:szCs w:val="17"/>
                <w:lang w:val="fi-FI"/>
              </w:rPr>
            </w:pPr>
            <w:r>
              <w:drawing>
                <wp:inline>
                  <wp:extent cx="3049499" cy="1620000"/>
                  <wp:docPr id="2132031381" name="Chart_Credit facilities"/>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c>
      </w:tr>
    </w:tbl>
    <w:p w:rsidR="008C5467" w:rsidRPr="00EC37F3" w:rsidP="008C5467" w14:paraId="7D62EA51" w14:textId="77777777">
      <w:pPr>
        <w:spacing w:after="0" w:line="20" w:lineRule="exact"/>
        <w:rPr>
          <w:lang w:val="fi-FI"/>
        </w:rPr>
      </w:pPr>
      <w:r w:rsidRPr="00EC37F3">
        <w:rPr>
          <w:lang w:val="fi-FI"/>
        </w:rPr>
        <w:br w:type="column"/>
      </w:r>
    </w:p>
    <w:tbl>
      <w:tblPr>
        <w:tblStyle w:val="TableGrid"/>
        <w:tblW w:w="4652" w:type="dxa"/>
        <w:tblInd w:w="-9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52"/>
      </w:tblGrid>
      <w:tr w14:paraId="6DAE1083" w14:textId="77777777" w:rsidTr="00AB2D7B">
        <w:tblPrEx>
          <w:tblW w:w="4652" w:type="dxa"/>
          <w:tblInd w:w="-9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4032"/>
        </w:trPr>
        <w:tc>
          <w:tcPr>
            <w:tcW w:w="4652" w:type="dxa"/>
            <w:tcMar>
              <w:top w:w="0" w:type="dxa"/>
              <w:left w:w="0" w:type="dxa"/>
              <w:bottom w:w="0" w:type="dxa"/>
              <w:right w:w="0" w:type="dxa"/>
            </w:tcMar>
          </w:tcPr>
          <w:p w:rsidR="000C6BA7" w:rsidRPr="00D13A32" w:rsidP="00623F0C" w14:paraId="56C41E23" w14:textId="77777777">
            <w:pPr>
              <w:pStyle w:val="Subtitle"/>
              <w:rPr>
                <w:color w:val="0F172B"/>
                <w:sz w:val="16"/>
                <w:szCs w:val="14"/>
              </w:rPr>
            </w:pPr>
            <w:r w:rsidRPr="00D13A32">
              <w:rPr>
                <w:color w:val="0F172B"/>
                <w:sz w:val="16"/>
                <w:szCs w:val="14"/>
              </w:rPr>
              <w:br w:type="column"/>
              <w:t>Pitkäaikaisten lainojen erääntymisprofiili</w:t>
            </w:r>
          </w:p>
          <w:p w:rsidR="000C6BA7" w:rsidRPr="004E0952" w:rsidP="000C6BA7" w14:paraId="3CC50719" w14:textId="621D4CA1">
            <w:pPr>
              <w:suppressAutoHyphens/>
              <w:spacing w:after="240" w:line="276" w:lineRule="auto"/>
              <w:rPr>
                <w:rFonts w:ascii="Arial" w:hAnsi="Arial" w:cs="Arial"/>
                <w:spacing w:val="2"/>
                <w:sz w:val="17"/>
                <w:szCs w:val="17"/>
                <w:lang w:val="fi-FI"/>
              </w:rPr>
            </w:pPr>
            <w:r>
              <w:drawing>
                <wp:inline>
                  <wp:extent cx="3024184" cy="1872000"/>
                  <wp:docPr id="2132031382" name="Chart_Long-term loans_FI"/>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r w14:paraId="09001BB2" w14:textId="77777777" w:rsidTr="00112503">
        <w:tblPrEx>
          <w:tblW w:w="4652" w:type="dxa"/>
          <w:tblInd w:w="-95" w:type="dxa"/>
          <w:tblLook w:val="04A0"/>
        </w:tblPrEx>
        <w:trPr>
          <w:trHeight w:val="4752"/>
        </w:trPr>
        <w:tc>
          <w:tcPr>
            <w:tcW w:w="4652" w:type="dxa"/>
            <w:tcMar>
              <w:top w:w="0" w:type="dxa"/>
              <w:left w:w="0" w:type="dxa"/>
              <w:bottom w:w="0" w:type="dxa"/>
              <w:right w:w="0" w:type="dxa"/>
            </w:tcMar>
          </w:tcPr>
          <w:p w:rsidR="000C6BA7" w:rsidRPr="00D13A32" w:rsidP="00623F0C" w14:paraId="5BEADB90" w14:textId="77777777">
            <w:pPr>
              <w:pStyle w:val="Subtitle"/>
              <w:rPr>
                <w:color w:val="0F172B"/>
                <w:sz w:val="16"/>
                <w:szCs w:val="14"/>
              </w:rPr>
            </w:pPr>
            <w:r w:rsidRPr="00D13A32">
              <w:rPr>
                <w:color w:val="0F172B"/>
                <w:sz w:val="16"/>
                <w:szCs w:val="14"/>
              </w:rPr>
              <w:t xml:space="preserve">Nettovelkaantumisaste </w:t>
            </w:r>
          </w:p>
          <w:p w:rsidR="000C6BA7" w:rsidP="000C6BA7" w14:paraId="5BF60A90" w14:textId="77777777">
            <w:pPr>
              <w:suppressAutoHyphens/>
              <w:spacing w:after="240" w:line="276" w:lineRule="auto"/>
              <w:rPr>
                <w:rFonts w:ascii="Arial" w:hAnsi="Arial" w:cs="Arial"/>
                <w:spacing w:val="2"/>
                <w:sz w:val="17"/>
                <w:szCs w:val="17"/>
                <w:lang w:val="fi-FI"/>
              </w:rPr>
            </w:pPr>
            <w:r>
              <w:drawing>
                <wp:inline>
                  <wp:extent cx="3050645" cy="1620000"/>
                  <wp:docPr id="2132031383" name="Chart_Gearing"/>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bl>
    <w:p w:rsidR="00F714BD" w:rsidRPr="000C483E" w:rsidP="001D1D9D" w14:paraId="7A01FC4E" w14:textId="5238DF04">
      <w:pPr>
        <w:pStyle w:val="WHeading3"/>
      </w:pPr>
      <w:bookmarkStart w:id="8" w:name="RG_MARKER_7270"/>
      <w:r w:rsidRPr="000C483E">
        <w:t>Investoinnit</w:t>
      </w:r>
      <w:bookmarkEnd w:id="8"/>
    </w:p>
    <w:p w:rsidR="00497F7D" w:rsidRPr="00FB7548" w:rsidP="008E1830" w14:paraId="113213C6" w14:textId="4AB7F439">
      <w:pPr>
        <w:pStyle w:val="WNormal"/>
      </w:pPr>
      <w:r w:rsidRPr="00FB7548">
        <w:t xml:space="preserve">Aineettomiin ja aineellisiin hyödykkeisiin liittyvät investoinnit olivat yhteensä </w:t>
      </w:r>
      <w:r w:rsidRPr="00FB7548">
        <w:t>142</w:t>
      </w:r>
      <w:r w:rsidRPr="00FB7548">
        <w:t xml:space="preserve"> miljoonaa euroa (</w:t>
      </w:r>
      <w:r w:rsidRPr="00FB7548">
        <w:t>115</w:t>
      </w:r>
      <w:r w:rsidRPr="00FB7548">
        <w:t xml:space="preserve">) vuonna </w:t>
      </w:r>
      <w:r w:rsidRPr="00FB7548">
        <w:t>2021</w:t>
      </w:r>
      <w:r w:rsidRPr="00FB7548">
        <w:t xml:space="preserve">. </w:t>
      </w:r>
      <w:r w:rsidRPr="008E0126">
        <w:t xml:space="preserve">Merkittävässä roolissa oli uuden tutkimus-, tuotekehitys- ja tuotantokeskuksen Smart Technology </w:t>
      </w:r>
      <w:r w:rsidRPr="008E0126">
        <w:t>Hubin</w:t>
      </w:r>
      <w:r w:rsidRPr="008E0126">
        <w:t xml:space="preserve"> rakentaminen Vaasaan. </w:t>
      </w:r>
      <w:r w:rsidRPr="00FB7548">
        <w:t xml:space="preserve">Yrityshankintoihin </w:t>
      </w:r>
      <w:r>
        <w:t>tai</w:t>
      </w:r>
      <w:r w:rsidRPr="00FB7548">
        <w:t xml:space="preserve"> osakkeisiin liittyvät investoinnit olivat yhteensä </w:t>
      </w:r>
      <w:r w:rsidRPr="00FB7548">
        <w:t>1</w:t>
      </w:r>
      <w:r w:rsidRPr="00FB7548">
        <w:t xml:space="preserve"> miljoona</w:t>
      </w:r>
      <w:r w:rsidRPr="00FB7548">
        <w:rPr>
          <w:color w:val="FF0000"/>
        </w:rPr>
        <w:t xml:space="preserve"> </w:t>
      </w:r>
      <w:r w:rsidRPr="00FB7548">
        <w:t>euroa</w:t>
      </w:r>
      <w:r w:rsidRPr="00FB7548">
        <w:t xml:space="preserve"> (</w:t>
      </w:r>
      <w:r w:rsidRPr="00FB7548">
        <w:t>2</w:t>
      </w:r>
      <w:r w:rsidRPr="00FB7548">
        <w:t xml:space="preserve">). Poistot ja arvonalentumiset olivat yhteensä </w:t>
      </w:r>
      <w:r w:rsidRPr="00FB7548">
        <w:t>162</w:t>
      </w:r>
      <w:r w:rsidRPr="00FB7548">
        <w:t xml:space="preserve"> miljoonaa euroa (</w:t>
      </w:r>
      <w:r w:rsidRPr="00FB7548">
        <w:t>174</w:t>
      </w:r>
      <w:r w:rsidRPr="00FB7548">
        <w:t>)</w:t>
      </w:r>
      <w:r>
        <w:t xml:space="preserve"> </w:t>
      </w:r>
      <w:r w:rsidRPr="008E0126">
        <w:t xml:space="preserve">sisältäen </w:t>
      </w:r>
      <w:r>
        <w:t>47</w:t>
      </w:r>
      <w:r w:rsidRPr="008E0126">
        <w:t xml:space="preserve"> miljoonaa euroa (</w:t>
      </w:r>
      <w:r>
        <w:t>47</w:t>
      </w:r>
      <w:r w:rsidRPr="008E0126">
        <w:t>) käyttöoikeusomaisuuserien poistoja ja arvonalentumisia</w:t>
      </w:r>
      <w:r w:rsidRPr="00FB7548">
        <w:t>.</w:t>
      </w:r>
    </w:p>
    <w:p w:rsidR="000C6E13" w:rsidRPr="00FB7548" w:rsidP="008E1830" w14:paraId="58321E22" w14:textId="6657CD51">
      <w:pPr>
        <w:pStyle w:val="WNormal"/>
      </w:pPr>
      <w:r w:rsidRPr="00FB7548">
        <w:t>Vuonna 202</w:t>
      </w:r>
      <w:r>
        <w:t>2</w:t>
      </w:r>
      <w:r w:rsidRPr="00FB7548">
        <w:t xml:space="preserve"> aineettomiin ja aineellisiin hyödykkeisiin liittyvien investointien odotetaan olevan </w:t>
      </w:r>
      <w:r w:rsidRPr="008E0126">
        <w:t>suunnilleen samalla tasolla kuin poistot ja arvonalentumiset</w:t>
      </w:r>
      <w:r w:rsidRPr="00FB7548">
        <w:t>.</w:t>
      </w:r>
    </w:p>
    <w:tbl>
      <w:tblPr>
        <w:tblStyle w:val="TableGrid"/>
        <w:tblW w:w="52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tblPr>
      <w:tblGrid>
        <w:gridCol w:w="5283"/>
      </w:tblGrid>
      <w:tr w14:paraId="04CEB3EB" w14:textId="77777777" w:rsidTr="00D003F2">
        <w:tblPrEx>
          <w:tblW w:w="52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tblPrEx>
        <w:trPr>
          <w:trHeight w:val="2959"/>
        </w:trPr>
        <w:tc>
          <w:tcPr>
            <w:tcW w:w="5283" w:type="dxa"/>
            <w:tcMar>
              <w:top w:w="0" w:type="dxa"/>
              <w:left w:w="0" w:type="dxa"/>
              <w:bottom w:w="0" w:type="dxa"/>
              <w:right w:w="0" w:type="dxa"/>
            </w:tcMar>
          </w:tcPr>
          <w:p w:rsidR="006F3642" w:rsidRPr="00FB7548" w:rsidP="0034298C" w14:paraId="0D99EAC3" w14:textId="381F5E71">
            <w:pPr>
              <w:pStyle w:val="Subtitle"/>
              <w:rPr>
                <w:color w:val="0F172B"/>
                <w:sz w:val="16"/>
                <w:lang w:val="en-US"/>
              </w:rPr>
            </w:pPr>
            <w:r w:rsidRPr="00FB7548">
              <w:rPr>
                <w:color w:val="0F172B"/>
                <w:sz w:val="16"/>
                <w:lang w:val="en-US"/>
              </w:rPr>
              <w:t>Br</w:t>
            </w:r>
            <w:r w:rsidRPr="00FB7548">
              <w:rPr>
                <w:color w:val="0F172B"/>
                <w:sz w:val="16"/>
                <w:lang w:val="en-US"/>
              </w:rPr>
              <w:t>uttoinvestoinnit</w:t>
            </w:r>
            <w:r w:rsidRPr="00FB7548">
              <w:rPr>
                <w:color w:val="0F172B"/>
                <w:sz w:val="16"/>
                <w:lang w:val="en-US"/>
              </w:rPr>
              <w:t xml:space="preserve"> </w:t>
            </w:r>
          </w:p>
          <w:p w:rsidR="00771019" w:rsidRPr="00FB7548" w:rsidP="007A070E" w14:paraId="6EB08441" w14:textId="2802063E">
            <w:pPr>
              <w:pStyle w:val="Wnormal0"/>
              <w:rPr>
                <w:color w:val="FF7321"/>
                <w:lang w:val="en-US"/>
              </w:rPr>
            </w:pPr>
            <w:r>
              <w:drawing>
                <wp:inline>
                  <wp:extent cx="3025688" cy="1980000"/>
                  <wp:docPr id="2132031384" name="Chart_Capital expenditure_FI"/>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p w:rsidR="00C13668" w:rsidRPr="00EF4C6B" w:rsidP="00EF4C6B">
      <w:pPr>
        <w:pStyle w:val="WHeading3"/>
        <w:spacing w:before="0" w:after="0"/>
        <w:rPr>
          <w:b/>
          <w:bCs/>
          <w:sz w:val="17"/>
          <w:szCs w:val="17"/>
        </w:rPr>
      </w:pPr>
      <w:bookmarkStart w:id="9" w:name="RG_MARKER_7478"/>
      <w:r w:rsidRPr="00EF4C6B">
        <w:rPr>
          <w:b/>
          <w:bCs/>
          <w:sz w:val="17"/>
          <w:szCs w:val="17"/>
        </w:rPr>
        <w:t>Innovaatiot, tutkimus ja kehitys</w:t>
      </w:r>
      <w:bookmarkEnd w:id="9"/>
    </w:p>
    <w:p w:rsidR="007E073F" w:rsidRPr="007E073F" w:rsidP="007E073F">
      <w:pPr>
        <w:pStyle w:val="WNormal"/>
        <w:rPr>
          <w:sz w:val="16"/>
          <w:szCs w:val="16"/>
        </w:rPr>
      </w:pPr>
      <w:r w:rsidRPr="007E073F">
        <w:rPr>
          <w:sz w:val="16"/>
          <w:szCs w:val="16"/>
        </w:rPr>
        <w:t xml:space="preserve">Wärtsilä on sitoutunut tukemaan meri- ja energiateollisuuksien ympäristöjalanjäljen minimointia. Investoinnit tutkimukseen ja kehitykseen ovat keskeisiä Wärtsilän tulevaisuuden aseman turvaamiseksi ja jatkuvat </w:t>
      </w:r>
      <w:r w:rsidRPr="007E073F">
        <w:rPr>
          <w:sz w:val="16"/>
          <w:szCs w:val="16"/>
        </w:rPr>
        <w:t>markkinoilla vallitsevasta epävarmuudesta huolimatta. Keskeisiä tutkimus- ja kehitysalueita ovat vaihtoehtoisten, kaupallisesti elinkelpoisten puhtaiden polttoaineiden käytön kehittäminen tulevaisuuden ratkaisuja varten sekä asiakkaiden toimintojen liitett</w:t>
      </w:r>
      <w:r w:rsidRPr="007E073F">
        <w:rPr>
          <w:sz w:val="16"/>
          <w:szCs w:val="16"/>
        </w:rPr>
        <w:t>ävyyden, tehokkuuden, kestävyyden ja turvallisuuden parantaminen digitaalisten ratkaisujen käyttöä lisäämällä. Elinkaariratkaisujen avulla Wärtsilä pystyy pelkän laitteiden kunnossapidon ja käytön sijasta tarjoamaan taatun suorituskyvyn, joka perustuu yhte</w:t>
      </w:r>
      <w:r w:rsidRPr="007E073F">
        <w:rPr>
          <w:sz w:val="16"/>
          <w:szCs w:val="16"/>
        </w:rPr>
        <w:t>isesti sovittuihin tavoitetasoihin. Tutkimukseen ja tuotekehitykseen liittyvät kulut olivat vuonna 2021 yhteensä 175 miljoonaa euroa (153) eli 3,7% liikevaihdosta (3,3).</w:t>
      </w:r>
    </w:p>
    <w:p w:rsidR="007E073F" w:rsidRPr="007E073F" w:rsidP="007E073F">
      <w:pPr>
        <w:pStyle w:val="WNormal"/>
        <w:rPr>
          <w:sz w:val="16"/>
          <w:szCs w:val="16"/>
        </w:rPr>
      </w:pPr>
      <w:r w:rsidRPr="007E073F">
        <w:rPr>
          <w:sz w:val="16"/>
          <w:szCs w:val="16"/>
        </w:rPr>
        <w:t>Maaliskuussa Wärtsilä ilmoitti, että se on toteuttanut laaja-alaista tutkimus- ja kehi</w:t>
      </w:r>
      <w:r w:rsidRPr="007E073F">
        <w:rPr>
          <w:sz w:val="16"/>
          <w:szCs w:val="16"/>
        </w:rPr>
        <w:t>tystyötä selvittääkseen tapoja, joilla hiilidioksidin talteenottoa ja varastointia (carbon capture and storage, CCS) voidaan kehittää ja skaalata merenkulkualalla. Kehitystoiminnan vauhdittamiseksi Wärtsilä on ottamassa käyttöön 1 MW:n suuruista pilottilai</w:t>
      </w:r>
      <w:r w:rsidRPr="007E073F">
        <w:rPr>
          <w:sz w:val="16"/>
          <w:szCs w:val="16"/>
        </w:rPr>
        <w:t>tosta testaustiloissaan Mossissa, Norjassa. Tämän pilottilaitoksen avulla Wärtsilä voi testata CCS-teknologioitaan eri skenaarioissa ja olosuhteissa. Wärtsilä nostaa näin esiin pakokaasujen puhdistusjärjestelmien mahdollisuudet suoraan vähentää merenkulkua</w:t>
      </w:r>
      <w:r w:rsidRPr="007E073F">
        <w:rPr>
          <w:sz w:val="16"/>
          <w:szCs w:val="16"/>
        </w:rPr>
        <w:t>lan hiilidioksidipäästöjä lähitulevaisuudessa teknologian kehittyessä. Tämä antaa laitevalmistajille mahdollisuuden suunnitella ja modernisoida rikkipesureita siten, että ne ottavat hiilidioksidin talteen jo pakokaasun syntyvaiheessa. Wärtsilän hiilidioksi</w:t>
      </w:r>
      <w:r w:rsidRPr="007E073F">
        <w:rPr>
          <w:sz w:val="16"/>
          <w:szCs w:val="16"/>
        </w:rPr>
        <w:t>din talteenottoa koskevaa tutkimusta ja kehitystä vahvistettiin entisestään lokakuussa, kun Wärtsilä ja norjalainen varustamo Solvang ASA sopivat CCS-järjestelmän täysimittaisesta jälkiasennuksesta yhteen Solvangin etyleeninkuljetusalukseen, 21 000 m</w:t>
      </w:r>
      <w:r w:rsidRPr="007E073F">
        <w:rPr>
          <w:sz w:val="16"/>
          <w:szCs w:val="16"/>
          <w:vertAlign w:val="superscript"/>
        </w:rPr>
        <w:t>3</w:t>
      </w:r>
      <w:r w:rsidRPr="007E073F">
        <w:rPr>
          <w:sz w:val="16"/>
          <w:szCs w:val="16"/>
        </w:rPr>
        <w:t>:n Cl</w:t>
      </w:r>
      <w:r w:rsidRPr="007E073F">
        <w:rPr>
          <w:sz w:val="16"/>
          <w:szCs w:val="16"/>
        </w:rPr>
        <w:t>ipper Eosiin.</w:t>
      </w:r>
    </w:p>
    <w:p w:rsidR="007E073F" w:rsidRPr="007E073F" w:rsidP="007E073F">
      <w:pPr>
        <w:pStyle w:val="WNormal"/>
        <w:rPr>
          <w:sz w:val="16"/>
          <w:szCs w:val="16"/>
        </w:rPr>
      </w:pPr>
      <w:r w:rsidRPr="007E073F">
        <w:rPr>
          <w:sz w:val="16"/>
          <w:szCs w:val="16"/>
        </w:rPr>
        <w:t>Maaliskuussa Wärtsilä lanseerasi sähköverkon tasapainotusteknologian osana tuotetarjoomaa, jonka tarkoituksena on nopeuttaa energiamurrosta kustannustehokkaasti. Tarjooma koostuu voimalaitoksista sekä energian varastointi- ja hallintajärjeste</w:t>
      </w:r>
      <w:r w:rsidRPr="007E073F">
        <w:rPr>
          <w:sz w:val="16"/>
          <w:szCs w:val="16"/>
        </w:rPr>
        <w:t>lmistä. Tarjooman ensimmäisen voimalaitosratkaisun voimanlähteenä on päivitetty Wärtsilä 34SG Balancer -moottori, joka on optimoitu uusiutuvan perusvoiman tuotannon markkinoille. Moottori saavuttaa täyden tehon kahdessa minuutissa, ja se voi nykyisin käytt</w:t>
      </w:r>
      <w:r w:rsidRPr="007E073F">
        <w:rPr>
          <w:sz w:val="16"/>
          <w:szCs w:val="16"/>
        </w:rPr>
        <w:t>ää polttoaineenaan maakaasua, biokaasua, synteettistä metaania tai vetysekoitusta.</w:t>
      </w:r>
    </w:p>
    <w:p w:rsidR="007E073F" w:rsidRPr="007E073F" w:rsidP="007E073F">
      <w:pPr>
        <w:pStyle w:val="WNormal"/>
        <w:rPr>
          <w:sz w:val="16"/>
          <w:szCs w:val="16"/>
        </w:rPr>
      </w:pPr>
      <w:r w:rsidRPr="007E073F">
        <w:rPr>
          <w:sz w:val="16"/>
          <w:szCs w:val="16"/>
        </w:rPr>
        <w:t>Kesäkuussa Wärtsilä ja luokituslaitos RINA kertoivat uudesta laivapropulsiojärjestelmästä, joka mahdollistaa pienemmän määrän koneita, pienemmät pääomakustannukset, yksinker</w:t>
      </w:r>
      <w:r w:rsidRPr="007E073F">
        <w:rPr>
          <w:sz w:val="16"/>
          <w:szCs w:val="16"/>
        </w:rPr>
        <w:t>taisemman toiminnan ja optimoidun polttoaineenkulutuksen kustannusten alentamiseksi ja päästörajojen noudattamiseksi. Perinteisesti alusten suunnittelussa on käytetty 2-tahtimoottoreita propulsiota varten ja 4-tahtimoottoreita sähkövoiman tuotantoon. Wärts</w:t>
      </w:r>
      <w:r w:rsidRPr="007E073F">
        <w:rPr>
          <w:sz w:val="16"/>
          <w:szCs w:val="16"/>
        </w:rPr>
        <w:t>ilän ja RINAn konseptissa tarvitaan kuitenkin vain kaksi 4-tahtista monipolttoainemoottoria, ja sähkövoima voidaan saada akuista tai pienestä monipolttoainegeneraattorista silloin, kun alus ei ole käynnissä. Tässä mallissa, jossa on LNG-polttoaineella toim</w:t>
      </w:r>
      <w:r w:rsidRPr="007E073F">
        <w:rPr>
          <w:sz w:val="16"/>
          <w:szCs w:val="16"/>
        </w:rPr>
        <w:t>ivat Wärtsilän 31DF-moottorit, voidaan päästä jopa 50 prosentin vähennykseen EEDI-suunnitteluindeksin viitetason arvosta ja saavuttaa välittömästi IMO:n vuoden 2030 tavoitteet.</w:t>
      </w:r>
    </w:p>
    <w:p w:rsidR="007E073F" w:rsidRPr="007E073F" w:rsidP="007E073F">
      <w:pPr>
        <w:pStyle w:val="WNormal"/>
        <w:rPr>
          <w:sz w:val="16"/>
          <w:szCs w:val="16"/>
        </w:rPr>
      </w:pPr>
      <w:r w:rsidRPr="007E073F">
        <w:rPr>
          <w:sz w:val="16"/>
          <w:szCs w:val="16"/>
        </w:rPr>
        <w:t>Kesäkuussa Wärtsilä ilmoitti esittelevänsä Power-to-X-osaamistaan Dubain maailm</w:t>
      </w:r>
      <w:r w:rsidRPr="007E073F">
        <w:rPr>
          <w:sz w:val="16"/>
          <w:szCs w:val="16"/>
        </w:rPr>
        <w:t>annäyttelyssä yhteistyössä Soletair Powerin ja Q Powerin kanssa. Esittely-yksikkö tekee synteettistä polttoainetta sisäilman hiilidioksidista. Power-to-X-teknologiaa voidaan pitää tärkeänä askelena kohti hiilineutraaleja polttoaineita ja eri teollisuudenal</w:t>
      </w:r>
      <w:r w:rsidRPr="007E073F">
        <w:rPr>
          <w:sz w:val="16"/>
          <w:szCs w:val="16"/>
        </w:rPr>
        <w:t>ojen hiilineutraaliuden saavuttamista.</w:t>
      </w:r>
    </w:p>
    <w:p w:rsidR="007E073F" w:rsidRPr="007E073F" w:rsidP="007E073F">
      <w:pPr>
        <w:pStyle w:val="WNormal"/>
        <w:rPr>
          <w:sz w:val="16"/>
          <w:szCs w:val="16"/>
        </w:rPr>
      </w:pPr>
      <w:r w:rsidRPr="007E073F">
        <w:rPr>
          <w:sz w:val="16"/>
          <w:szCs w:val="16"/>
        </w:rPr>
        <w:t>Kesäkuussa Wärtsilä ja Schneider Electric ilmoittivat kehittäneensä yhdessä ainutlaatuisen, kokonaisvaltaisen sähköjärjestelmän referenssisuunnitelman. Se on tarkoitettu erityisesti litiumkaivoksiin, joita ei ole kytk</w:t>
      </w:r>
      <w:r w:rsidRPr="007E073F">
        <w:rPr>
          <w:sz w:val="16"/>
          <w:szCs w:val="16"/>
        </w:rPr>
        <w:t>etty sähköverkkoon. Ratkaisu edistää kestävää litiumin tuotantoa, sillä se optimoi energian tehokkaan toimituksen ja käytön, hyödyntää mikroverkkoja ja mahdollistaa uusiutuvien energianlähteiden käytön.</w:t>
      </w:r>
    </w:p>
    <w:p w:rsidR="007E073F" w:rsidRPr="007E073F" w:rsidP="007E073F">
      <w:pPr>
        <w:pStyle w:val="WNormal"/>
        <w:rPr>
          <w:sz w:val="16"/>
          <w:szCs w:val="16"/>
        </w:rPr>
      </w:pPr>
      <w:r w:rsidRPr="007E073F">
        <w:rPr>
          <w:sz w:val="16"/>
          <w:szCs w:val="16"/>
        </w:rPr>
        <w:t>Heinäkuussa Wärtsilä käynnisti laajan testiohjelman k</w:t>
      </w:r>
      <w:r w:rsidRPr="007E073F">
        <w:rPr>
          <w:sz w:val="16"/>
          <w:szCs w:val="16"/>
        </w:rPr>
        <w:t>ohti vedyllä ja ammoniakilla toimivia hiilettömiä ratkaisuja. Testiohjelma Wärtsilän polttoainejoustavilla moottoreilla tekee yhtiöstä edelläkävijän vedyn ja ammoniakin käyttöönotossa toimivina moottoripolttoaineina. Vety ja ammoniakki eivät sisällä hiiltä</w:t>
      </w:r>
      <w:r w:rsidRPr="007E073F">
        <w:rPr>
          <w:sz w:val="16"/>
          <w:szCs w:val="16"/>
        </w:rPr>
        <w:t>, joten niiden käytöstä ei synny hiilidioksidipäästöjä. Testitulokset ovat erittäin rohkaisevia. Yksi testimoottori suoriutui tyypillisellä merenkulun kuormitusalueella erinomaisesti käytettäessä polttoainetta, jonka ammoniakkipitoisuus on 70%. Testit suor</w:t>
      </w:r>
      <w:r w:rsidRPr="007E073F">
        <w:rPr>
          <w:sz w:val="16"/>
          <w:szCs w:val="16"/>
        </w:rPr>
        <w:t>itettiin onnistuneesti myös toisella moottorilla käyttämällä puhdasta vetyä. Wärtsilä odottaa saavansa puhtaalla vetypolttoaineella toimivan moottori- ja laitoskonseptin energiamarkkinoille vuoteen 2025 mennessä. Wärtsilä jatkoi ammoniakkiseoksella toimiva</w:t>
      </w:r>
      <w:r w:rsidRPr="007E073F">
        <w:rPr>
          <w:sz w:val="16"/>
          <w:szCs w:val="16"/>
        </w:rPr>
        <w:t>n laivamoottorin testausta, ja yhtiö odottaa ammoniakkipolttoaineella toimivan moottorikonseptinsa olevan valmis vuonna 2023. Wärtsilä kehittää myös ammoniakin varastointi- ja jakelujärjestelmiä osana EU:n ShipFC-hanketta. Osana Demo2000-projektia Wärtsilä</w:t>
      </w:r>
      <w:r w:rsidRPr="007E073F">
        <w:rPr>
          <w:sz w:val="16"/>
          <w:szCs w:val="16"/>
        </w:rPr>
        <w:t xml:space="preserve"> aloittaa ammoniakin testaamisen 4-tahtisessa merimoottorissa yhdessä asiakkaidensa KnutsenOAS:n, Repsol Norwayn ja Equinorin kanssa Norjan Stordissa sijaitsevassa Sustainable Energy Catapult Centressä. </w:t>
      </w:r>
    </w:p>
    <w:p w:rsidR="007E073F" w:rsidRPr="007E073F" w:rsidP="007E073F">
      <w:pPr>
        <w:pStyle w:val="WNormal"/>
        <w:rPr>
          <w:sz w:val="16"/>
          <w:szCs w:val="16"/>
        </w:rPr>
      </w:pPr>
      <w:r w:rsidRPr="007E073F">
        <w:rPr>
          <w:sz w:val="16"/>
          <w:szCs w:val="16"/>
        </w:rPr>
        <w:t>Heinäkuussa Wärtsilä Voyagen NTPRO (Navi-Trainer Pro</w:t>
      </w:r>
      <w:r w:rsidRPr="007E073F">
        <w:rPr>
          <w:sz w:val="16"/>
          <w:szCs w:val="16"/>
        </w:rPr>
        <w:t>fessional 5000) -navigointisimulaattorille myönnettiin uuden pilvipohjaisia simulaattoreita koskevan DNV Class D -standardin mukainen sertifikaatti. Se on ensimmäinen sertifioitu pilviratkaisu, joka tarjoaa sekä interaktiivista ohjaaja- että opiskelijaveto</w:t>
      </w:r>
      <w:r w:rsidRPr="007E073F">
        <w:rPr>
          <w:sz w:val="16"/>
          <w:szCs w:val="16"/>
        </w:rPr>
        <w:t>ista koulutusta. Navigointisimulaattori täyttää nyt täysin DNV:n ST-0033 Maritime Simulator Systems -standardin vaatimukset (luokat A, B, C ja D). Merenkulkualalla pyritään selvittämään, mitkä koulutukset voidaan toteuttaa tehokkaasti etänä ja mitkä vaativ</w:t>
      </w:r>
      <w:r w:rsidRPr="007E073F">
        <w:rPr>
          <w:sz w:val="16"/>
          <w:szCs w:val="16"/>
        </w:rPr>
        <w:t>at fyysistä läsnäoloa tai tiimityötä koulutuskeskuksessa. Wärtsilän sertifioidut pilviratkaisut mahdollistavat sekä pakollisten pätevyyskoulutusten ja -tutkintojen edellyttämän interaktiivisen ohjauksen että omatoimisen harjoittelun ja arvioinnin, joilla v</w:t>
      </w:r>
      <w:r w:rsidRPr="007E073F">
        <w:rPr>
          <w:sz w:val="16"/>
          <w:szCs w:val="16"/>
        </w:rPr>
        <w:t xml:space="preserve">oidaan täydentää kouluttajan vetämiä simulaatioita. </w:t>
      </w:r>
    </w:p>
    <w:p w:rsidR="007E073F" w:rsidRPr="007E073F" w:rsidP="007E073F">
      <w:pPr>
        <w:pStyle w:val="WNormal"/>
        <w:rPr>
          <w:sz w:val="16"/>
          <w:szCs w:val="16"/>
        </w:rPr>
      </w:pPr>
      <w:r w:rsidRPr="007E073F">
        <w:rPr>
          <w:sz w:val="16"/>
          <w:szCs w:val="16"/>
        </w:rPr>
        <w:t>Elokuussa Wärtsilä julkisti menestyksekkään Wärtsilä 20DF</w:t>
      </w:r>
      <w:r w:rsidRPr="007E073F">
        <w:rPr>
          <w:sz w:val="16"/>
          <w:szCs w:val="16"/>
        </w:rPr>
        <w:t>-monipolttoainemoottorin päivitetyn version, joka on entistä tehokkaampi ja polttoainetaloudellisempi ja jonka ympäristövaikutukset ovat pienemmä</w:t>
      </w:r>
      <w:r w:rsidRPr="007E073F">
        <w:rPr>
          <w:sz w:val="16"/>
          <w:szCs w:val="16"/>
        </w:rPr>
        <w:t xml:space="preserve">t. Päivitys myös kasvattaa moottorin polttoainejoustavuutta, sillä siinä voidaan käyttää laajemmin erilaisia kaasulaatuja. Moottorin sylinterikohtainen teho on noussut </w:t>
      </w:r>
      <w:r w:rsidRPr="007E073F">
        <w:rPr>
          <w:sz w:val="16"/>
          <w:szCs w:val="16"/>
        </w:rPr>
        <w:t>185 kW:sta 195 kW:iin, ja samalla palamattoman metaanin osuus on laskenut peräti 40%, mi</w:t>
      </w:r>
      <w:r w:rsidRPr="007E073F">
        <w:rPr>
          <w:sz w:val="16"/>
          <w:szCs w:val="16"/>
        </w:rPr>
        <w:t>kä vähentää tuntuvasti hiilidioksidipäästöjä.</w:t>
      </w:r>
    </w:p>
    <w:p w:rsidR="007E073F" w:rsidRPr="007E073F" w:rsidP="007E073F">
      <w:pPr>
        <w:pStyle w:val="WNormal"/>
        <w:rPr>
          <w:sz w:val="16"/>
          <w:szCs w:val="16"/>
        </w:rPr>
      </w:pPr>
      <w:r w:rsidRPr="007E073F">
        <w:rPr>
          <w:sz w:val="16"/>
          <w:szCs w:val="16"/>
        </w:rPr>
        <w:t>Syyskuussa ensimmäinen Wärtsilän akkukonteilla varustettu alus, Alphenaar, aloitti liikennöinnin Alankomaissa. Alus kuljettaa olutta palvelun ensimmäiselle asiakkaalle Heinekenille. Tämän Wärtsilän kehittämän j</w:t>
      </w:r>
      <w:r w:rsidRPr="007E073F">
        <w:rPr>
          <w:sz w:val="16"/>
          <w:szCs w:val="16"/>
        </w:rPr>
        <w:t>a toimittaman, vaihdettaviin akkukontteihin perustuvan ratkaisun ansiosta sisävesialukset voivat liikennöidä päästöttömästi. Kapasiteetiltaan 104 TEU:n sisävesikonttialusta on muutettu siten, että alukseen voitiin asentaa kaksi akkukonttiyksikköä. Järjeste</w:t>
      </w:r>
      <w:r w:rsidRPr="007E073F">
        <w:rPr>
          <w:sz w:val="16"/>
          <w:szCs w:val="16"/>
        </w:rPr>
        <w:t>lmää käyttävä alus voi ajaa pelkästään sähköllä, jolloin ei synny hiilipäästöjä. Tyhjentyneet akkukontit voidaan vaihtaa ja ladata maissa uusiutuvalla energialla tuotetulla sähköllä.</w:t>
      </w:r>
    </w:p>
    <w:p w:rsidR="007E073F" w:rsidRPr="007E073F" w:rsidP="007E073F">
      <w:pPr>
        <w:pStyle w:val="WNormal"/>
        <w:rPr>
          <w:sz w:val="16"/>
          <w:szCs w:val="16"/>
        </w:rPr>
      </w:pPr>
      <w:r w:rsidRPr="007E073F">
        <w:rPr>
          <w:sz w:val="16"/>
          <w:szCs w:val="16"/>
        </w:rPr>
        <w:t>Marraskuussa Wärtsilä ilmoitti tuovansa vuoden 2022 ensimmäisellä neljänn</w:t>
      </w:r>
      <w:r w:rsidRPr="007E073F">
        <w:rPr>
          <w:sz w:val="16"/>
          <w:szCs w:val="16"/>
        </w:rPr>
        <w:t>eksellä markkinoille konversioratkaisun 2-tahtimoottoreille. Tämä innovatiivinen patentoitu polttoteknologia mahdollistaa 2-tahtimoottoreiden nopean ja kustannustehokkaan muuntamisen tulevaisuuden puhtaampien polttoaineiden käyttöä varten. Tätä voi pitää m</w:t>
      </w:r>
      <w:r w:rsidRPr="007E073F">
        <w:rPr>
          <w:sz w:val="16"/>
          <w:szCs w:val="16"/>
        </w:rPr>
        <w:t>erkittävänä askelena merenkulkualan pyrkimyksissä kohti merenkulun hiilineutraaliutta. Ratkaisun jälkiasennus on helppoa, eli alusten omistajat välttävät pitkät ajat, jolloin alus on poissa käytöstä. Jälkiasennettava konversioratkaisu mahdollistaa aluksi o</w:t>
      </w:r>
      <w:r w:rsidRPr="007E073F">
        <w:rPr>
          <w:sz w:val="16"/>
          <w:szCs w:val="16"/>
        </w:rPr>
        <w:t>peroinnin LNG-polttoaineella siten, että palamatta jäävän metaanin osuus on hyvin pieni. Modulaarista konseptia kehitetään edelleen sallimaan vaihtoehtoisten, ympäristöystävällisten polttoaineiden tai polttoaineseosten käyttöönotto, kun ne tulevat kaupalli</w:t>
      </w:r>
      <w:r w:rsidRPr="007E073F">
        <w:rPr>
          <w:sz w:val="16"/>
          <w:szCs w:val="16"/>
        </w:rPr>
        <w:t>sesti saataville. Kehitysohjelma saatiin hiljan päätökseen. Ensimmäiset moottoritestit suoritettiin onnistuneesti Wärtsilän 2-tahtimoottoreiden laboratoriossa Triestessä.</w:t>
      </w:r>
    </w:p>
    <w:p w:rsidR="00A95810" w:rsidRPr="00DB1C91" w:rsidP="007E073F">
      <w:pPr>
        <w:pStyle w:val="WNormal"/>
        <w:rPr>
          <w:sz w:val="16"/>
          <w:szCs w:val="16"/>
        </w:rPr>
      </w:pPr>
      <w:r w:rsidRPr="007E073F">
        <w:rPr>
          <w:sz w:val="16"/>
          <w:szCs w:val="16"/>
        </w:rPr>
        <w:t xml:space="preserve">Marraskuussa Wärtsilä lanseerasi uuden IQ-sarjan pakokaasujen käsittelyjärjestelmän. </w:t>
      </w:r>
      <w:r w:rsidRPr="007E073F">
        <w:rPr>
          <w:sz w:val="16"/>
          <w:szCs w:val="16"/>
        </w:rPr>
        <w:t>IQ-sarja on uusin kehitysaskel merenkulun pakokaasujen käsittelyteknologioissa. Järjestelmään tehtyjen lukuisten parannusten ansiosta teknologia on erinomainen vaihtoehto erityisesti konttialuksiin päästömääräysten täyttämiseksi. IQ-sarjan rikkipesurin inn</w:t>
      </w:r>
      <w:r w:rsidRPr="007E073F">
        <w:rPr>
          <w:sz w:val="16"/>
          <w:szCs w:val="16"/>
        </w:rPr>
        <w:t>ovatiivisilla suunnitteluratkaisuilla päästään samoihin puhdistustuloksiin entistä pienemmällä laitteella. Rikkipesuri vie 25% vähemmän tilaa, on 30% kevyempi ja tilavuudeltaan 35% pienempi, eli se syö mahdollisimman vähän aluksen rahtikapasiteettia ja sit</w:t>
      </w:r>
      <w:r w:rsidRPr="007E073F">
        <w:rPr>
          <w:sz w:val="16"/>
          <w:szCs w:val="16"/>
        </w:rPr>
        <w:t>en kannattavuutta.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tblPr>
      <w:tblGrid>
        <w:gridCol w:w="4771"/>
      </w:tblGrid>
      <w:tr w14:paraId="437FD244" w14:textId="77777777" w:rsidTr="00AF113E">
        <w:tblPrEx>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tblPrEx>
        <w:trPr>
          <w:trHeight w:val="3119"/>
        </w:trPr>
        <w:tc>
          <w:tcPr>
            <w:tcW w:w="4771" w:type="dxa"/>
            <w:tcMar>
              <w:top w:w="0" w:type="dxa"/>
              <w:left w:w="0" w:type="dxa"/>
              <w:bottom w:w="0" w:type="dxa"/>
              <w:right w:w="0" w:type="dxa"/>
            </w:tcMar>
            <w:hideMark/>
          </w:tcPr>
          <w:p w:rsidR="00BF0651" w:rsidRPr="0002412B" w:rsidP="00024D0C" w14:paraId="11E1FECA" w14:textId="4F6B9A7B">
            <w:pPr>
              <w:pStyle w:val="Subtitle"/>
              <w:rPr>
                <w:color w:val="0F162B"/>
                <w:sz w:val="16"/>
                <w:szCs w:val="16"/>
              </w:rPr>
            </w:pPr>
            <w:r w:rsidRPr="0002412B">
              <w:rPr>
                <w:color w:val="0F162B"/>
                <w:sz w:val="16"/>
                <w:szCs w:val="16"/>
              </w:rPr>
              <w:t xml:space="preserve">Tutkimus- ja </w:t>
            </w:r>
            <w:r w:rsidRPr="0002412B">
              <w:rPr>
                <w:color w:val="0F162B"/>
                <w:sz w:val="16"/>
                <w:szCs w:val="16"/>
              </w:rPr>
              <w:t>kehitysmenot</w:t>
            </w:r>
            <w:r w:rsidRPr="0002412B">
              <w:rPr>
                <w:color w:val="0F162B"/>
                <w:sz w:val="16"/>
                <w:szCs w:val="16"/>
              </w:rPr>
              <w:t xml:space="preserve"> </w:t>
            </w:r>
          </w:p>
          <w:p w:rsidR="00BF0651" w:rsidP="00C34042" w14:paraId="25F8591F" w14:textId="0D57B7D0">
            <w:pPr>
              <w:rPr>
                <w:color w:val="FF7321"/>
                <w:lang w:val="en-GB"/>
              </w:rPr>
            </w:pPr>
            <w:r>
              <w:drawing>
                <wp:inline>
                  <wp:extent cx="3025688" cy="1620000"/>
                  <wp:docPr id="7" name="Chart_Research and develop_FI"/>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326EFD" w:rsidRPr="00CD3113" w:rsidP="002F6308" w14:paraId="19B24E4A" w14:textId="77777777">
      <w:pPr>
        <w:pStyle w:val="Wnormal0"/>
        <w:spacing w:after="0" w:line="20" w:lineRule="exact"/>
        <w:rPr>
          <w:lang w:val="en-GB"/>
        </w:rPr>
      </w:pPr>
      <w:bookmarkStart w:id="10" w:name="RG_MARKER_7304"/>
      <w:bookmarkEnd w:id="10"/>
      <w:r>
        <w:t xml:space="preserve"> </w:t>
      </w:r>
    </w:p>
    <w:p w:rsidR="00651511" w:rsidRPr="0092347C" w:rsidP="00D872B6">
      <w:pPr>
        <w:pStyle w:val="WHeading3"/>
        <w:spacing w:before="0"/>
        <w:rPr>
          <w:b/>
          <w:bCs/>
          <w:sz w:val="17"/>
          <w:szCs w:val="17"/>
        </w:rPr>
      </w:pPr>
      <w:bookmarkStart w:id="11" w:name="RG_MARKER_7484"/>
      <w:r w:rsidRPr="0092347C">
        <w:rPr>
          <w:b/>
          <w:bCs/>
          <w:sz w:val="17"/>
          <w:szCs w:val="17"/>
        </w:rPr>
        <w:t>Strategiset projektit</w:t>
      </w:r>
      <w:bookmarkEnd w:id="11"/>
    </w:p>
    <w:p w:rsidR="0092347C" w:rsidRPr="0092347C" w:rsidP="0092347C">
      <w:pPr>
        <w:pStyle w:val="WNormal"/>
        <w:rPr>
          <w:sz w:val="16"/>
          <w:szCs w:val="16"/>
          <w:lang w:bidi="fi-FI"/>
        </w:rPr>
      </w:pPr>
      <w:r w:rsidRPr="0092347C">
        <w:rPr>
          <w:sz w:val="16"/>
          <w:szCs w:val="16"/>
          <w:lang w:bidi="fi-FI"/>
        </w:rPr>
        <w:t xml:space="preserve">Tammikuussa Wärtsilä solmi aiesopimuksen Vaasan Sähkön ja EPV Energian sekä Vaasan kaupungin kanssa yhteistyöhankkeesta, jonka tavoitteena on hyödyntää päästötöntä vetyä sähköntuotannossa, teollisuudessa ja liikennesovelluksissa. Tavoitteena on rakentaa yhdessä Power-to-X-to-Power -järjestelmä Vaasaan ja </w:t>
      </w:r>
      <w:r w:rsidRPr="0092347C">
        <w:rPr>
          <w:sz w:val="16"/>
          <w:szCs w:val="16"/>
          <w:lang w:bidi="fi-FI"/>
        </w:rPr>
        <w:t>pilotoida</w:t>
      </w:r>
      <w:r w:rsidRPr="0092347C">
        <w:rPr>
          <w:sz w:val="16"/>
          <w:szCs w:val="16"/>
          <w:lang w:bidi="fi-FI"/>
        </w:rPr>
        <w:t xml:space="preserve"> vientimarkkinoille soveltuvaa vetypohjaista energiantuotantoratkaisua. </w:t>
      </w:r>
    </w:p>
    <w:p w:rsidR="0092347C" w:rsidRPr="0092347C" w:rsidP="0092347C">
      <w:pPr>
        <w:pStyle w:val="WNormal"/>
        <w:rPr>
          <w:sz w:val="16"/>
          <w:szCs w:val="16"/>
          <w:lang w:bidi="fi-FI"/>
        </w:rPr>
      </w:pPr>
      <w:r w:rsidRPr="0092347C">
        <w:rPr>
          <w:sz w:val="16"/>
          <w:szCs w:val="16"/>
          <w:lang w:bidi="fi-FI"/>
        </w:rPr>
        <w:t xml:space="preserve">Maaliskuussa Wärtsilä teki miljoonan euron lisäinvestoinnin suomalaiseen </w:t>
      </w:r>
      <w:r w:rsidRPr="0092347C">
        <w:rPr>
          <w:sz w:val="16"/>
          <w:szCs w:val="16"/>
          <w:lang w:bidi="fi-FI"/>
        </w:rPr>
        <w:t>Soletair</w:t>
      </w:r>
      <w:r w:rsidRPr="0092347C">
        <w:rPr>
          <w:sz w:val="16"/>
          <w:szCs w:val="16"/>
          <w:lang w:bidi="fi-FI"/>
        </w:rPr>
        <w:t xml:space="preserve"> Poweriin, joka kehittää ilmasta </w:t>
      </w:r>
      <w:r w:rsidRPr="0092347C">
        <w:rPr>
          <w:sz w:val="16"/>
          <w:szCs w:val="16"/>
          <w:lang w:bidi="fi-FI"/>
        </w:rPr>
        <w:t>talteenotettavan</w:t>
      </w:r>
      <w:r w:rsidRPr="0092347C">
        <w:rPr>
          <w:sz w:val="16"/>
          <w:szCs w:val="16"/>
          <w:lang w:bidi="fi-FI"/>
        </w:rPr>
        <w:t xml:space="preserve"> hiilidioksidin hyödyntämiseen liittyvää teknologiaa. Investoinnin avulla </w:t>
      </w:r>
      <w:r w:rsidRPr="0092347C">
        <w:rPr>
          <w:sz w:val="16"/>
          <w:szCs w:val="16"/>
          <w:lang w:bidi="fi-FI"/>
        </w:rPr>
        <w:t>Soletair</w:t>
      </w:r>
      <w:r w:rsidRPr="0092347C">
        <w:rPr>
          <w:sz w:val="16"/>
          <w:szCs w:val="16"/>
          <w:lang w:bidi="fi-FI"/>
        </w:rPr>
        <w:t xml:space="preserve"> Power voi edistää maailmanlaajuisia myyntiponnistelujaan sekä laajentaa rakennusten ilmanvaihtoa varten suunnitellun hiilidioksidin talteenottoratkaisunsa tuotantoa. Wärtsilän alkuperäinen 500 000 euron sijoitus yhtiöön tehtiin vuonna 2019.</w:t>
      </w:r>
    </w:p>
    <w:p w:rsidR="0092347C" w:rsidRPr="0092347C" w:rsidP="0092347C">
      <w:pPr>
        <w:pStyle w:val="WNormal"/>
        <w:rPr>
          <w:sz w:val="16"/>
          <w:szCs w:val="16"/>
        </w:rPr>
      </w:pPr>
      <w:r w:rsidRPr="0092347C">
        <w:rPr>
          <w:sz w:val="16"/>
          <w:szCs w:val="16"/>
        </w:rPr>
        <w:t xml:space="preserve">Huhtikuussa Wärtsilä aloitti Välimeren ja Afrikan suurimman konttisataman Tanger </w:t>
      </w:r>
      <w:r w:rsidRPr="0092347C">
        <w:rPr>
          <w:sz w:val="16"/>
          <w:szCs w:val="16"/>
        </w:rPr>
        <w:t>Medin</w:t>
      </w:r>
      <w:r w:rsidRPr="0092347C">
        <w:rPr>
          <w:sz w:val="16"/>
          <w:szCs w:val="16"/>
        </w:rPr>
        <w:t xml:space="preserve"> kanssa yhteistyön, jonka tavoitteena on edistää satamien tehokkuutta maailmanlaajuisesti kehittämällä yhdessä uusi huippuluokan tietojärjestelmä satamien hallintaa varten (Port Management </w:t>
      </w:r>
      <w:r w:rsidRPr="0092347C">
        <w:rPr>
          <w:sz w:val="16"/>
          <w:szCs w:val="16"/>
        </w:rPr>
        <w:t>Information</w:t>
      </w:r>
      <w:r w:rsidRPr="0092347C">
        <w:rPr>
          <w:sz w:val="16"/>
          <w:szCs w:val="16"/>
        </w:rPr>
        <w:t xml:space="preserve"> System, PMIS). Molemmat organisaatiot vahvistivat pitkäaikaisen sitoumuksensa ottaa käyttöön nykyaikaiset Smart Port -työkalut satamatoiminnoissa ja </w:t>
      </w:r>
      <w:r w:rsidRPr="0092347C">
        <w:rPr>
          <w:sz w:val="16"/>
          <w:szCs w:val="16"/>
        </w:rPr>
        <w:t>digitalisaatiossa</w:t>
      </w:r>
      <w:r w:rsidRPr="0092347C">
        <w:rPr>
          <w:sz w:val="16"/>
          <w:szCs w:val="16"/>
        </w:rPr>
        <w:t xml:space="preserve">. Näihin lukeutuvat oikea-aikaista satamaan saapumista tukevat Just-In-Time (JIT) -ratkaisut, koneoppiminen ja tekoäly sekä muut innovatiiviset ratkaisut. Uuden </w:t>
      </w:r>
      <w:r w:rsidRPr="0092347C">
        <w:rPr>
          <w:sz w:val="16"/>
          <w:szCs w:val="16"/>
        </w:rPr>
        <w:t>PMIS:n</w:t>
      </w:r>
      <w:r w:rsidRPr="0092347C">
        <w:rPr>
          <w:sz w:val="16"/>
          <w:szCs w:val="16"/>
        </w:rPr>
        <w:t xml:space="preserve"> tavoitteena on vastata Tanger </w:t>
      </w:r>
      <w:r w:rsidRPr="0092347C">
        <w:rPr>
          <w:sz w:val="16"/>
          <w:szCs w:val="16"/>
        </w:rPr>
        <w:t>Med</w:t>
      </w:r>
      <w:r w:rsidRPr="0092347C">
        <w:rPr>
          <w:sz w:val="16"/>
          <w:szCs w:val="16"/>
        </w:rPr>
        <w:t xml:space="preserve"> Port </w:t>
      </w:r>
      <w:r w:rsidRPr="0092347C">
        <w:rPr>
          <w:sz w:val="16"/>
          <w:szCs w:val="16"/>
        </w:rPr>
        <w:t>Complexia</w:t>
      </w:r>
      <w:r w:rsidRPr="0092347C">
        <w:rPr>
          <w:sz w:val="16"/>
          <w:szCs w:val="16"/>
        </w:rPr>
        <w:t xml:space="preserve"> käyttävien johtavien valtamerialusten ja merenkulun allianssien tarpeisiin alusten liikennöinnin optimoimiseksi sekä standardoidun </w:t>
      </w:r>
      <w:r w:rsidRPr="0092347C">
        <w:rPr>
          <w:sz w:val="16"/>
          <w:szCs w:val="16"/>
        </w:rPr>
        <w:t>master</w:t>
      </w:r>
      <w:r w:rsidRPr="0092347C">
        <w:rPr>
          <w:sz w:val="16"/>
          <w:szCs w:val="16"/>
        </w:rPr>
        <w:t xml:space="preserve"> datan ja tapahtumatietojen käyttämiseksi. </w:t>
      </w:r>
    </w:p>
    <w:p w:rsidR="0092347C" w:rsidRPr="0092347C" w:rsidP="0092347C">
      <w:pPr>
        <w:pStyle w:val="WNormal"/>
        <w:rPr>
          <w:sz w:val="16"/>
          <w:szCs w:val="16"/>
          <w:lang w:bidi="fi-FI"/>
        </w:rPr>
      </w:pPr>
      <w:r w:rsidRPr="0092347C">
        <w:rPr>
          <w:sz w:val="16"/>
          <w:szCs w:val="16"/>
          <w:lang w:bidi="fi-FI"/>
        </w:rPr>
        <w:t>Kesäkuussa Wärtsilä ja Vantaan Energia Oy solmivat yhteistyösopimuksen Vantaan Energian Power-to-</w:t>
      </w:r>
      <w:r w:rsidRPr="0092347C">
        <w:rPr>
          <w:sz w:val="16"/>
          <w:szCs w:val="16"/>
          <w:lang w:bidi="fi-FI"/>
        </w:rPr>
        <w:t>Gas</w:t>
      </w:r>
      <w:r w:rsidRPr="0092347C">
        <w:rPr>
          <w:sz w:val="16"/>
          <w:szCs w:val="16"/>
          <w:lang w:bidi="fi-FI"/>
        </w:rPr>
        <w:t xml:space="preserve">-voimalaitoksen esisuunnittelusta ja kehittämisestä. Vuonna 2025 käyttöönotettavaksi suunniteltu laitos tuottaisi 10 MW:n polttoaineteholla hiilineutraalia, synteettistä metaania kaupallisessa mittakaavassa. Synteettinen metaani tuotetaan </w:t>
      </w:r>
      <w:r w:rsidRPr="0092347C">
        <w:rPr>
          <w:sz w:val="16"/>
          <w:szCs w:val="16"/>
          <w:lang w:bidi="fi-FI"/>
        </w:rPr>
        <w:t>talteenotetusta</w:t>
      </w:r>
      <w:r w:rsidRPr="0092347C">
        <w:rPr>
          <w:sz w:val="16"/>
          <w:szCs w:val="16"/>
          <w:lang w:bidi="fi-FI"/>
        </w:rPr>
        <w:t xml:space="preserve"> hiilidioksidista sekä uusiutuvalla energialla tuotetusta vedystä.</w:t>
      </w:r>
    </w:p>
    <w:p w:rsidR="0092347C" w:rsidRPr="0092347C" w:rsidP="0092347C">
      <w:pPr>
        <w:pStyle w:val="WNormal"/>
        <w:rPr>
          <w:sz w:val="16"/>
          <w:szCs w:val="16"/>
        </w:rPr>
      </w:pPr>
      <w:r w:rsidRPr="0092347C">
        <w:rPr>
          <w:sz w:val="16"/>
          <w:szCs w:val="16"/>
        </w:rPr>
        <w:t xml:space="preserve">Heinäkuussa Wärtsilä ja korealainen laivanrakennusyhtiö Samsung Heavy </w:t>
      </w:r>
      <w:r w:rsidRPr="0092347C">
        <w:rPr>
          <w:sz w:val="16"/>
          <w:szCs w:val="16"/>
        </w:rPr>
        <w:t>Industries</w:t>
      </w:r>
      <w:r w:rsidRPr="0092347C">
        <w:rPr>
          <w:sz w:val="16"/>
          <w:szCs w:val="16"/>
        </w:rPr>
        <w:t xml:space="preserve"> (SHI) solmivat sopimuksen yhteisestä kehitysohjelmasta, jonka tarkoituksena on kehittää ammoniakkikäyttöisiä aluksia, joissa on 4-tahtiset apumoottorit. Wärtsilä on johtavia tulevaisuuden puhtailla polttoaineilla käyvien moottoreiden kehittäjiä. SHI uskoo ensimmäisten ammoniakkia käyttävien uusien alusten olevan konttialuksia ja erittäin suuria raakaöljyaluksia, joissa päämoottoreina on 2-tahtimoottorit ja apumoottoreina Wärtsilän 4-tahtimoottorit. </w:t>
      </w:r>
    </w:p>
    <w:p w:rsidR="0092347C" w:rsidRPr="0092347C" w:rsidP="0092347C">
      <w:pPr>
        <w:pStyle w:val="WNormal"/>
        <w:rPr>
          <w:sz w:val="16"/>
          <w:szCs w:val="16"/>
        </w:rPr>
      </w:pPr>
      <w:r w:rsidRPr="0092347C">
        <w:rPr>
          <w:sz w:val="16"/>
          <w:szCs w:val="16"/>
        </w:rPr>
        <w:t>Syyskuussa Wärtsilä paransi valmiuksiaan liittyen hiilidioksidin talteenottoon ja varastointiin (</w:t>
      </w:r>
      <w:r w:rsidRPr="0092347C">
        <w:rPr>
          <w:sz w:val="16"/>
          <w:szCs w:val="16"/>
        </w:rPr>
        <w:t>carbon</w:t>
      </w:r>
      <w:r w:rsidRPr="0092347C">
        <w:rPr>
          <w:sz w:val="16"/>
          <w:szCs w:val="16"/>
        </w:rPr>
        <w:t xml:space="preserve"> </w:t>
      </w:r>
      <w:r w:rsidRPr="0092347C">
        <w:rPr>
          <w:sz w:val="16"/>
          <w:szCs w:val="16"/>
        </w:rPr>
        <w:t>capture</w:t>
      </w:r>
      <w:r w:rsidRPr="0092347C">
        <w:rPr>
          <w:sz w:val="16"/>
          <w:szCs w:val="16"/>
        </w:rPr>
        <w:t xml:space="preserve"> and </w:t>
      </w:r>
      <w:r w:rsidRPr="0092347C">
        <w:rPr>
          <w:sz w:val="16"/>
          <w:szCs w:val="16"/>
        </w:rPr>
        <w:t>storage</w:t>
      </w:r>
      <w:r w:rsidRPr="0092347C">
        <w:rPr>
          <w:sz w:val="16"/>
          <w:szCs w:val="16"/>
        </w:rPr>
        <w:t xml:space="preserve">, CCS) merenkulkusovelluksissa osana LINCCS-konsortiota. LINCCS-projektin tavoitteena on alentaa hiilidioksidin varastointikustannuksia 70% ja kehittää hiilidioksidin talteenottoteknologioita useilla eri sektoreilla. LINCCS-konsortion ilmoitettiin myös saavan Norjan valtion Green </w:t>
      </w:r>
      <w:r w:rsidRPr="0092347C">
        <w:rPr>
          <w:sz w:val="16"/>
          <w:szCs w:val="16"/>
        </w:rPr>
        <w:t>Platform</w:t>
      </w:r>
      <w:r w:rsidRPr="0092347C">
        <w:rPr>
          <w:sz w:val="16"/>
          <w:szCs w:val="16"/>
        </w:rPr>
        <w:t xml:space="preserve"> -aloitteesta 111 miljoonaa Norjan kruunua seuraavan kolmen vuoden aikana. Hiilidioksidin talteenottoteknologia voi merkittävästi tukea merenkulkualan hiilineutraaliustavoitteita. Yksi LINCCS-projektin tärkeimmistä tavoitteista onkin tuoda markkinoille merenkulun CCS-ratkaisu. Wärtsilä johtaa tätä työtä tukenaan </w:t>
      </w:r>
      <w:r w:rsidRPr="0092347C">
        <w:rPr>
          <w:sz w:val="16"/>
          <w:szCs w:val="16"/>
        </w:rPr>
        <w:t>Sustainable</w:t>
      </w:r>
      <w:r w:rsidRPr="0092347C">
        <w:rPr>
          <w:sz w:val="16"/>
          <w:szCs w:val="16"/>
        </w:rPr>
        <w:t xml:space="preserve"> Energy </w:t>
      </w:r>
      <w:r w:rsidRPr="0092347C">
        <w:rPr>
          <w:sz w:val="16"/>
          <w:szCs w:val="16"/>
        </w:rPr>
        <w:t>Catapult</w:t>
      </w:r>
      <w:r w:rsidRPr="0092347C">
        <w:rPr>
          <w:sz w:val="16"/>
          <w:szCs w:val="16"/>
        </w:rPr>
        <w:t xml:space="preserve"> Center ja SINTEF Energy.</w:t>
      </w:r>
    </w:p>
    <w:p w:rsidR="0092347C" w:rsidRPr="0092347C" w:rsidP="0092347C">
      <w:pPr>
        <w:pStyle w:val="WNormal"/>
        <w:rPr>
          <w:sz w:val="16"/>
          <w:szCs w:val="16"/>
        </w:rPr>
      </w:pPr>
      <w:r w:rsidRPr="0092347C">
        <w:rPr>
          <w:sz w:val="16"/>
          <w:szCs w:val="16"/>
        </w:rPr>
        <w:t xml:space="preserve">Lokakuussa Wärtsilä ja norjalaisvarustamo </w:t>
      </w:r>
      <w:r w:rsidRPr="0092347C">
        <w:rPr>
          <w:sz w:val="16"/>
          <w:szCs w:val="16"/>
        </w:rPr>
        <w:t>Eidesvik</w:t>
      </w:r>
      <w:r w:rsidRPr="0092347C">
        <w:rPr>
          <w:sz w:val="16"/>
          <w:szCs w:val="16"/>
        </w:rPr>
        <w:t xml:space="preserve"> </w:t>
      </w:r>
      <w:r w:rsidRPr="0092347C">
        <w:rPr>
          <w:sz w:val="16"/>
          <w:szCs w:val="16"/>
        </w:rPr>
        <w:t>Offshore</w:t>
      </w:r>
      <w:r w:rsidRPr="0092347C">
        <w:rPr>
          <w:sz w:val="16"/>
          <w:szCs w:val="16"/>
        </w:rPr>
        <w:t xml:space="preserve"> ASA allekirjoittivat uraa uurtavan yhteistyösopimuksen, jonka tavoitteena on muuttaa </w:t>
      </w:r>
      <w:r w:rsidRPr="0092347C">
        <w:rPr>
          <w:sz w:val="16"/>
          <w:szCs w:val="16"/>
        </w:rPr>
        <w:t>offshore</w:t>
      </w:r>
      <w:r w:rsidRPr="0092347C">
        <w:rPr>
          <w:sz w:val="16"/>
          <w:szCs w:val="16"/>
        </w:rPr>
        <w:t xml:space="preserve">-tukialuksen (OSV) polttomoottorit käyttämään polttoaineenaan ammoniakkia. Sopimus kattaa myös tarvittavat polttoainehuolto- ja turvallisuusjärjestelmät. Alustavasti vuoden 2023 loppuun mennessä valmistuvaksi suunniteltu projekti on maailmanlaajuisesti ensimmäinen laatuaan. Jälkiasennuskohteeksi suunnitellussa </w:t>
      </w:r>
      <w:r w:rsidRPr="0092347C">
        <w:rPr>
          <w:sz w:val="16"/>
          <w:szCs w:val="16"/>
        </w:rPr>
        <w:t>offshore</w:t>
      </w:r>
      <w:r w:rsidRPr="0092347C">
        <w:rPr>
          <w:sz w:val="16"/>
          <w:szCs w:val="16"/>
        </w:rPr>
        <w:t>-tukialuksessa on Wärtsilän monipolttoainemoottorit, joiden pääasiallinen polttoaine on LNG. Konversion jälkeen aluksessa voidaan käyttää 70-prosenttista ammoniakkiseosta. Lopullisena tavoitteena on käyttää puhdasta ammoniakkia ja minimoida sytytyspolttoaineen käyttö.</w:t>
      </w:r>
    </w:p>
    <w:p w:rsidR="006A159A" w:rsidRPr="00D872B6" w:rsidP="0092347C">
      <w:pPr>
        <w:pStyle w:val="WNormal"/>
        <w:rPr>
          <w:sz w:val="16"/>
          <w:szCs w:val="16"/>
        </w:rPr>
      </w:pPr>
      <w:r w:rsidRPr="0092347C">
        <w:rPr>
          <w:sz w:val="16"/>
          <w:szCs w:val="16"/>
        </w:rPr>
        <w:t xml:space="preserve">Marraskuussa Wärtsilä </w:t>
      </w:r>
      <w:r w:rsidRPr="0092347C">
        <w:rPr>
          <w:sz w:val="16"/>
          <w:szCs w:val="16"/>
        </w:rPr>
        <w:t>Voyage</w:t>
      </w:r>
      <w:r w:rsidRPr="0092347C">
        <w:rPr>
          <w:sz w:val="16"/>
          <w:szCs w:val="16"/>
        </w:rPr>
        <w:t xml:space="preserve"> solmi Singaporen merenkulku- ja satamahallinnon (MPA) kanssa tärkeän sopimuksen älysatamien innovaatioita ja </w:t>
      </w:r>
      <w:r w:rsidRPr="0092347C">
        <w:rPr>
          <w:sz w:val="16"/>
          <w:szCs w:val="16"/>
        </w:rPr>
        <w:t>digitalisaatiota</w:t>
      </w:r>
      <w:r w:rsidRPr="0092347C">
        <w:rPr>
          <w:sz w:val="16"/>
          <w:szCs w:val="16"/>
        </w:rPr>
        <w:t xml:space="preserve"> koskevan yhteistyön vahvistamisesta. Strategisen kumppanuuden päätavoitteita on kehittää ja edistää </w:t>
      </w:r>
      <w:r w:rsidRPr="0092347C">
        <w:rPr>
          <w:sz w:val="16"/>
          <w:szCs w:val="16"/>
        </w:rPr>
        <w:t>digitalisaatiota</w:t>
      </w:r>
      <w:r w:rsidRPr="0092347C">
        <w:rPr>
          <w:sz w:val="16"/>
          <w:szCs w:val="16"/>
        </w:rPr>
        <w:t xml:space="preserve"> kiihdyttäviä innovatiivisia ratkaisuja, edistää sähköisten navigointijärjestelmien sekä aluksen ja sataman välisten turvallisten tiedonsiirtoratkaisujen </w:t>
      </w:r>
      <w:r w:rsidRPr="0092347C">
        <w:rPr>
          <w:sz w:val="16"/>
          <w:szCs w:val="16"/>
        </w:rPr>
        <w:t>yhteentoimivuutta</w:t>
      </w:r>
      <w:r w:rsidRPr="0092347C">
        <w:rPr>
          <w:sz w:val="16"/>
          <w:szCs w:val="16"/>
        </w:rPr>
        <w:t xml:space="preserve"> matkojen optimoimiseksi sekä rakentaa luotettavaa, kyberturvallista ja kustannustehokasta tiedonvaihtoa kaikkien ekosysteemikumppanien välille toiminnan tehokkuuden lisäämiseksi.</w:t>
      </w:r>
    </w:p>
    <w:p w:rsidR="00693A60" w:rsidRPr="00CE01EE" w:rsidP="00142591" w14:paraId="5AE68E3E" w14:textId="1161AC67">
      <w:pPr>
        <w:pStyle w:val="WHeading3"/>
      </w:pPr>
      <w:bookmarkStart w:id="12" w:name="RG_MARKER_7273"/>
      <w:r w:rsidRPr="00CE01EE">
        <w:t>Henkilöstö</w:t>
      </w:r>
      <w:bookmarkEnd w:id="12"/>
    </w:p>
    <w:p w:rsidR="005C3410" w:rsidRPr="00F52745" w:rsidP="00217798" w14:paraId="5A579516" w14:textId="630FC9A8">
      <w:pPr>
        <w:pStyle w:val="WNormal"/>
        <w:spacing w:line="257" w:lineRule="auto"/>
        <w:rPr>
          <w:spacing w:val="2"/>
          <w:sz w:val="16"/>
          <w:lang w:val="en-GB"/>
        </w:rPr>
      </w:pPr>
      <w:r w:rsidRPr="00F52745">
        <w:rPr>
          <w:spacing w:val="2"/>
          <w:sz w:val="16"/>
        </w:rPr>
        <w:t xml:space="preserve">Wärtsilän henkilöstömäärä oli vuoden lopussa </w:t>
      </w:r>
      <w:r w:rsidRPr="00F52745">
        <w:rPr>
          <w:spacing w:val="2"/>
          <w:sz w:val="16"/>
        </w:rPr>
        <w:t>17 305</w:t>
      </w:r>
      <w:r w:rsidRPr="00F52745">
        <w:rPr>
          <w:spacing w:val="2"/>
          <w:sz w:val="16"/>
        </w:rPr>
        <w:t xml:space="preserve"> (</w:t>
      </w:r>
      <w:r w:rsidRPr="00F52745">
        <w:rPr>
          <w:spacing w:val="2"/>
          <w:sz w:val="16"/>
        </w:rPr>
        <w:t>17 792</w:t>
      </w:r>
      <w:r w:rsidRPr="00F52745">
        <w:rPr>
          <w:spacing w:val="2"/>
          <w:sz w:val="16"/>
        </w:rPr>
        <w:t xml:space="preserve">). </w:t>
      </w:r>
      <w:r w:rsidRPr="00F52745">
        <w:rPr>
          <w:spacing w:val="2"/>
          <w:sz w:val="16"/>
          <w:lang w:val="en-GB"/>
        </w:rPr>
        <w:t xml:space="preserve">Keskimääräinen henkilöstömäärä oli vuonna </w:t>
      </w:r>
      <w:r w:rsidRPr="00F52745">
        <w:rPr>
          <w:spacing w:val="2"/>
          <w:sz w:val="16"/>
          <w:lang w:val="en-GB"/>
        </w:rPr>
        <w:t>2021</w:t>
      </w:r>
      <w:r w:rsidRPr="00F52745">
        <w:rPr>
          <w:spacing w:val="2"/>
          <w:sz w:val="16"/>
          <w:lang w:val="en-GB"/>
        </w:rPr>
        <w:t xml:space="preserve"> </w:t>
      </w:r>
      <w:r w:rsidRPr="00F52745">
        <w:rPr>
          <w:spacing w:val="2"/>
          <w:sz w:val="16"/>
          <w:lang w:val="en-GB"/>
        </w:rPr>
        <w:t>17 461</w:t>
      </w:r>
      <w:r w:rsidRPr="00F52745">
        <w:rPr>
          <w:spacing w:val="2"/>
          <w:sz w:val="16"/>
          <w:lang w:val="en-GB"/>
        </w:rPr>
        <w:t xml:space="preserve"> (</w:t>
      </w:r>
      <w:r w:rsidRPr="00F52745">
        <w:rPr>
          <w:spacing w:val="2"/>
          <w:sz w:val="16"/>
          <w:lang w:val="en-GB"/>
        </w:rPr>
        <w:t>18 307</w:t>
      </w:r>
      <w:r w:rsidRPr="00F52745">
        <w:rPr>
          <w:spacing w:val="2"/>
          <w:sz w:val="16"/>
          <w:lang w:val="en-GB"/>
        </w:rPr>
        <w:t>).</w:t>
      </w:r>
    </w:p>
    <w:p w:rsidR="006070B9" w:rsidRPr="00F52745" w:rsidP="00217798" w14:paraId="74812A22" w14:textId="6CFF4688">
      <w:pPr>
        <w:pStyle w:val="WNormal"/>
        <w:spacing w:line="257" w:lineRule="auto"/>
        <w:rPr>
          <w:spacing w:val="2"/>
          <w:sz w:val="16"/>
          <w:lang w:val="en-GB"/>
        </w:rPr>
      </w:pPr>
      <w:r w:rsidRPr="00F52745">
        <w:rPr>
          <w:spacing w:val="2"/>
          <w:sz w:val="16"/>
          <w:lang w:val="en-GB"/>
        </w:rPr>
        <w:t xml:space="preserve">Wärtsilän henkilöstöstä </w:t>
      </w:r>
      <w:r w:rsidRPr="00F52745">
        <w:rPr>
          <w:spacing w:val="2"/>
          <w:sz w:val="16"/>
          <w:lang w:val="en-GB"/>
        </w:rPr>
        <w:t>21</w:t>
      </w:r>
      <w:r w:rsidRPr="00F52745">
        <w:rPr>
          <w:spacing w:val="2"/>
          <w:sz w:val="16"/>
          <w:lang w:val="en-GB"/>
        </w:rPr>
        <w:t>% (</w:t>
      </w:r>
      <w:r w:rsidRPr="00F52745">
        <w:rPr>
          <w:spacing w:val="2"/>
          <w:sz w:val="16"/>
          <w:lang w:val="en-GB"/>
        </w:rPr>
        <w:t>21</w:t>
      </w:r>
      <w:r w:rsidRPr="00F52745">
        <w:rPr>
          <w:spacing w:val="2"/>
          <w:sz w:val="16"/>
          <w:lang w:val="en-GB"/>
        </w:rPr>
        <w:t xml:space="preserve">) työskenteli Suomessa ja </w:t>
      </w:r>
      <w:r w:rsidRPr="00F52745">
        <w:rPr>
          <w:spacing w:val="2"/>
          <w:sz w:val="16"/>
          <w:lang w:val="en-GB"/>
        </w:rPr>
        <w:t>40</w:t>
      </w:r>
      <w:r w:rsidRPr="00F52745">
        <w:rPr>
          <w:spacing w:val="2"/>
          <w:sz w:val="16"/>
          <w:lang w:val="en-GB"/>
        </w:rPr>
        <w:t>% (</w:t>
      </w:r>
      <w:r w:rsidRPr="00F52745">
        <w:rPr>
          <w:spacing w:val="2"/>
          <w:sz w:val="16"/>
          <w:lang w:val="en-GB"/>
        </w:rPr>
        <w:t>41</w:t>
      </w:r>
      <w:r w:rsidRPr="00F52745">
        <w:rPr>
          <w:spacing w:val="2"/>
          <w:sz w:val="16"/>
          <w:lang w:val="en-GB"/>
        </w:rPr>
        <w:t xml:space="preserve">) muualla Euroopassa. Henkilöstöstä </w:t>
      </w:r>
      <w:r w:rsidRPr="00F52745">
        <w:rPr>
          <w:spacing w:val="2"/>
          <w:sz w:val="16"/>
          <w:lang w:val="en-GB"/>
        </w:rPr>
        <w:t>21</w:t>
      </w:r>
      <w:r w:rsidRPr="00F52745">
        <w:rPr>
          <w:spacing w:val="2"/>
          <w:sz w:val="16"/>
          <w:lang w:val="en-GB"/>
        </w:rPr>
        <w:t>% (</w:t>
      </w:r>
      <w:r w:rsidRPr="00F52745">
        <w:rPr>
          <w:spacing w:val="2"/>
          <w:sz w:val="16"/>
          <w:lang w:val="en-GB"/>
        </w:rPr>
        <w:t>22</w:t>
      </w:r>
      <w:r w:rsidRPr="00F52745">
        <w:rPr>
          <w:spacing w:val="2"/>
          <w:sz w:val="16"/>
          <w:lang w:val="en-GB"/>
        </w:rPr>
        <w:t xml:space="preserve">) työskenteli Aasiassa, </w:t>
      </w:r>
      <w:r w:rsidRPr="00F52745">
        <w:rPr>
          <w:spacing w:val="2"/>
          <w:sz w:val="16"/>
          <w:lang w:val="en-GB"/>
        </w:rPr>
        <w:t>12</w:t>
      </w:r>
      <w:r w:rsidRPr="00F52745">
        <w:rPr>
          <w:spacing w:val="2"/>
          <w:sz w:val="16"/>
          <w:lang w:val="en-GB"/>
        </w:rPr>
        <w:t>% (</w:t>
      </w:r>
      <w:r w:rsidRPr="00F52745">
        <w:rPr>
          <w:spacing w:val="2"/>
          <w:sz w:val="16"/>
          <w:lang w:val="en-GB"/>
        </w:rPr>
        <w:t>11</w:t>
      </w:r>
      <w:r w:rsidRPr="00F52745">
        <w:rPr>
          <w:spacing w:val="2"/>
          <w:sz w:val="16"/>
          <w:lang w:val="en-GB"/>
        </w:rPr>
        <w:t xml:space="preserve">) Amerikassa ja </w:t>
      </w:r>
      <w:r w:rsidRPr="00F52745">
        <w:rPr>
          <w:spacing w:val="2"/>
          <w:sz w:val="16"/>
          <w:lang w:val="en-GB"/>
        </w:rPr>
        <w:t>5</w:t>
      </w:r>
      <w:r w:rsidRPr="00F52745">
        <w:rPr>
          <w:spacing w:val="2"/>
          <w:sz w:val="16"/>
          <w:lang w:val="en-GB"/>
        </w:rPr>
        <w:t>% (</w:t>
      </w:r>
      <w:r w:rsidRPr="00F52745">
        <w:rPr>
          <w:spacing w:val="2"/>
          <w:sz w:val="16"/>
          <w:lang w:val="en-GB"/>
        </w:rPr>
        <w:t>5</w:t>
      </w:r>
      <w:r w:rsidRPr="00F52745">
        <w:rPr>
          <w:spacing w:val="2"/>
          <w:sz w:val="16"/>
          <w:lang w:val="en-GB"/>
        </w:rPr>
        <w:t>) muissa maissa.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tblPr>
      <w:tblGrid>
        <w:gridCol w:w="4720"/>
      </w:tblGrid>
      <w:tr w14:paraId="1FAA02C7" w14:textId="77777777" w:rsidTr="00AD651A">
        <w:tblPrEx>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tblPrEx>
        <w:trPr>
          <w:trHeight w:val="3481"/>
        </w:trPr>
        <w:tc>
          <w:tcPr>
            <w:tcW w:w="4720" w:type="dxa"/>
            <w:tcMar>
              <w:top w:w="0" w:type="dxa"/>
              <w:left w:w="0" w:type="dxa"/>
              <w:bottom w:w="0" w:type="dxa"/>
              <w:right w:w="0" w:type="dxa"/>
            </w:tcMar>
          </w:tcPr>
          <w:p w:rsidR="009A73FB" w:rsidRPr="00F52745" w:rsidP="003A0370" w14:paraId="40D37D86" w14:textId="1385EF88">
            <w:pPr>
              <w:pStyle w:val="Subtitle"/>
              <w:rPr>
                <w:rStyle w:val="Strong"/>
                <w:bCs w:val="0"/>
                <w:color w:val="0F172B"/>
              </w:rPr>
            </w:pPr>
            <w:r w:rsidRPr="00F52745">
              <w:rPr>
                <w:rStyle w:val="Strong"/>
                <w:b/>
                <w:bCs w:val="0"/>
                <w:color w:val="0F172B"/>
                <w:spacing w:val="4"/>
              </w:rPr>
              <w:t>Henkilöstö</w:t>
            </w:r>
          </w:p>
          <w:p w:rsidR="00725B55" w:rsidRPr="00F52745" w:rsidP="00423DED" w14:paraId="7592E6B7" w14:textId="39BB024E">
            <w:pPr>
              <w:pStyle w:val="Wnormal0"/>
              <w:rPr>
                <w:color w:val="FF7321"/>
                <w:sz w:val="16"/>
                <w:szCs w:val="16"/>
              </w:rPr>
            </w:pPr>
            <w:r>
              <w:drawing>
                <wp:inline>
                  <wp:extent cx="3025688" cy="1970474"/>
                  <wp:docPr id="8" name="Chart_Personnel_FI"/>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p w:rsidR="005009A2" w:rsidRPr="00821B78" w:rsidP="0017602D" w14:paraId="12B796DD" w14:textId="7B07AB86">
      <w:pPr>
        <w:pStyle w:val="WHeading3"/>
      </w:pPr>
      <w:bookmarkStart w:id="13" w:name="RG_MARKER_7274"/>
      <w:r w:rsidRPr="00821B78">
        <w:t>Muutokset ylimmässä johdossa</w:t>
      </w:r>
      <w:bookmarkEnd w:id="13"/>
    </w:p>
    <w:p w:rsidR="001A6548" w:rsidRPr="0057246D" w:rsidP="005A606D" w14:paraId="360C9B4C" w14:textId="67C85EDF">
      <w:pPr>
        <w:pStyle w:val="Wnormal0"/>
        <w:rPr>
          <w:spacing w:val="2"/>
        </w:rPr>
      </w:pPr>
      <w:r w:rsidRPr="0057246D">
        <w:rPr>
          <w:spacing w:val="2"/>
        </w:rPr>
        <w:t xml:space="preserve">Håkan Agnevall (s. 1966, DI, MBA) aloitti Wärtsilä Oyj </w:t>
      </w:r>
      <w:r w:rsidRPr="0057246D">
        <w:rPr>
          <w:spacing w:val="2"/>
        </w:rPr>
        <w:t>Abp:n</w:t>
      </w:r>
      <w:r w:rsidRPr="0057246D">
        <w:rPr>
          <w:spacing w:val="2"/>
        </w:rPr>
        <w:t xml:space="preserve"> konsernijohtajana 1.2.2021. Hänen edeltäjänsä Jaakko Eskola jatkoi hallituksen ja johtokunnan neuvonantajana kunnes jäi eläkkeelle 30.6.2021.</w:t>
      </w:r>
    </w:p>
    <w:p w:rsidR="003379AB" w:rsidRPr="0057246D" w:rsidP="005A606D" w14:paraId="25A7B635" w14:textId="41383B98">
      <w:pPr>
        <w:pStyle w:val="Wnormal0"/>
        <w:rPr>
          <w:spacing w:val="2"/>
        </w:rPr>
      </w:pPr>
      <w:r w:rsidRPr="0057246D">
        <w:rPr>
          <w:spacing w:val="2"/>
        </w:rPr>
        <w:t>Elokuussa Wärtsilä nimitti Teija Sarajärven (s. 1969), FM, henkilöstöjohtajaksi ja johtokunnan jäseneksi. Sarajär</w:t>
      </w:r>
      <w:r w:rsidRPr="0057246D">
        <w:rPr>
          <w:spacing w:val="2"/>
        </w:rPr>
        <w:t>vi aloitti tehtävässä 1.1.2022</w:t>
      </w:r>
      <w:r w:rsidR="00933B4F">
        <w:rPr>
          <w:spacing w:val="2"/>
        </w:rPr>
        <w:t xml:space="preserve"> Alid </w:t>
      </w:r>
      <w:r w:rsidR="00933B4F">
        <w:rPr>
          <w:spacing w:val="2"/>
        </w:rPr>
        <w:t>Dettken</w:t>
      </w:r>
      <w:r w:rsidR="00933B4F">
        <w:rPr>
          <w:spacing w:val="2"/>
        </w:rPr>
        <w:t xml:space="preserve"> </w:t>
      </w:r>
      <w:r>
        <w:rPr>
          <w:spacing w:val="2"/>
        </w:rPr>
        <w:t>seuraajana</w:t>
      </w:r>
      <w:r w:rsidR="00933B4F">
        <w:rPr>
          <w:spacing w:val="2"/>
        </w:rPr>
        <w:t>.</w:t>
      </w:r>
    </w:p>
    <w:p w:rsidR="005009A2" w:rsidRPr="00BC04B2" w:rsidP="00E662B1">
      <w:pPr>
        <w:pStyle w:val="WHeading3"/>
      </w:pPr>
      <w:bookmarkStart w:id="14" w:name="RG_MARKER_7276"/>
      <w:r w:rsidRPr="00BC04B2">
        <w:t>Selvitys muista kuin taloudellisista tiedoista</w:t>
      </w:r>
      <w:bookmarkEnd w:id="14"/>
    </w:p>
    <w:p w:rsidR="00B634D3" w:rsidRPr="00B634D3" w:rsidP="004E42D5">
      <w:pPr>
        <w:pStyle w:val="WNormal"/>
        <w:spacing w:after="160" w:line="257" w:lineRule="auto"/>
        <w:rPr>
          <w:sz w:val="16"/>
          <w:szCs w:val="14"/>
        </w:rPr>
      </w:pPr>
      <w:r w:rsidRPr="00B634D3">
        <w:rPr>
          <w:sz w:val="16"/>
          <w:szCs w:val="14"/>
        </w:rPr>
        <w:t>Kasvava ympäristötietoisuus, kiristyvä sääntely, asiakkaiden odotukset ja hiilineutraaliuden tavoittelu tuovat perustavanlaatuisia muutoksia sekä merenkulku- että energia-alalle. Wärtsilä on kansainvälisesti johtava innovatiivisen teknologian ja elinkaarir</w:t>
      </w:r>
      <w:r w:rsidRPr="00B634D3">
        <w:rPr>
          <w:sz w:val="16"/>
          <w:szCs w:val="14"/>
        </w:rPr>
        <w:t>atkaisujen toimittaja merenkulku- ja energiamarkkinoilla. Wärtsilä keskittyy kestävän kehityksen mukaisiin innovaatioihin teknologioissa ja palveluissa, joilla se auttaa asiakkaitaan jatkuvasti parantamaan ympäristösuorituskykyään ja taloudellista tulostaa</w:t>
      </w:r>
      <w:r w:rsidRPr="00B634D3">
        <w:rPr>
          <w:sz w:val="16"/>
          <w:szCs w:val="14"/>
        </w:rPr>
        <w:t xml:space="preserve">n. Wärtsilällä on </w:t>
      </w:r>
      <w:r w:rsidR="00C13BD2">
        <w:rPr>
          <w:sz w:val="16"/>
          <w:szCs w:val="14"/>
        </w:rPr>
        <w:t xml:space="preserve">laajan </w:t>
      </w:r>
      <w:r w:rsidRPr="00B634D3">
        <w:rPr>
          <w:sz w:val="16"/>
          <w:szCs w:val="14"/>
        </w:rPr>
        <w:t>teknologi</w:t>
      </w:r>
      <w:r w:rsidR="00C13BD2">
        <w:rPr>
          <w:sz w:val="16"/>
          <w:szCs w:val="14"/>
        </w:rPr>
        <w:t>avalikoimansa</w:t>
      </w:r>
      <w:r w:rsidRPr="00B634D3">
        <w:rPr>
          <w:sz w:val="16"/>
          <w:szCs w:val="14"/>
        </w:rPr>
        <w:t xml:space="preserve"> ja erikoistuneiden palveluidensa ansiosta hyvät valmiudet tukea merenkulku- ja energiamarkkinoiden hiilineutraaliuspyrkimyksiä</w:t>
      </w:r>
      <w:r w:rsidR="00C13BD2">
        <w:rPr>
          <w:sz w:val="16"/>
          <w:szCs w:val="14"/>
        </w:rPr>
        <w:t xml:space="preserve"> sekä</w:t>
      </w:r>
      <w:r w:rsidRPr="00B634D3">
        <w:rPr>
          <w:sz w:val="16"/>
          <w:szCs w:val="14"/>
        </w:rPr>
        <w:t xml:space="preserve"> vähentää päästöjä ja luonnonvarojen käyttöä</w:t>
      </w:r>
      <w:r w:rsidR="00C13BD2">
        <w:rPr>
          <w:sz w:val="16"/>
          <w:szCs w:val="14"/>
        </w:rPr>
        <w:t>.</w:t>
      </w:r>
      <w:r w:rsidRPr="00B634D3">
        <w:rPr>
          <w:sz w:val="16"/>
          <w:szCs w:val="14"/>
        </w:rPr>
        <w:t xml:space="preserve"> </w:t>
      </w:r>
      <w:r w:rsidR="00C13BD2">
        <w:rPr>
          <w:sz w:val="16"/>
          <w:szCs w:val="14"/>
        </w:rPr>
        <w:t>Nämä valmiudet tukevat</w:t>
      </w:r>
      <w:r w:rsidRPr="00B634D3">
        <w:rPr>
          <w:sz w:val="16"/>
          <w:szCs w:val="14"/>
        </w:rPr>
        <w:t xml:space="preserve"> asiakkai</w:t>
      </w:r>
      <w:r w:rsidRPr="00B634D3">
        <w:rPr>
          <w:sz w:val="16"/>
          <w:szCs w:val="14"/>
        </w:rPr>
        <w:t xml:space="preserve">ta </w:t>
      </w:r>
      <w:r w:rsidR="00C13BD2">
        <w:rPr>
          <w:sz w:val="16"/>
          <w:szCs w:val="14"/>
        </w:rPr>
        <w:t xml:space="preserve">heidän </w:t>
      </w:r>
      <w:r w:rsidRPr="00B634D3">
        <w:rPr>
          <w:sz w:val="16"/>
          <w:szCs w:val="14"/>
        </w:rPr>
        <w:t>pyrkimyksissä</w:t>
      </w:r>
      <w:r w:rsidR="00C13BD2">
        <w:rPr>
          <w:sz w:val="16"/>
          <w:szCs w:val="14"/>
        </w:rPr>
        <w:t>än pienentää hiilijalanjälkeään</w:t>
      </w:r>
      <w:r w:rsidRPr="00B634D3">
        <w:rPr>
          <w:sz w:val="16"/>
          <w:szCs w:val="14"/>
        </w:rPr>
        <w:t xml:space="preserve"> ja </w:t>
      </w:r>
      <w:r w:rsidR="00C13BD2">
        <w:rPr>
          <w:sz w:val="16"/>
          <w:szCs w:val="14"/>
        </w:rPr>
        <w:t xml:space="preserve">noudattaa </w:t>
      </w:r>
      <w:r w:rsidRPr="00B634D3">
        <w:rPr>
          <w:sz w:val="16"/>
          <w:szCs w:val="14"/>
        </w:rPr>
        <w:t>sääntely</w:t>
      </w:r>
      <w:r w:rsidR="00C13BD2">
        <w:rPr>
          <w:sz w:val="16"/>
          <w:szCs w:val="14"/>
        </w:rPr>
        <w:t>ä</w:t>
      </w:r>
      <w:r w:rsidRPr="00B634D3">
        <w:rPr>
          <w:sz w:val="16"/>
          <w:szCs w:val="14"/>
        </w:rPr>
        <w:t xml:space="preserve">. Wärtsilän tutkimus- ja tuotekehitystoiminnot keskittyvät jatkossakin edistyksellisten ympäristöteknologioiden ja  ratkaisujen kehittämiseen. </w:t>
      </w:r>
    </w:p>
    <w:p w:rsidR="00B634D3" w:rsidRPr="00B634D3" w:rsidP="004E42D5">
      <w:pPr>
        <w:pStyle w:val="WNormal"/>
        <w:spacing w:after="160" w:line="257" w:lineRule="auto"/>
        <w:rPr>
          <w:b/>
          <w:bCs/>
          <w:sz w:val="16"/>
          <w:szCs w:val="14"/>
        </w:rPr>
      </w:pPr>
      <w:r w:rsidRPr="00B634D3">
        <w:rPr>
          <w:sz w:val="16"/>
          <w:szCs w:val="14"/>
        </w:rPr>
        <w:t>Wärtsilä on sitoutunut tukemaan YK:</w:t>
      </w:r>
      <w:r w:rsidRPr="00B634D3">
        <w:rPr>
          <w:sz w:val="16"/>
          <w:szCs w:val="14"/>
        </w:rPr>
        <w:t xml:space="preserve">n Global Compact </w:t>
      </w:r>
      <w:r w:rsidR="00305BEB">
        <w:rPr>
          <w:sz w:val="16"/>
          <w:szCs w:val="14"/>
        </w:rPr>
        <w:t>-</w:t>
      </w:r>
      <w:r w:rsidRPr="00B634D3">
        <w:rPr>
          <w:sz w:val="16"/>
          <w:szCs w:val="14"/>
        </w:rPr>
        <w:t>aloitteen ihmisoikeuksia, työvoimaa, ympäristöä ja korruption torjuntaa koskevia periaatteita. Wärtsilä on myös sitoutunut tukemaan YK:n kestävän kehityksen tavoitteita, jotka käsittelevät asioita, joihin Wärtsilällä on positiivinen vaiku</w:t>
      </w:r>
      <w:r w:rsidRPr="00B634D3">
        <w:rPr>
          <w:sz w:val="16"/>
          <w:szCs w:val="14"/>
        </w:rPr>
        <w:t xml:space="preserve">tus. Tällaisia ovat esimerkiksi puhdas energia, vähähiilinen merenkulun ekosysteemi ja vastuullinen liiketoiminta. </w:t>
      </w:r>
    </w:p>
    <w:p w:rsidR="00CF2D76" w:rsidRPr="00A43CD8" w:rsidP="00B634D3">
      <w:pPr>
        <w:pStyle w:val="WHeadingException3"/>
      </w:pPr>
      <w:r w:rsidRPr="00A43CD8">
        <w:t xml:space="preserve">Vastuullinen liiketoiminta  </w:t>
      </w:r>
    </w:p>
    <w:p w:rsidR="00B634D3" w:rsidRPr="009B17B0" w:rsidP="009B17B0">
      <w:pPr>
        <w:pStyle w:val="WNormal"/>
        <w:spacing w:after="160" w:line="257" w:lineRule="auto"/>
        <w:rPr>
          <w:sz w:val="16"/>
          <w:szCs w:val="14"/>
        </w:rPr>
      </w:pPr>
      <w:r w:rsidRPr="009B17B0">
        <w:rPr>
          <w:sz w:val="16"/>
          <w:szCs w:val="14"/>
        </w:rPr>
        <w:t>Wärtsilän toimintaperiaatteet (Code of Conduct) määrittelevät koko henkilöstöä sitovat säännöt ja ohjaavat Wärt</w:t>
      </w:r>
      <w:r w:rsidRPr="009B17B0">
        <w:rPr>
          <w:sz w:val="16"/>
          <w:szCs w:val="14"/>
        </w:rPr>
        <w:t>silän liiketoiminnan vastuullisuutta koskevia päätöksiä. Toimintaperiaatteita täydentävät koko konsernin kattavat politiikat, mukaan lukien laatu-, ympäristö-, työterveys- ja turvallisuuspolitiikka, yhtäläisiä mahdollisuuksia ja oikeudenmukaisia työsuhdekä</w:t>
      </w:r>
      <w:r w:rsidRPr="009B17B0">
        <w:rPr>
          <w:sz w:val="16"/>
          <w:szCs w:val="14"/>
        </w:rPr>
        <w:t>ytäntöjä koskeva politiikka sekä lahjonnan ja lahjusten torjuntaa, säännöstenmukaista raportointia sekä hankintoja koskevat politiikat.</w:t>
      </w:r>
    </w:p>
    <w:p w:rsidR="00B634D3" w:rsidRPr="009B17B0" w:rsidP="009B17B0">
      <w:pPr>
        <w:pStyle w:val="WNormal"/>
        <w:spacing w:after="160" w:line="257" w:lineRule="auto"/>
        <w:rPr>
          <w:sz w:val="16"/>
          <w:szCs w:val="14"/>
        </w:rPr>
      </w:pPr>
      <w:r w:rsidRPr="009B17B0">
        <w:rPr>
          <w:sz w:val="16"/>
          <w:szCs w:val="14"/>
        </w:rPr>
        <w:t xml:space="preserve">Wärtsilä soveltaa toimintaperiaatteitaan aktiivisesti, edistää niiden täytäntöönpanoa tehokkaalla </w:t>
      </w:r>
      <w:r w:rsidRPr="009B17B0" w:rsidR="00C13BD2">
        <w:rPr>
          <w:sz w:val="16"/>
          <w:szCs w:val="14"/>
        </w:rPr>
        <w:t xml:space="preserve">koko </w:t>
      </w:r>
      <w:r w:rsidRPr="009B17B0">
        <w:rPr>
          <w:sz w:val="16"/>
          <w:szCs w:val="14"/>
        </w:rPr>
        <w:t>henkilöstölle suu</w:t>
      </w:r>
      <w:r w:rsidRPr="009B17B0">
        <w:rPr>
          <w:sz w:val="16"/>
          <w:szCs w:val="14"/>
        </w:rPr>
        <w:t xml:space="preserve">nnatulla viestinnällä ja valvoo sisäisesti periaatteiden noudattamista varmistaakseen, että ne ymmärretään ja niihin sitoudutaan kaikkialla organisaatiossa. Code of Conduct </w:t>
      </w:r>
      <w:r w:rsidR="00305BEB">
        <w:rPr>
          <w:sz w:val="16"/>
          <w:szCs w:val="14"/>
        </w:rPr>
        <w:t>-</w:t>
      </w:r>
      <w:r w:rsidRPr="009B17B0">
        <w:rPr>
          <w:sz w:val="16"/>
          <w:szCs w:val="14"/>
        </w:rPr>
        <w:t>koulutuksen oli suorittanut vuoden 2021 lopussa 16 712 työntekijää eli 94% koko he</w:t>
      </w:r>
      <w:r w:rsidRPr="009B17B0">
        <w:rPr>
          <w:sz w:val="16"/>
          <w:szCs w:val="14"/>
        </w:rPr>
        <w:t xml:space="preserve">nkilöstöstä. </w:t>
      </w:r>
    </w:p>
    <w:p w:rsidR="00D607C5" w:rsidRPr="009B17B0" w:rsidP="009B17B0">
      <w:pPr>
        <w:pStyle w:val="WNormal"/>
        <w:spacing w:after="160" w:line="257" w:lineRule="auto"/>
        <w:rPr>
          <w:sz w:val="16"/>
          <w:szCs w:val="14"/>
        </w:rPr>
      </w:pPr>
      <w:r w:rsidRPr="009B17B0">
        <w:rPr>
          <w:sz w:val="16"/>
          <w:szCs w:val="14"/>
        </w:rPr>
        <w:t>Toimittajat ja liikekumppanit ovat olennainen osa Wärtsilän tuotteiden ja palveluiden kokonaisarvoketjua. Heidän odotetaan noudattavan samoja korkeita juridisia ja eettisiä normeja sekä liiketapoja kuin Wärtsilä itsekin noudattaa. Tiedot Wärt</w:t>
      </w:r>
      <w:r w:rsidRPr="009B17B0">
        <w:rPr>
          <w:sz w:val="16"/>
          <w:szCs w:val="14"/>
        </w:rPr>
        <w:t xml:space="preserve">silän vaatimuksista sisällytetään toimittajille suunnattuihin sopimusmalleihin. </w:t>
      </w:r>
      <w:r w:rsidRPr="009B17B0" w:rsidR="003D1D6A">
        <w:rPr>
          <w:sz w:val="16"/>
          <w:szCs w:val="14"/>
        </w:rPr>
        <w:t xml:space="preserve"> </w:t>
      </w:r>
    </w:p>
    <w:p w:rsidR="00D607C5" w:rsidRPr="00A43CD8" w:rsidP="003E6415">
      <w:pPr>
        <w:pStyle w:val="WHeadingException3"/>
      </w:pPr>
      <w:r w:rsidRPr="00A43CD8">
        <w:t xml:space="preserve">Ympäristövastuu </w:t>
      </w:r>
    </w:p>
    <w:p w:rsidR="00B634D3" w:rsidRPr="009B17B0" w:rsidP="009B17B0">
      <w:pPr>
        <w:pStyle w:val="WNormal"/>
        <w:spacing w:after="160" w:line="257" w:lineRule="auto"/>
        <w:rPr>
          <w:sz w:val="16"/>
          <w:szCs w:val="14"/>
        </w:rPr>
      </w:pPr>
      <w:r w:rsidRPr="009B17B0">
        <w:rPr>
          <w:sz w:val="16"/>
          <w:szCs w:val="14"/>
        </w:rPr>
        <w:t>Wärtsilän pääasiallinen panos ympäristösuorituskyvyn parantamiseen on luotettavi</w:t>
      </w:r>
      <w:r w:rsidRPr="009B17B0" w:rsidR="00C13BD2">
        <w:rPr>
          <w:sz w:val="16"/>
          <w:szCs w:val="14"/>
        </w:rPr>
        <w:t>en</w:t>
      </w:r>
      <w:r w:rsidRPr="009B17B0">
        <w:rPr>
          <w:sz w:val="16"/>
          <w:szCs w:val="14"/>
        </w:rPr>
        <w:t xml:space="preserve"> ja turvalli</w:t>
      </w:r>
      <w:r w:rsidRPr="009B17B0" w:rsidR="00C13BD2">
        <w:rPr>
          <w:sz w:val="16"/>
          <w:szCs w:val="14"/>
        </w:rPr>
        <w:t>sten</w:t>
      </w:r>
      <w:r w:rsidRPr="009B17B0">
        <w:rPr>
          <w:sz w:val="16"/>
          <w:szCs w:val="14"/>
        </w:rPr>
        <w:t xml:space="preserve"> teknologioi</w:t>
      </w:r>
      <w:r w:rsidRPr="009B17B0" w:rsidR="00C13BD2">
        <w:rPr>
          <w:sz w:val="16"/>
          <w:szCs w:val="14"/>
        </w:rPr>
        <w:t>den</w:t>
      </w:r>
      <w:r w:rsidRPr="009B17B0">
        <w:rPr>
          <w:sz w:val="16"/>
          <w:szCs w:val="14"/>
        </w:rPr>
        <w:t xml:space="preserve"> ja palveluj</w:t>
      </w:r>
      <w:r w:rsidRPr="009B17B0" w:rsidR="00C13BD2">
        <w:rPr>
          <w:sz w:val="16"/>
          <w:szCs w:val="14"/>
        </w:rPr>
        <w:t>en tarjoaminen asiakkaille.</w:t>
      </w:r>
      <w:r w:rsidRPr="009B17B0">
        <w:rPr>
          <w:sz w:val="16"/>
          <w:szCs w:val="14"/>
        </w:rPr>
        <w:t xml:space="preserve"> </w:t>
      </w:r>
      <w:r w:rsidRPr="009B17B0" w:rsidR="00C13BD2">
        <w:rPr>
          <w:sz w:val="16"/>
          <w:szCs w:val="14"/>
        </w:rPr>
        <w:t xml:space="preserve">Ne paitsi auttavat täyttämään ympäristömääräykset myös </w:t>
      </w:r>
      <w:r w:rsidRPr="009B17B0">
        <w:rPr>
          <w:sz w:val="16"/>
          <w:szCs w:val="14"/>
        </w:rPr>
        <w:t>tuke</w:t>
      </w:r>
      <w:r w:rsidRPr="009B17B0" w:rsidR="00C13BD2">
        <w:rPr>
          <w:sz w:val="16"/>
          <w:szCs w:val="14"/>
        </w:rPr>
        <w:t>vat</w:t>
      </w:r>
      <w:r w:rsidRPr="009B17B0">
        <w:rPr>
          <w:sz w:val="16"/>
          <w:szCs w:val="14"/>
        </w:rPr>
        <w:t xml:space="preserve"> merenkulku- ja energia-alan kestävää kehitystä. Wärtsilän tuotteiden ja ratkaisujen suunniteltu käyttöikä on jopa 30 vuotta. Siksi keskittyminen tuotteen tai järjestelmän suorituskyvyn parantam</w:t>
      </w:r>
      <w:r w:rsidRPr="009B17B0">
        <w:rPr>
          <w:sz w:val="16"/>
          <w:szCs w:val="14"/>
        </w:rPr>
        <w:t>iseen on ratkaisevan tärkeä osa tutkimus- ja kehitystyötä samoin kuin suorituskyvyn elinkaarioptimointi. Tuotteidensa ja ratkaisujensa ympäristösuorituskyvyn parantamisen lisäksi Wärtsilä valvoo jatkuvasti oman toimintansa vaikutuksia ja pyrkii vähentämään</w:t>
      </w:r>
      <w:r w:rsidRPr="009B17B0">
        <w:rPr>
          <w:sz w:val="16"/>
          <w:szCs w:val="14"/>
        </w:rPr>
        <w:t xml:space="preserve"> energiankulutusta </w:t>
      </w:r>
      <w:r w:rsidRPr="009B17B0" w:rsidR="00C13BD2">
        <w:rPr>
          <w:sz w:val="16"/>
          <w:szCs w:val="14"/>
        </w:rPr>
        <w:t xml:space="preserve">kaikissa </w:t>
      </w:r>
      <w:r w:rsidR="00305BEB">
        <w:rPr>
          <w:sz w:val="16"/>
          <w:szCs w:val="14"/>
        </w:rPr>
        <w:t>toimipisteissään</w:t>
      </w:r>
      <w:r w:rsidRPr="009B17B0">
        <w:rPr>
          <w:sz w:val="16"/>
          <w:szCs w:val="14"/>
        </w:rPr>
        <w:t xml:space="preserve">. </w:t>
      </w:r>
    </w:p>
    <w:p w:rsidR="0076044C" w:rsidRPr="009B17B0" w:rsidP="009B17B0">
      <w:pPr>
        <w:pStyle w:val="WNormal"/>
        <w:spacing w:after="160" w:line="257" w:lineRule="auto"/>
        <w:rPr>
          <w:sz w:val="16"/>
          <w:szCs w:val="14"/>
        </w:rPr>
      </w:pPr>
      <w:r w:rsidRPr="009B17B0">
        <w:rPr>
          <w:sz w:val="16"/>
          <w:szCs w:val="14"/>
        </w:rPr>
        <w:t>Wärtsilän laatu-, ympäristö- ja työterveys- ja työturvallisuuspolitiikka (QEHS) määrää yhtiön tuotteiden ja palvelujen ympäristövaikutusten hallinnan periaatteet. Ympäristöasioihin ja ilmastonmuutokseen liitty</w:t>
      </w:r>
      <w:r w:rsidRPr="009B17B0">
        <w:rPr>
          <w:sz w:val="16"/>
          <w:szCs w:val="14"/>
        </w:rPr>
        <w:t>vät mahdolliset riskit liittyvät pääasiassa päästörajoituksiin ja asiakkaiden asennemuutoksiin polttomoottoreiden ja fossiilisten polttoaineiden käytön osalta. Riskejä hallitaan keskittymällä tutkimus- ja kehitystoiminnassa tuotteiden hyötysuhteen parantam</w:t>
      </w:r>
      <w:r w:rsidRPr="009B17B0">
        <w:rPr>
          <w:sz w:val="16"/>
          <w:szCs w:val="14"/>
        </w:rPr>
        <w:t>iseen ja päästöjen vähentämiseen sekä kehittämällä laaja tuotevalikoima, johon sisältyy jätteiden ja melun vähentämiseen sekä jätevesien ja painolastivesien käsittelyyn liittyviä teknologioita.</w:t>
      </w:r>
      <w:r w:rsidRPr="009B17B0" w:rsidR="003D1D6A">
        <w:rPr>
          <w:sz w:val="16"/>
          <w:szCs w:val="14"/>
        </w:rPr>
        <w:t xml:space="preserve"> Vuonna </w:t>
      </w:r>
      <w:r w:rsidRPr="009B17B0" w:rsidR="001A6156">
        <w:rPr>
          <w:sz w:val="16"/>
          <w:szCs w:val="14"/>
        </w:rPr>
        <w:t>2021</w:t>
      </w:r>
      <w:r w:rsidRPr="009B17B0" w:rsidR="003D1D6A">
        <w:rPr>
          <w:sz w:val="16"/>
          <w:szCs w:val="14"/>
        </w:rPr>
        <w:t xml:space="preserve"> </w:t>
      </w:r>
      <w:r w:rsidRPr="009B17B0" w:rsidR="00940B34">
        <w:rPr>
          <w:sz w:val="16"/>
          <w:szCs w:val="14"/>
        </w:rPr>
        <w:t>tutkimu</w:t>
      </w:r>
      <w:r>
        <w:rPr>
          <w:sz w:val="16"/>
          <w:szCs w:val="14"/>
        </w:rPr>
        <w:t>kseen</w:t>
      </w:r>
      <w:r w:rsidRPr="009B17B0" w:rsidR="00940B34">
        <w:rPr>
          <w:sz w:val="16"/>
          <w:szCs w:val="14"/>
        </w:rPr>
        <w:t xml:space="preserve"> ja </w:t>
      </w:r>
      <w:r>
        <w:rPr>
          <w:sz w:val="16"/>
          <w:szCs w:val="14"/>
        </w:rPr>
        <w:t>tuote</w:t>
      </w:r>
      <w:r w:rsidRPr="009B17B0" w:rsidR="00940B34">
        <w:rPr>
          <w:sz w:val="16"/>
          <w:szCs w:val="14"/>
        </w:rPr>
        <w:t>kehity</w:t>
      </w:r>
      <w:r>
        <w:rPr>
          <w:sz w:val="16"/>
          <w:szCs w:val="14"/>
        </w:rPr>
        <w:t>kseen liittyvät kulut</w:t>
      </w:r>
      <w:r w:rsidRPr="009B17B0" w:rsidR="003D1D6A">
        <w:rPr>
          <w:sz w:val="16"/>
          <w:szCs w:val="14"/>
        </w:rPr>
        <w:t xml:space="preserve"> olivat yhteensä </w:t>
      </w:r>
      <w:r w:rsidRPr="009B17B0" w:rsidR="001A6156">
        <w:rPr>
          <w:sz w:val="16"/>
          <w:szCs w:val="14"/>
        </w:rPr>
        <w:t>175</w:t>
      </w:r>
      <w:r w:rsidRPr="009B17B0" w:rsidR="003D1D6A">
        <w:rPr>
          <w:sz w:val="16"/>
          <w:szCs w:val="14"/>
        </w:rPr>
        <w:t xml:space="preserve"> miljoonaa euroa eli </w:t>
      </w:r>
      <w:r w:rsidRPr="009B17B0" w:rsidR="001A6156">
        <w:rPr>
          <w:sz w:val="16"/>
          <w:szCs w:val="14"/>
        </w:rPr>
        <w:t>3,7</w:t>
      </w:r>
      <w:r w:rsidRPr="009B17B0" w:rsidR="003D1D6A">
        <w:rPr>
          <w:sz w:val="16"/>
          <w:szCs w:val="14"/>
        </w:rPr>
        <w:t>% liikevaihdosta. Näistä investoinneista valtaosa tähtä</w:t>
      </w:r>
      <w:r w:rsidRPr="009B17B0" w:rsidR="00940B34">
        <w:rPr>
          <w:sz w:val="16"/>
          <w:szCs w:val="14"/>
        </w:rPr>
        <w:t>si</w:t>
      </w:r>
      <w:r w:rsidRPr="009B17B0" w:rsidR="003D1D6A">
        <w:rPr>
          <w:sz w:val="16"/>
          <w:szCs w:val="14"/>
        </w:rPr>
        <w:t xml:space="preserve"> ympäristösuorituskyvyn parantamiseen. </w:t>
      </w:r>
      <w:r w:rsidRPr="009B17B0">
        <w:rPr>
          <w:sz w:val="16"/>
          <w:szCs w:val="14"/>
        </w:rPr>
        <w:t>Merkittäviä kestävän kehityksen innovaatioihin liittyviä saavutuksia olivat edistysaskeleet moottoriteknologian kehitt</w:t>
      </w:r>
      <w:r w:rsidRPr="009B17B0">
        <w:rPr>
          <w:sz w:val="16"/>
          <w:szCs w:val="14"/>
        </w:rPr>
        <w:t>ämisessä hiilettömien polttoaineiden käyttöä varten.</w:t>
      </w:r>
    </w:p>
    <w:p w:rsidR="00B634D3" w:rsidRPr="009B17B0" w:rsidP="009B17B0">
      <w:pPr>
        <w:pStyle w:val="WNormal"/>
        <w:spacing w:after="160" w:line="257" w:lineRule="auto"/>
        <w:rPr>
          <w:sz w:val="16"/>
          <w:szCs w:val="14"/>
        </w:rPr>
      </w:pPr>
      <w:r w:rsidRPr="009B17B0">
        <w:rPr>
          <w:sz w:val="16"/>
          <w:szCs w:val="14"/>
        </w:rPr>
        <w:t>Merenkulkumarkkinoille Wärtsilä lanseerasi ratkaisuja, jotka tukevat yhtiön päämäärää kehittää kestävää yhteiskuntaa teknologia- ja palveluinnovaatioiden avulla. Markkinoille tuotiin päivitetty versio 20</w:t>
      </w:r>
      <w:r w:rsidRPr="009B17B0">
        <w:rPr>
          <w:sz w:val="16"/>
          <w:szCs w:val="14"/>
        </w:rPr>
        <w:t xml:space="preserve">DF-monipolttoainemoottorista. Uusittu moottori on entistä tehokkaampi ja polttoainetaloudellisempi. Samalla </w:t>
      </w:r>
      <w:r w:rsidRPr="009B17B0">
        <w:rPr>
          <w:sz w:val="16"/>
          <w:szCs w:val="14"/>
        </w:rPr>
        <w:t>palamattoman metaanin osuus laski peräti 40%.</w:t>
      </w:r>
      <w:r w:rsidR="00350728">
        <w:rPr>
          <w:sz w:val="16"/>
          <w:szCs w:val="14"/>
        </w:rPr>
        <w:t xml:space="preserve"> </w:t>
      </w:r>
      <w:r w:rsidRPr="009B17B0">
        <w:rPr>
          <w:sz w:val="16"/>
          <w:szCs w:val="14"/>
        </w:rPr>
        <w:t xml:space="preserve">Energiasektorille Wärtsilä esitteli </w:t>
      </w:r>
      <w:r w:rsidR="00305BEB">
        <w:rPr>
          <w:sz w:val="16"/>
          <w:szCs w:val="14"/>
        </w:rPr>
        <w:t>sähkö</w:t>
      </w:r>
      <w:r w:rsidRPr="009B17B0">
        <w:rPr>
          <w:sz w:val="16"/>
          <w:szCs w:val="14"/>
        </w:rPr>
        <w:t>verkon tasapainotusteknologian osana tuotetarjoomaa, jonka ta</w:t>
      </w:r>
      <w:r w:rsidRPr="009B17B0">
        <w:rPr>
          <w:sz w:val="16"/>
          <w:szCs w:val="14"/>
        </w:rPr>
        <w:t xml:space="preserve">rkoituksena on nopeuttaa energiamurrosta kustannustehokkaasti. Tarjooma koostuu voimalaitoksista sekä energian varastointi- ja hallintajärjestelmistä. </w:t>
      </w:r>
    </w:p>
    <w:p w:rsidR="00B634D3" w:rsidRPr="00B634D3" w:rsidP="009B17B0">
      <w:pPr>
        <w:pStyle w:val="WNormal"/>
        <w:spacing w:after="160" w:line="257" w:lineRule="auto"/>
        <w:rPr>
          <w:sz w:val="16"/>
        </w:rPr>
      </w:pPr>
      <w:r w:rsidRPr="00B634D3">
        <w:rPr>
          <w:sz w:val="16"/>
        </w:rPr>
        <w:t xml:space="preserve">Wärtsilä julkisti sitoumuksensa kunnianhimoisiin Set for 30 </w:t>
      </w:r>
      <w:r>
        <w:rPr>
          <w:sz w:val="16"/>
        </w:rPr>
        <w:br/>
      </w:r>
      <w:r w:rsidR="00305BEB">
        <w:rPr>
          <w:sz w:val="16"/>
        </w:rPr>
        <w:t>-hiilineutraalius</w:t>
      </w:r>
      <w:r w:rsidRPr="00B634D3">
        <w:rPr>
          <w:sz w:val="16"/>
        </w:rPr>
        <w:t>tavoitteisiin. Yhtiön tavo</w:t>
      </w:r>
      <w:r w:rsidRPr="00B634D3">
        <w:rPr>
          <w:sz w:val="16"/>
        </w:rPr>
        <w:t>itteena on, että vuoteen 2030 mennessä:</w:t>
      </w:r>
    </w:p>
    <w:p w:rsidR="00B634D3" w:rsidRPr="00B634D3" w:rsidP="009B17B0">
      <w:pPr>
        <w:pStyle w:val="WNormal"/>
        <w:numPr>
          <w:ilvl w:val="0"/>
          <w:numId w:val="1"/>
        </w:numPr>
        <w:spacing w:after="160" w:line="257" w:lineRule="auto"/>
        <w:rPr>
          <w:sz w:val="16"/>
        </w:rPr>
      </w:pPr>
      <w:r w:rsidRPr="00B634D3">
        <w:rPr>
          <w:sz w:val="16"/>
        </w:rPr>
        <w:t xml:space="preserve">sen oma toiminta on hiilineutraalia </w:t>
      </w:r>
      <w:r w:rsidR="00F61513">
        <w:rPr>
          <w:sz w:val="16"/>
        </w:rPr>
        <w:t>ja</w:t>
      </w:r>
    </w:p>
    <w:p w:rsidR="00B634D3" w:rsidRPr="00A43CD8" w:rsidP="009B17B0">
      <w:pPr>
        <w:pStyle w:val="WNormal"/>
        <w:numPr>
          <w:ilvl w:val="0"/>
          <w:numId w:val="1"/>
        </w:numPr>
        <w:spacing w:after="160" w:line="257" w:lineRule="auto"/>
        <w:rPr>
          <w:sz w:val="16"/>
        </w:rPr>
      </w:pPr>
      <w:r w:rsidRPr="00B634D3">
        <w:rPr>
          <w:sz w:val="16"/>
        </w:rPr>
        <w:t>sen tuotevalikoima on valmis hiilettömiä polttoaineita varten.</w:t>
      </w:r>
    </w:p>
    <w:p w:rsidR="0076044C" w:rsidRPr="00A43CD8" w:rsidP="003E6415">
      <w:pPr>
        <w:pStyle w:val="WHeadingException3"/>
      </w:pPr>
      <w:r w:rsidRPr="00A43CD8">
        <w:t xml:space="preserve">Sosiaalinen vastuu ja työsuhdeasiat </w:t>
      </w:r>
    </w:p>
    <w:p w:rsidR="00AE38CA" w:rsidRPr="009B17B0" w:rsidP="009B17B0">
      <w:pPr>
        <w:pStyle w:val="WNormal"/>
        <w:spacing w:after="160" w:line="257" w:lineRule="auto"/>
        <w:rPr>
          <w:sz w:val="16"/>
          <w:szCs w:val="14"/>
        </w:rPr>
      </w:pPr>
      <w:r w:rsidRPr="009B17B0">
        <w:rPr>
          <w:sz w:val="16"/>
          <w:szCs w:val="14"/>
        </w:rPr>
        <w:t xml:space="preserve">Wärtsilä on vastuullinen työnantaja ja tarjoaa henkilöstölle työpaikan, jossa vallitsevat avoimuus, toisten kunnioitus, luottamus, tasa-arvo </w:t>
      </w:r>
      <w:r w:rsidR="00280319">
        <w:rPr>
          <w:sz w:val="16"/>
          <w:szCs w:val="14"/>
        </w:rPr>
        <w:t>ja</w:t>
      </w:r>
      <w:r w:rsidRPr="009B17B0">
        <w:rPr>
          <w:sz w:val="16"/>
          <w:szCs w:val="14"/>
        </w:rPr>
        <w:t xml:space="preserve"> mahdollisuudet henkilökohtaiseen kehittymiseen. </w:t>
      </w:r>
      <w:r w:rsidRPr="009B17B0" w:rsidR="00F61513">
        <w:rPr>
          <w:sz w:val="16"/>
          <w:szCs w:val="14"/>
        </w:rPr>
        <w:t>Yhtiö</w:t>
      </w:r>
      <w:r w:rsidRPr="009B17B0">
        <w:rPr>
          <w:sz w:val="16"/>
          <w:szCs w:val="14"/>
        </w:rPr>
        <w:t xml:space="preserve"> on allekirjoittanut YK:n Global Compact </w:t>
      </w:r>
      <w:r w:rsidR="00280319">
        <w:rPr>
          <w:sz w:val="16"/>
          <w:szCs w:val="14"/>
        </w:rPr>
        <w:t>-</w:t>
      </w:r>
      <w:r w:rsidRPr="009B17B0">
        <w:rPr>
          <w:sz w:val="16"/>
          <w:szCs w:val="14"/>
        </w:rPr>
        <w:t>aloitteen ja tuke</w:t>
      </w:r>
      <w:r w:rsidRPr="009B17B0">
        <w:rPr>
          <w:sz w:val="16"/>
          <w:szCs w:val="14"/>
        </w:rPr>
        <w:t>e kansainvälisen työjärjestö</w:t>
      </w:r>
      <w:r w:rsidR="00280319">
        <w:rPr>
          <w:sz w:val="16"/>
          <w:szCs w:val="14"/>
        </w:rPr>
        <w:t>n</w:t>
      </w:r>
      <w:r w:rsidRPr="009B17B0">
        <w:rPr>
          <w:sz w:val="16"/>
          <w:szCs w:val="14"/>
        </w:rPr>
        <w:t xml:space="preserve"> ILO:n määrittelemiä työhön liittyviä oikeuksia. Työntekijöiden tasavertaisia mahdollisuuksia ja oikeudenmukaisia työsuhdekäytäntöjä koskeva konsernipolitiikka ohjaa yhtenäisesti kaikkien Wärtsilä-yhtiöiden käytäntöjä. Henkilös</w:t>
      </w:r>
      <w:r w:rsidRPr="009B17B0">
        <w:rPr>
          <w:sz w:val="16"/>
          <w:szCs w:val="14"/>
        </w:rPr>
        <w:t>töjohtamisen prosesseja, työkaluja ja yhteisiä toimintatapoja kehitetään johdonmukaisuuden varmistamiseksi maa- ja organisaatiorajoista riippumatta. Wärtsilän kaikki yksiköt noudattavat globaalia tehtävien vaativuusluokittelua ja yhtenäisiä palkitsemisperi</w:t>
      </w:r>
      <w:r w:rsidRPr="009B17B0">
        <w:rPr>
          <w:sz w:val="16"/>
          <w:szCs w:val="14"/>
        </w:rPr>
        <w:t xml:space="preserve">aatteita, joilla varmistetaan läpinäkyvyys ja kaikkien työntekijöiden oikeudenmukainen kohtelu. </w:t>
      </w:r>
    </w:p>
    <w:p w:rsidR="00AE38CA" w:rsidRPr="009B17B0" w:rsidP="009B17B0">
      <w:pPr>
        <w:pStyle w:val="WNormal"/>
        <w:spacing w:after="160" w:line="257" w:lineRule="auto"/>
        <w:rPr>
          <w:sz w:val="16"/>
          <w:szCs w:val="14"/>
        </w:rPr>
      </w:pPr>
      <w:r w:rsidRPr="009B17B0">
        <w:rPr>
          <w:sz w:val="16"/>
          <w:szCs w:val="14"/>
        </w:rPr>
        <w:t>Wärtsilän henkilöstöstrategian tavoitteena on varmistaa, että liiketoiminnoilla on käytettävissään tarvitsemansa osaavat ja motivoituneet työntekijät. Osaamise</w:t>
      </w:r>
      <w:r w:rsidRPr="009B17B0">
        <w:rPr>
          <w:sz w:val="16"/>
          <w:szCs w:val="14"/>
        </w:rPr>
        <w:t xml:space="preserve">n kehittämiseksi henkilöstölle tarjotaan laajasti erilaisia sisäisiä koulutuksia, joiden aiheita ovat mm. konetekniikka, työturvallisuus ja </w:t>
      </w:r>
      <w:r w:rsidR="00280319">
        <w:rPr>
          <w:sz w:val="16"/>
          <w:szCs w:val="14"/>
        </w:rPr>
        <w:t>-</w:t>
      </w:r>
      <w:r w:rsidRPr="009B17B0">
        <w:rPr>
          <w:sz w:val="16"/>
          <w:szCs w:val="14"/>
        </w:rPr>
        <w:t>terveys, kielet ja kulttuuri, projektijohtaminen, ympäristö ja johtaminen. Wärtsilän henkilöstölle kertyi keskimäär</w:t>
      </w:r>
      <w:r w:rsidRPr="009B17B0">
        <w:rPr>
          <w:sz w:val="16"/>
          <w:szCs w:val="14"/>
        </w:rPr>
        <w:t xml:space="preserve">in 1,1 koulutuspäivää vuonna 2021. </w:t>
      </w:r>
    </w:p>
    <w:p w:rsidR="00B81D1D" w:rsidRPr="009B17B0" w:rsidP="009B17B0">
      <w:pPr>
        <w:pStyle w:val="WNormal"/>
        <w:spacing w:after="160" w:line="257" w:lineRule="auto"/>
        <w:rPr>
          <w:sz w:val="16"/>
          <w:szCs w:val="14"/>
        </w:rPr>
      </w:pPr>
      <w:r w:rsidRPr="009B17B0">
        <w:rPr>
          <w:sz w:val="16"/>
          <w:szCs w:val="14"/>
        </w:rPr>
        <w:t xml:space="preserve">Wärtsilä pyrkii tarjoamaan työntekijöilleen ja sopimuskumppaneilleen turvallisen työskentely-ympäristön sekä minimoimaan tuotteidensa ja palvelujensa käyttöön liittyvät terveys- ja turvallisuusriskit. Yhtiön työterveys- </w:t>
      </w:r>
      <w:r w:rsidRPr="009B17B0">
        <w:rPr>
          <w:sz w:val="16"/>
          <w:szCs w:val="14"/>
        </w:rPr>
        <w:t xml:space="preserve">ja </w:t>
      </w:r>
      <w:r w:rsidRPr="009B17B0">
        <w:rPr>
          <w:sz w:val="16"/>
          <w:szCs w:val="14"/>
        </w:rPr>
        <w:t>turvallisuusperiaatteet määritellään yhtiön toimintaperiaatteissa, laatu-, ympäristö-, työterveys- ja työturvallisuuspolitiikassa (QEHS) sekä ympäristö-, työterveys- ja työturvallisuusdirektiivissä (EHS). Kaikilta Wärtsilän yksiköiltä vaaditaan QEHS-pol</w:t>
      </w:r>
      <w:r w:rsidRPr="009B17B0">
        <w:rPr>
          <w:sz w:val="16"/>
          <w:szCs w:val="14"/>
        </w:rPr>
        <w:t>itiikan sekä EHS-direktiivin mukainen johtamisjärjestelmä. Johtamisjärjestelmän lisäksi Wärtsilä-yhtiöissä on käytössä paikallisen lainsäädännön edellyttämiä työsuojeluohjelmia. Wärtsilän pitkän aikavälin tavoitteena on nolla tapaturmaa. Vuonna 2021 konser</w:t>
      </w:r>
      <w:r w:rsidRPr="009B17B0">
        <w:rPr>
          <w:sz w:val="16"/>
          <w:szCs w:val="14"/>
        </w:rPr>
        <w:t>nin poissaoloon johtavien tapaturmien taajuusindeksi oli 1,55 (2,03)</w:t>
      </w:r>
      <w:r w:rsidRPr="009B17B0" w:rsidR="003D1D6A">
        <w:rPr>
          <w:sz w:val="16"/>
          <w:szCs w:val="14"/>
        </w:rPr>
        <w:t>.</w:t>
      </w:r>
    </w:p>
    <w:p w:rsidR="00B81D1D" w:rsidRPr="00A43CD8" w:rsidP="003E6415">
      <w:pPr>
        <w:pStyle w:val="WHeadingException3"/>
      </w:pPr>
      <w:r w:rsidRPr="00A43CD8">
        <w:t xml:space="preserve">Ihmisoikeuksien kunnioittaminen </w:t>
      </w:r>
    </w:p>
    <w:p w:rsidR="00A24353" w:rsidRPr="009B17B0" w:rsidP="009B17B0">
      <w:pPr>
        <w:pStyle w:val="WNormal"/>
        <w:spacing w:after="160" w:line="257" w:lineRule="auto"/>
        <w:rPr>
          <w:sz w:val="16"/>
          <w:szCs w:val="14"/>
        </w:rPr>
      </w:pPr>
      <w:r w:rsidRPr="009B17B0">
        <w:rPr>
          <w:sz w:val="16"/>
          <w:szCs w:val="14"/>
        </w:rPr>
        <w:t>Wärtsilä tukee ja kunnioittaa YK:n yleismaailmalliseen ihmisoikeuksien julistukseen kirjattuja ihmisoikeuksia. Wärtsilä on myös allekirjoittanut YK:n Glo</w:t>
      </w:r>
      <w:r w:rsidRPr="009B17B0">
        <w:rPr>
          <w:sz w:val="16"/>
          <w:szCs w:val="14"/>
        </w:rPr>
        <w:t xml:space="preserve">bal Compact </w:t>
      </w:r>
      <w:r w:rsidR="002E2975">
        <w:rPr>
          <w:sz w:val="16"/>
          <w:szCs w:val="14"/>
        </w:rPr>
        <w:t>-</w:t>
      </w:r>
      <w:r w:rsidRPr="009B17B0">
        <w:rPr>
          <w:sz w:val="16"/>
          <w:szCs w:val="14"/>
        </w:rPr>
        <w:t>aloitteen ja on siten sitoutunut sen ihmisoikeuksia, työvoimaa, ympäristöä ja korruption torjuntaa koskeviin periaatteisiin. Työntekijät eivät saa rikkoa näitä oikeuksia millään tavoin, eivät suoraan eivätkä välillisesti. Wärtsilä ei hyväksy m</w:t>
      </w:r>
      <w:r w:rsidRPr="009B17B0">
        <w:rPr>
          <w:sz w:val="16"/>
          <w:szCs w:val="14"/>
        </w:rPr>
        <w:t>inkäänlaista pakkotyötä tai lapsityövoiman käyttöä. Ihmis- ja työelämän oikeudet ovat osa toimintaperiaatekoulutusta, ja ne on sisällytetty Wärtsilän tasavertaisia mahdollisuuksia ja oikeudenmukaisia työsuhdekäytäntöjä koskevaan politiikkaan sekä yhtiön to</w:t>
      </w:r>
      <w:r w:rsidRPr="009B17B0">
        <w:rPr>
          <w:sz w:val="16"/>
          <w:szCs w:val="14"/>
        </w:rPr>
        <w:t>imittajakäsikirjaan</w:t>
      </w:r>
      <w:r w:rsidRPr="009B17B0" w:rsidR="003D1D6A">
        <w:rPr>
          <w:sz w:val="16"/>
          <w:szCs w:val="14"/>
        </w:rPr>
        <w:t xml:space="preserve">. </w:t>
      </w:r>
    </w:p>
    <w:p w:rsidR="00A24353" w:rsidRPr="00A43CD8" w:rsidP="003E6415">
      <w:pPr>
        <w:pStyle w:val="WHeadingException3"/>
      </w:pPr>
      <w:r w:rsidRPr="00A43CD8">
        <w:t xml:space="preserve">Korruption ja lahjonnan vastaiset menettelyt </w:t>
      </w:r>
    </w:p>
    <w:p w:rsidR="00AE38CA" w:rsidRPr="009B17B0" w:rsidP="009B17B0">
      <w:pPr>
        <w:pStyle w:val="WNormal"/>
        <w:spacing w:after="160" w:line="257" w:lineRule="auto"/>
        <w:rPr>
          <w:sz w:val="16"/>
          <w:szCs w:val="14"/>
        </w:rPr>
      </w:pPr>
      <w:r w:rsidRPr="009B17B0">
        <w:rPr>
          <w:sz w:val="16"/>
          <w:szCs w:val="14"/>
        </w:rPr>
        <w:t>Wärtsilän toimintaperiaatteet, korruption vastainen politiikka ja itsenäisiä välittäjiä koskeva ohjeistus (Broker Directive) nimenomaisesti kieltävät yhtiötä ja sen työntekijöitä ottamasta</w:t>
      </w:r>
      <w:r w:rsidRPr="009B17B0">
        <w:rPr>
          <w:sz w:val="16"/>
          <w:szCs w:val="14"/>
        </w:rPr>
        <w:t xml:space="preserve"> tai tarjoamasta minkäänlaista lahjuksena pidettävää etua sekä ryhtymästä minkäänlaisiin toimiin, jotka voisivat johtaa eturistiriitaan tai lojaaliusrikkomukseen. Näissä ohjeissa velvoitetaan noudattamaan paikallisia korruption vastaisia lakeja kaikissa ma</w:t>
      </w:r>
      <w:r w:rsidRPr="009B17B0">
        <w:rPr>
          <w:sz w:val="16"/>
          <w:szCs w:val="14"/>
        </w:rPr>
        <w:t xml:space="preserve">issa, joissa Wärtsilä toimii tai aikoo toimia, ja kehotetaan raportoimaan mahdollisista rikkomuksista. </w:t>
      </w:r>
    </w:p>
    <w:p w:rsidR="00F21934" w:rsidRPr="009B17B0" w:rsidP="009B17B0">
      <w:pPr>
        <w:pStyle w:val="WNormal"/>
        <w:spacing w:after="160" w:line="257" w:lineRule="auto"/>
        <w:rPr>
          <w:sz w:val="16"/>
          <w:szCs w:val="14"/>
        </w:rPr>
      </w:pPr>
      <w:r w:rsidRPr="009B17B0">
        <w:rPr>
          <w:sz w:val="16"/>
          <w:szCs w:val="14"/>
        </w:rPr>
        <w:t>Wärtsilä tiedostaa riskin joutua ulkopuolisten toimijoiden vilpin kohteeksi ja että korruption ja vilpin riski on korostunut monilla yhtiön toiminta-alu</w:t>
      </w:r>
      <w:r w:rsidRPr="009B17B0">
        <w:rPr>
          <w:sz w:val="16"/>
          <w:szCs w:val="14"/>
        </w:rPr>
        <w:t>eilla. Siksi kaikilta työntekijöiltä edellytetään tiukkojen korruption vastaisten menettelytapojen ehdotonta noudattamista. Henkilöstölle järjestetään laajalti koulutusta lahjonnan vastaisista periaatteista ja lainsäädännöstä sekä yhtiön niitä koskevista p</w:t>
      </w:r>
      <w:r w:rsidRPr="009B17B0">
        <w:rPr>
          <w:sz w:val="16"/>
          <w:szCs w:val="14"/>
        </w:rPr>
        <w:t xml:space="preserve">olitiikoista ja toimintatavoista. Vuoden 2021 loppuun mennessä 88% Wärtsilän työntekijöistä oli osallistunut lahjonnan torjuntaa koskevaan koulutukseen. Henkilöstöä </w:t>
      </w:r>
      <w:r w:rsidRPr="009B17B0">
        <w:rPr>
          <w:sz w:val="16"/>
          <w:szCs w:val="14"/>
        </w:rPr>
        <w:t>kannustetaan antamaan palautetta ja kertomaan havaitsemastaan kyseenalaisesta toiminnasta l</w:t>
      </w:r>
      <w:r w:rsidRPr="009B17B0">
        <w:rPr>
          <w:sz w:val="16"/>
          <w:szCs w:val="14"/>
        </w:rPr>
        <w:t>injajohdolle tai suoraan Compliance-toiminnolle, lakiasiainosastolle tai sisäiselle tarkastukselle. Wärtsilällä on myös työkalu, jonka kautta työntekijät voivat ilmoittaa rikkomuksista</w:t>
      </w:r>
      <w:r w:rsidRPr="009B17B0" w:rsidR="003D1D6A">
        <w:rPr>
          <w:sz w:val="16"/>
          <w:szCs w:val="14"/>
        </w:rPr>
        <w:t>.</w:t>
      </w:r>
    </w:p>
    <w:p w:rsidR="00AE38CA" w:rsidP="00AE38CA">
      <w:pPr>
        <w:pStyle w:val="WHeadingException3"/>
      </w:pPr>
      <w:r>
        <w:t>EU:n kestävän rahoituksen taksonomian mukainen raportointi</w:t>
      </w:r>
    </w:p>
    <w:p w:rsidR="00AE38CA" w:rsidRPr="009B17B0" w:rsidP="009B17B0">
      <w:pPr>
        <w:pStyle w:val="WNormal"/>
        <w:spacing w:after="160" w:line="257" w:lineRule="auto"/>
        <w:rPr>
          <w:sz w:val="16"/>
          <w:szCs w:val="14"/>
        </w:rPr>
      </w:pPr>
      <w:r w:rsidRPr="009B17B0">
        <w:rPr>
          <w:sz w:val="16"/>
          <w:szCs w:val="14"/>
        </w:rPr>
        <w:t xml:space="preserve">Wärtsilä </w:t>
      </w:r>
      <w:r w:rsidRPr="009B17B0" w:rsidR="00F61513">
        <w:rPr>
          <w:sz w:val="16"/>
          <w:szCs w:val="14"/>
        </w:rPr>
        <w:t>pyrkii</w:t>
      </w:r>
      <w:r w:rsidRPr="009B17B0">
        <w:rPr>
          <w:sz w:val="16"/>
          <w:szCs w:val="14"/>
        </w:rPr>
        <w:t xml:space="preserve"> tuke</w:t>
      </w:r>
      <w:r w:rsidRPr="009B17B0" w:rsidR="00F61513">
        <w:rPr>
          <w:sz w:val="16"/>
          <w:szCs w:val="14"/>
        </w:rPr>
        <w:t>maan</w:t>
      </w:r>
      <w:r w:rsidRPr="009B17B0">
        <w:rPr>
          <w:sz w:val="16"/>
          <w:szCs w:val="14"/>
        </w:rPr>
        <w:t xml:space="preserve"> merenkulku- ja energia-alan hiilineutraaliustavoitteita. </w:t>
      </w:r>
      <w:r w:rsidRPr="009B17B0" w:rsidR="00F61513">
        <w:rPr>
          <w:sz w:val="16"/>
          <w:szCs w:val="14"/>
        </w:rPr>
        <w:t>H</w:t>
      </w:r>
      <w:r w:rsidRPr="009B17B0">
        <w:rPr>
          <w:sz w:val="16"/>
          <w:szCs w:val="14"/>
        </w:rPr>
        <w:t>iilineutraalius on</w:t>
      </w:r>
      <w:r w:rsidRPr="009B17B0" w:rsidR="00F61513">
        <w:rPr>
          <w:sz w:val="16"/>
          <w:szCs w:val="14"/>
        </w:rPr>
        <w:t>kin</w:t>
      </w:r>
      <w:r w:rsidRPr="009B17B0">
        <w:rPr>
          <w:sz w:val="16"/>
          <w:szCs w:val="14"/>
        </w:rPr>
        <w:t xml:space="preserve"> </w:t>
      </w:r>
      <w:r w:rsidRPr="009B17B0" w:rsidR="00F61513">
        <w:rPr>
          <w:sz w:val="16"/>
          <w:szCs w:val="14"/>
        </w:rPr>
        <w:t>yhtiön</w:t>
      </w:r>
      <w:r w:rsidRPr="009B17B0">
        <w:rPr>
          <w:sz w:val="16"/>
          <w:szCs w:val="14"/>
        </w:rPr>
        <w:t xml:space="preserve"> strategian ytimessä. Wärtsilän vahva asema, osaaminen ja kyvykkyydet edistävät olennaisesti </w:t>
      </w:r>
      <w:r w:rsidRPr="009B17B0" w:rsidR="00F61513">
        <w:rPr>
          <w:sz w:val="16"/>
          <w:szCs w:val="14"/>
        </w:rPr>
        <w:t>näiden tavoitteiden saavuttamista</w:t>
      </w:r>
      <w:r w:rsidRPr="009B17B0">
        <w:rPr>
          <w:sz w:val="16"/>
          <w:szCs w:val="14"/>
        </w:rPr>
        <w:t xml:space="preserve"> ja auttavat asiakk</w:t>
      </w:r>
      <w:r w:rsidRPr="009B17B0">
        <w:rPr>
          <w:sz w:val="16"/>
          <w:szCs w:val="14"/>
        </w:rPr>
        <w:t xml:space="preserve">aita muuttamaan toimintansa hiilineutraaliksi. </w:t>
      </w:r>
    </w:p>
    <w:p w:rsidR="00AE38CA" w:rsidRPr="009B17B0" w:rsidP="009B17B0">
      <w:pPr>
        <w:pStyle w:val="WNormal"/>
        <w:spacing w:after="160" w:line="257" w:lineRule="auto"/>
        <w:rPr>
          <w:sz w:val="16"/>
          <w:szCs w:val="14"/>
        </w:rPr>
      </w:pPr>
      <w:r w:rsidRPr="009B17B0">
        <w:rPr>
          <w:sz w:val="16"/>
          <w:szCs w:val="14"/>
        </w:rPr>
        <w:t xml:space="preserve">Wärtsilällä on keskeinen rooli alusten ja koko merenkulun arvoketjun hiilineutraaliuskehityksessä. </w:t>
      </w:r>
      <w:r w:rsidRPr="009B17B0" w:rsidR="00F61513">
        <w:rPr>
          <w:sz w:val="16"/>
          <w:szCs w:val="14"/>
        </w:rPr>
        <w:t>Yhtiön</w:t>
      </w:r>
      <w:r w:rsidRPr="009B17B0">
        <w:rPr>
          <w:sz w:val="16"/>
          <w:szCs w:val="14"/>
        </w:rPr>
        <w:t xml:space="preserve"> laaja tuote- ja ratkaisuvalikoima, muun muassa moottorit, propulsiojärjestelmät, hybridiratkaisut, int</w:t>
      </w:r>
      <w:r w:rsidRPr="009B17B0">
        <w:rPr>
          <w:sz w:val="16"/>
          <w:szCs w:val="14"/>
        </w:rPr>
        <w:t xml:space="preserve">egroidut voimansiirtojärjestelmät, päästöjä vähentävät ratkaisut ja </w:t>
      </w:r>
      <w:r w:rsidR="00DA1BE7">
        <w:rPr>
          <w:sz w:val="16"/>
          <w:szCs w:val="14"/>
        </w:rPr>
        <w:t>laivaliikenteen</w:t>
      </w:r>
      <w:r w:rsidRPr="009B17B0">
        <w:rPr>
          <w:sz w:val="16"/>
          <w:szCs w:val="14"/>
        </w:rPr>
        <w:t xml:space="preserve"> optimointiratkaisut, tukevat keskeisesti siirtymää kohti päästötöntä merenkulkua. </w:t>
      </w:r>
    </w:p>
    <w:p w:rsidR="00AE38CA" w:rsidRPr="009B17B0" w:rsidP="009B17B0">
      <w:pPr>
        <w:pStyle w:val="WNormal"/>
        <w:spacing w:after="160" w:line="257" w:lineRule="auto"/>
        <w:rPr>
          <w:sz w:val="16"/>
          <w:szCs w:val="14"/>
        </w:rPr>
      </w:pPr>
      <w:r w:rsidRPr="009B17B0">
        <w:rPr>
          <w:sz w:val="16"/>
          <w:szCs w:val="14"/>
        </w:rPr>
        <w:t xml:space="preserve">Energia- ja merenkulkualat nojautuvat edelleen pitkälti fossiilisiin polttoaineisiin. Wärtsilän nykyisen valikoiman avulla yhtiön asiakkaat voivat jo nyt vaihtaa hiilineutraaleihin polttoaineisiin, kuten biopolttoaineisiin tai synteettiseen metaaniin. </w:t>
      </w:r>
      <w:r w:rsidRPr="009B17B0" w:rsidR="00F61513">
        <w:rPr>
          <w:sz w:val="16"/>
          <w:szCs w:val="14"/>
        </w:rPr>
        <w:t>Vaikka s</w:t>
      </w:r>
      <w:r w:rsidRPr="009B17B0">
        <w:rPr>
          <w:sz w:val="16"/>
          <w:szCs w:val="14"/>
        </w:rPr>
        <w:t>iirtym</w:t>
      </w:r>
      <w:r w:rsidRPr="009B17B0" w:rsidR="00F61513">
        <w:rPr>
          <w:sz w:val="16"/>
          <w:szCs w:val="14"/>
        </w:rPr>
        <w:t>ä</w:t>
      </w:r>
      <w:r w:rsidRPr="009B17B0">
        <w:rPr>
          <w:sz w:val="16"/>
          <w:szCs w:val="14"/>
        </w:rPr>
        <w:t xml:space="preserve"> fossiilisista polttoaineista hiilineutraaleihin tai hiilettömiin polttoaineisiin tapahtuu vaiheittain</w:t>
      </w:r>
      <w:r w:rsidRPr="009B17B0" w:rsidR="00F61513">
        <w:rPr>
          <w:sz w:val="16"/>
          <w:szCs w:val="14"/>
        </w:rPr>
        <w:t>,</w:t>
      </w:r>
      <w:r w:rsidRPr="009B17B0">
        <w:rPr>
          <w:sz w:val="16"/>
          <w:szCs w:val="14"/>
        </w:rPr>
        <w:t xml:space="preserve"> Wärtsilä</w:t>
      </w:r>
      <w:r w:rsidRPr="009B17B0" w:rsidR="00F61513">
        <w:rPr>
          <w:sz w:val="16"/>
          <w:szCs w:val="14"/>
        </w:rPr>
        <w:t>llä on jo valmiudet</w:t>
      </w:r>
      <w:r w:rsidRPr="009B17B0">
        <w:rPr>
          <w:sz w:val="16"/>
          <w:szCs w:val="14"/>
        </w:rPr>
        <w:t xml:space="preserve"> </w:t>
      </w:r>
      <w:r w:rsidRPr="009B17B0" w:rsidR="00F97446">
        <w:rPr>
          <w:sz w:val="16"/>
          <w:szCs w:val="14"/>
        </w:rPr>
        <w:t>edistää sitä</w:t>
      </w:r>
      <w:r w:rsidRPr="009B17B0">
        <w:rPr>
          <w:sz w:val="16"/>
          <w:szCs w:val="14"/>
        </w:rPr>
        <w:t xml:space="preserve"> tarjoamalla teknologioita, joiden avulla sen asiakkaat voivat käyttää kestävämpiä polttoaineita niid</w:t>
      </w:r>
      <w:r w:rsidRPr="009B17B0">
        <w:rPr>
          <w:sz w:val="16"/>
          <w:szCs w:val="14"/>
        </w:rPr>
        <w:t>en tullessa saataville.</w:t>
      </w:r>
    </w:p>
    <w:p w:rsidR="00AE38CA" w:rsidRPr="009B17B0" w:rsidP="009B17B0">
      <w:pPr>
        <w:pStyle w:val="WNormal"/>
        <w:spacing w:after="160" w:line="257" w:lineRule="auto"/>
        <w:rPr>
          <w:sz w:val="16"/>
          <w:szCs w:val="14"/>
        </w:rPr>
      </w:pPr>
      <w:r w:rsidRPr="009B17B0">
        <w:rPr>
          <w:sz w:val="16"/>
          <w:szCs w:val="14"/>
        </w:rPr>
        <w:t>Energia-alalla Wärtsilän teknologiat mahdollistavat uusiutuvan energiantuotannon maksimaalisen ja optimaalisen hyödyntämisen. Joustavat moottorivoimalat yhdessä energian</w:t>
      </w:r>
      <w:r w:rsidR="00DA1BE7">
        <w:rPr>
          <w:sz w:val="16"/>
          <w:szCs w:val="14"/>
        </w:rPr>
        <w:t xml:space="preserve"> </w:t>
      </w:r>
      <w:r w:rsidRPr="009B17B0">
        <w:rPr>
          <w:sz w:val="16"/>
          <w:szCs w:val="14"/>
        </w:rPr>
        <w:t>varastointiratkaisujen kanssa parantavat energiajärjestelmän t</w:t>
      </w:r>
      <w:r w:rsidRPr="009B17B0">
        <w:rPr>
          <w:sz w:val="16"/>
          <w:szCs w:val="14"/>
        </w:rPr>
        <w:t xml:space="preserve">ehokkuutta ja huoltovarmuutta </w:t>
      </w:r>
      <w:r w:rsidR="00DA1BE7">
        <w:rPr>
          <w:sz w:val="16"/>
          <w:szCs w:val="14"/>
        </w:rPr>
        <w:t>sekä</w:t>
      </w:r>
      <w:r w:rsidRPr="009B17B0">
        <w:rPr>
          <w:sz w:val="16"/>
          <w:szCs w:val="14"/>
        </w:rPr>
        <w:t xml:space="preserve"> pienentävät kasvihuonekaasupäästöjä.</w:t>
      </w:r>
    </w:p>
    <w:p w:rsidR="00AE38CA" w:rsidRPr="009B17B0" w:rsidP="009B17B0">
      <w:pPr>
        <w:pStyle w:val="WNormal"/>
        <w:spacing w:after="160" w:line="257" w:lineRule="auto"/>
        <w:rPr>
          <w:sz w:val="16"/>
          <w:szCs w:val="14"/>
        </w:rPr>
      </w:pPr>
      <w:r w:rsidRPr="009B17B0">
        <w:rPr>
          <w:sz w:val="16"/>
          <w:szCs w:val="14"/>
        </w:rPr>
        <w:t xml:space="preserve">Vuonna 2021 Wärtsilä </w:t>
      </w:r>
      <w:r w:rsidR="00DA1BE7">
        <w:rPr>
          <w:sz w:val="16"/>
          <w:szCs w:val="14"/>
        </w:rPr>
        <w:t>ilmoitti</w:t>
      </w:r>
      <w:r w:rsidRPr="009B17B0">
        <w:rPr>
          <w:sz w:val="16"/>
          <w:szCs w:val="14"/>
        </w:rPr>
        <w:t>, että yhtiön tavoitteena on pystyä tarjoamaan hiilettömille polttoaineille valmis tuotevalikoima. Yhtiö haluaa tukea asiakkaitaan ja koko merenkulku- ja e</w:t>
      </w:r>
      <w:r w:rsidRPr="009B17B0">
        <w:rPr>
          <w:sz w:val="16"/>
          <w:szCs w:val="14"/>
        </w:rPr>
        <w:t>nergiasektoreita niiden matkalla kohti hiilineutraaliutta. Wärtsilän tuotteet ja ratkaisut vastaavat tiukimpi</w:t>
      </w:r>
      <w:r w:rsidR="00DA1BE7">
        <w:rPr>
          <w:sz w:val="16"/>
          <w:szCs w:val="14"/>
        </w:rPr>
        <w:t>inkin</w:t>
      </w:r>
      <w:r w:rsidRPr="009B17B0">
        <w:rPr>
          <w:sz w:val="16"/>
          <w:szCs w:val="14"/>
        </w:rPr>
        <w:t xml:space="preserve"> ympäristövaatimuksi</w:t>
      </w:r>
      <w:r w:rsidR="00DA1BE7">
        <w:rPr>
          <w:sz w:val="16"/>
          <w:szCs w:val="14"/>
        </w:rPr>
        <w:t>in</w:t>
      </w:r>
      <w:r w:rsidRPr="009B17B0">
        <w:rPr>
          <w:sz w:val="16"/>
          <w:szCs w:val="14"/>
        </w:rPr>
        <w:t>, ja näillä sektoreilla käytettävien moottoreiden polttoainejoustavuus on tärkeä muutoksen mahdollistaja.</w:t>
      </w:r>
    </w:p>
    <w:p w:rsidR="00AE38CA" w:rsidRPr="009B17B0" w:rsidP="009B17B0">
      <w:pPr>
        <w:pStyle w:val="WNormal"/>
        <w:spacing w:after="160" w:line="257" w:lineRule="auto"/>
        <w:rPr>
          <w:sz w:val="16"/>
          <w:szCs w:val="14"/>
        </w:rPr>
      </w:pPr>
      <w:r w:rsidRPr="009B17B0">
        <w:rPr>
          <w:sz w:val="16"/>
          <w:szCs w:val="14"/>
        </w:rPr>
        <w:t>Heinäkuussa 20</w:t>
      </w:r>
      <w:r w:rsidRPr="009B17B0">
        <w:rPr>
          <w:sz w:val="16"/>
          <w:szCs w:val="14"/>
        </w:rPr>
        <w:t>21 Wärtsilä käynnisti laajan testiohjelman kohti vedyllä ja ammoniakilla toimivia hiilettömiä ratkaisuja. Wärtsilän polttoaineesta riippumattoman lähestymistavan ansiosta yhtiö pystyy tukemaan energia- ja merenkulkusektoreita kestävien ja tehokkaiden poltt</w:t>
      </w:r>
      <w:r w:rsidRPr="009B17B0">
        <w:rPr>
          <w:sz w:val="16"/>
          <w:szCs w:val="14"/>
        </w:rPr>
        <w:t>oainestrategioiden käyttöönotossa useissa kustannuksiltaan optimoiduissa vaiheissa.</w:t>
      </w:r>
      <w:r w:rsidRPr="009B17B0" w:rsidR="00F97446">
        <w:rPr>
          <w:sz w:val="16"/>
          <w:szCs w:val="14"/>
        </w:rPr>
        <w:t xml:space="preserve"> Yhtiö</w:t>
      </w:r>
      <w:r w:rsidRPr="009B17B0">
        <w:rPr>
          <w:sz w:val="16"/>
          <w:szCs w:val="14"/>
        </w:rPr>
        <w:t xml:space="preserve"> on investoinut jatkuvasti ja järjestelmällisesti tutkimus- ja kehitystyöhön ja panostanut pitkäjänteisesti tuotekehitykseen, jossa keskitytään polttoainejoustavuuteen</w:t>
      </w:r>
      <w:r w:rsidRPr="009B17B0">
        <w:rPr>
          <w:sz w:val="16"/>
          <w:szCs w:val="14"/>
        </w:rPr>
        <w:t>, energiatehokkuuteen ja päästöjen vähentämiseen. Wärtsilän moottoreissa voi jo nyt käyttää biopolttoaineita, metanolia ja vetyseoksia. Wärtsilä odottaa saavansa puhtaalla vetypolttoaineella toimivan moottori- ja laitoskonseptin energiamarkkinoille vuoteen</w:t>
      </w:r>
      <w:r w:rsidRPr="009B17B0">
        <w:rPr>
          <w:sz w:val="16"/>
          <w:szCs w:val="14"/>
        </w:rPr>
        <w:t xml:space="preserve"> 2025 mennessä.</w:t>
      </w:r>
      <w:r w:rsidRPr="009B17B0" w:rsidR="00F97446">
        <w:rPr>
          <w:sz w:val="16"/>
          <w:szCs w:val="14"/>
        </w:rPr>
        <w:t xml:space="preserve"> Wärtsilä on jo onnistuneesti testannut laivamoottoria, joka käyttää 70% ammoniakkia sisältävää polttoainesekoitusta. Y</w:t>
      </w:r>
      <w:r w:rsidRPr="009B17B0">
        <w:rPr>
          <w:sz w:val="16"/>
          <w:szCs w:val="14"/>
        </w:rPr>
        <w:t>htiö odottaa saavansa puhtaalla ammoniak</w:t>
      </w:r>
      <w:r w:rsidR="00973BFE">
        <w:rPr>
          <w:sz w:val="16"/>
          <w:szCs w:val="14"/>
        </w:rPr>
        <w:t>i</w:t>
      </w:r>
      <w:r w:rsidRPr="009B17B0">
        <w:rPr>
          <w:sz w:val="16"/>
          <w:szCs w:val="14"/>
        </w:rPr>
        <w:t xml:space="preserve">lla toimivan moottorikonseptin </w:t>
      </w:r>
      <w:r w:rsidRPr="009B17B0" w:rsidR="00F97446">
        <w:rPr>
          <w:sz w:val="16"/>
          <w:szCs w:val="14"/>
        </w:rPr>
        <w:t>merenkulkumarkkinoille</w:t>
      </w:r>
      <w:r w:rsidRPr="009B17B0">
        <w:rPr>
          <w:sz w:val="16"/>
          <w:szCs w:val="14"/>
        </w:rPr>
        <w:t xml:space="preserve"> vuonna 2023.  </w:t>
      </w:r>
    </w:p>
    <w:p w:rsidR="00AE38CA" w:rsidRPr="009B17B0" w:rsidP="009B17B0">
      <w:pPr>
        <w:pStyle w:val="WNormal"/>
        <w:spacing w:after="160" w:line="257" w:lineRule="auto"/>
        <w:rPr>
          <w:sz w:val="16"/>
          <w:szCs w:val="14"/>
        </w:rPr>
      </w:pPr>
      <w:r w:rsidRPr="009B17B0">
        <w:rPr>
          <w:sz w:val="16"/>
          <w:szCs w:val="14"/>
        </w:rPr>
        <w:t xml:space="preserve">Wärtsilä on </w:t>
      </w:r>
      <w:r>
        <w:rPr>
          <w:sz w:val="16"/>
          <w:szCs w:val="14"/>
        </w:rPr>
        <w:t>tehnyt</w:t>
      </w:r>
      <w:r w:rsidRPr="009B17B0">
        <w:rPr>
          <w:sz w:val="16"/>
          <w:szCs w:val="14"/>
        </w:rPr>
        <w:t xml:space="preserve"> ensimmäisen alustavan arvioinnin taloudellisista toiminnoistaan EU:n kestävän rahoituksen taksonomian ensimmäisen ilmastoa koskevan delegoidun säädöksen perusteella, kuten 8. artiklaa koskevassa delegoidussa säädöksessä vaaditaan. Alustavan arvion p</w:t>
      </w:r>
      <w:r w:rsidRPr="009B17B0">
        <w:rPr>
          <w:sz w:val="16"/>
          <w:szCs w:val="14"/>
        </w:rPr>
        <w:t>erusteella Wärtsilän taksonomiaa koskevat keskeiset tulosindikaattorit (KPI) vuodelle 2021 ovat:</w:t>
      </w:r>
    </w:p>
    <w:tbl>
      <w:tblPr>
        <w:tblStyle w:val="TableNormal"/>
        <w:tblW w:w="4781" w:type="dxa"/>
        <w:tblLook w:val="04A0"/>
      </w:tblPr>
      <w:tblGrid>
        <w:gridCol w:w="1276"/>
        <w:gridCol w:w="999"/>
        <w:gridCol w:w="1199"/>
        <w:gridCol w:w="1307"/>
      </w:tblGrid>
      <w:tr w:rsidTr="003D1D6A">
        <w:tblPrEx>
          <w:tblW w:w="4781" w:type="dxa"/>
          <w:tblLook w:val="04A0"/>
        </w:tblPrEx>
        <w:trPr>
          <w:trHeight w:val="510"/>
        </w:trPr>
        <w:tc>
          <w:tcPr>
            <w:tcW w:w="1276" w:type="dxa"/>
            <w:tcBorders>
              <w:top w:val="nil"/>
              <w:left w:val="nil"/>
              <w:bottom w:val="single" w:sz="8" w:space="0" w:color="auto"/>
              <w:right w:val="nil"/>
            </w:tcBorders>
            <w:shd w:val="clear" w:color="auto" w:fill="F0F4F6"/>
            <w:noWrap/>
            <w:vAlign w:val="center"/>
            <w:hideMark/>
          </w:tcPr>
          <w:p w:rsidR="006E5129" w:rsidRPr="006E5129" w:rsidP="006E5129">
            <w:pPr>
              <w:spacing w:after="0" w:line="240" w:lineRule="auto"/>
              <w:rPr>
                <w:rFonts w:ascii="Arial" w:eastAsia="Times New Roman" w:hAnsi="Arial" w:cs="Arial"/>
                <w:b/>
                <w:bCs/>
                <w:color w:val="000000"/>
                <w:sz w:val="15"/>
                <w:szCs w:val="15"/>
                <w:lang w:val="fi-FI" w:eastAsia="en-GB"/>
              </w:rPr>
            </w:pPr>
            <w:bookmarkStart w:id="15" w:name="RANGE!B15:E20"/>
            <w:bookmarkStart w:id="16" w:name="_Hlk93326925"/>
            <w:r w:rsidRPr="006E5129">
              <w:rPr>
                <w:rFonts w:ascii="Arial" w:eastAsia="Times New Roman" w:hAnsi="Arial" w:cs="Arial"/>
                <w:b/>
                <w:bCs/>
                <w:color w:val="000000"/>
                <w:sz w:val="15"/>
                <w:szCs w:val="15"/>
                <w:lang w:val="fi-FI" w:eastAsia="en-GB"/>
              </w:rPr>
              <w:t> </w:t>
            </w:r>
            <w:bookmarkEnd w:id="15"/>
            <w:r w:rsidRPr="006E5129">
              <w:rPr>
                <w:rFonts w:ascii="Arial" w:eastAsia="Times New Roman" w:hAnsi="Arial" w:cs="Arial"/>
                <w:b/>
                <w:bCs/>
                <w:color w:val="000000"/>
                <w:sz w:val="15"/>
                <w:szCs w:val="15"/>
                <w:lang w:val="fi-FI" w:eastAsia="en-GB"/>
              </w:rPr>
              <w:t>KPI</w:t>
            </w:r>
          </w:p>
        </w:tc>
        <w:tc>
          <w:tcPr>
            <w:tcW w:w="999" w:type="dxa"/>
            <w:tcBorders>
              <w:top w:val="nil"/>
              <w:left w:val="nil"/>
              <w:bottom w:val="single" w:sz="8" w:space="0" w:color="auto"/>
              <w:right w:val="nil"/>
            </w:tcBorders>
            <w:shd w:val="clear" w:color="auto" w:fill="F0F4F6"/>
            <w:noWrap/>
            <w:vAlign w:val="center"/>
            <w:hideMark/>
          </w:tcPr>
          <w:p w:rsidR="006E5129" w:rsidRPr="006E5129" w:rsidP="006E5129">
            <w:pPr>
              <w:spacing w:after="0" w:line="240" w:lineRule="auto"/>
              <w:jc w:val="right"/>
              <w:rPr>
                <w:rFonts w:ascii="Arial" w:eastAsia="Times New Roman" w:hAnsi="Arial" w:cs="Arial"/>
                <w:b/>
                <w:bCs/>
                <w:color w:val="000000"/>
                <w:sz w:val="15"/>
                <w:szCs w:val="15"/>
                <w:lang w:val="fi-FI" w:eastAsia="en-GB"/>
              </w:rPr>
            </w:pPr>
            <w:r w:rsidRPr="006E5129">
              <w:rPr>
                <w:rFonts w:ascii="Arial" w:eastAsia="Times New Roman" w:hAnsi="Arial" w:cs="Arial"/>
                <w:b/>
                <w:bCs/>
                <w:color w:val="000000"/>
                <w:sz w:val="15"/>
                <w:szCs w:val="15"/>
                <w:lang w:val="fi-FI" w:eastAsia="en-GB"/>
              </w:rPr>
              <w:t>Yhteensä (MEUR)</w:t>
            </w:r>
          </w:p>
        </w:tc>
        <w:tc>
          <w:tcPr>
            <w:tcW w:w="1199" w:type="dxa"/>
            <w:tcBorders>
              <w:top w:val="nil"/>
              <w:left w:val="nil"/>
              <w:bottom w:val="single" w:sz="8" w:space="0" w:color="auto"/>
              <w:right w:val="nil"/>
            </w:tcBorders>
            <w:shd w:val="clear" w:color="auto" w:fill="F0F4F6"/>
            <w:noWrap/>
            <w:vAlign w:val="center"/>
            <w:hideMark/>
          </w:tcPr>
          <w:p w:rsidR="006E5129" w:rsidRPr="006E5129" w:rsidP="006E5129">
            <w:pPr>
              <w:spacing w:after="0" w:line="240" w:lineRule="auto"/>
              <w:jc w:val="right"/>
              <w:rPr>
                <w:rFonts w:ascii="Arial" w:eastAsia="Times New Roman" w:hAnsi="Arial" w:cs="Arial"/>
                <w:b/>
                <w:bCs/>
                <w:color w:val="000000"/>
                <w:sz w:val="15"/>
                <w:szCs w:val="15"/>
                <w:lang w:val="fi-FI" w:eastAsia="en-GB"/>
              </w:rPr>
            </w:pPr>
            <w:r w:rsidRPr="006E5129">
              <w:rPr>
                <w:rFonts w:ascii="Arial" w:eastAsia="Times New Roman" w:hAnsi="Arial" w:cs="Arial"/>
                <w:b/>
                <w:bCs/>
                <w:color w:val="000000"/>
                <w:sz w:val="15"/>
                <w:szCs w:val="15"/>
                <w:lang w:val="fi-FI" w:eastAsia="en-GB"/>
              </w:rPr>
              <w:t xml:space="preserve">Taksonomia-kelpoista </w:t>
            </w:r>
            <w:r w:rsidR="003D1D6A">
              <w:rPr>
                <w:rFonts w:ascii="Arial" w:eastAsia="Times New Roman" w:hAnsi="Arial" w:cs="Arial"/>
                <w:b/>
                <w:bCs/>
                <w:color w:val="000000"/>
                <w:sz w:val="15"/>
                <w:szCs w:val="15"/>
                <w:lang w:val="fi-FI" w:eastAsia="en-GB"/>
              </w:rPr>
              <w:t>(</w:t>
            </w:r>
            <w:r w:rsidRPr="006E5129">
              <w:rPr>
                <w:rFonts w:ascii="Arial" w:eastAsia="Times New Roman" w:hAnsi="Arial" w:cs="Arial"/>
                <w:b/>
                <w:bCs/>
                <w:color w:val="000000"/>
                <w:sz w:val="15"/>
                <w:szCs w:val="15"/>
                <w:lang w:val="fi-FI" w:eastAsia="en-GB"/>
              </w:rPr>
              <w:t>%</w:t>
            </w:r>
            <w:r w:rsidR="003D1D6A">
              <w:rPr>
                <w:rFonts w:ascii="Arial" w:eastAsia="Times New Roman" w:hAnsi="Arial" w:cs="Arial"/>
                <w:b/>
                <w:bCs/>
                <w:color w:val="000000"/>
                <w:sz w:val="15"/>
                <w:szCs w:val="15"/>
                <w:lang w:val="fi-FI" w:eastAsia="en-GB"/>
              </w:rPr>
              <w:t>)</w:t>
            </w:r>
          </w:p>
        </w:tc>
        <w:tc>
          <w:tcPr>
            <w:tcW w:w="1307" w:type="dxa"/>
            <w:tcBorders>
              <w:top w:val="nil"/>
              <w:left w:val="nil"/>
              <w:bottom w:val="single" w:sz="8" w:space="0" w:color="auto"/>
              <w:right w:val="nil"/>
            </w:tcBorders>
            <w:shd w:val="clear" w:color="auto" w:fill="F0F4F6"/>
            <w:noWrap/>
            <w:vAlign w:val="center"/>
            <w:hideMark/>
          </w:tcPr>
          <w:p w:rsidR="006E5129" w:rsidRPr="006E5129" w:rsidP="006E5129">
            <w:pPr>
              <w:spacing w:after="0" w:line="240" w:lineRule="auto"/>
              <w:jc w:val="right"/>
              <w:rPr>
                <w:rFonts w:ascii="Arial" w:eastAsia="Times New Roman" w:hAnsi="Arial" w:cs="Arial"/>
                <w:b/>
                <w:bCs/>
                <w:color w:val="000000"/>
                <w:sz w:val="15"/>
                <w:szCs w:val="15"/>
                <w:lang w:val="fi-FI" w:eastAsia="en-GB"/>
              </w:rPr>
            </w:pPr>
            <w:r w:rsidRPr="006E5129">
              <w:rPr>
                <w:rFonts w:ascii="Arial" w:eastAsia="Times New Roman" w:hAnsi="Arial" w:cs="Arial"/>
                <w:b/>
                <w:bCs/>
                <w:color w:val="000000"/>
                <w:sz w:val="15"/>
                <w:szCs w:val="15"/>
                <w:lang w:val="fi-FI" w:eastAsia="en-GB"/>
              </w:rPr>
              <w:t>Ei-taksonomia-kelpoista</w:t>
            </w:r>
            <w:r w:rsidR="003D1D6A">
              <w:rPr>
                <w:rFonts w:ascii="Arial" w:eastAsia="Times New Roman" w:hAnsi="Arial" w:cs="Arial"/>
                <w:b/>
                <w:bCs/>
                <w:color w:val="000000"/>
                <w:sz w:val="15"/>
                <w:szCs w:val="15"/>
                <w:lang w:val="fi-FI" w:eastAsia="en-GB"/>
              </w:rPr>
              <w:t xml:space="preserve"> (</w:t>
            </w:r>
            <w:r w:rsidRPr="006E5129">
              <w:rPr>
                <w:rFonts w:ascii="Arial" w:eastAsia="Times New Roman" w:hAnsi="Arial" w:cs="Arial"/>
                <w:b/>
                <w:bCs/>
                <w:color w:val="000000"/>
                <w:sz w:val="15"/>
                <w:szCs w:val="15"/>
                <w:lang w:val="fi-FI" w:eastAsia="en-GB"/>
              </w:rPr>
              <w:t>%</w:t>
            </w:r>
            <w:r w:rsidR="003D1D6A">
              <w:rPr>
                <w:rFonts w:ascii="Arial" w:eastAsia="Times New Roman" w:hAnsi="Arial" w:cs="Arial"/>
                <w:b/>
                <w:bCs/>
                <w:color w:val="000000"/>
                <w:sz w:val="15"/>
                <w:szCs w:val="15"/>
                <w:lang w:val="fi-FI" w:eastAsia="en-GB"/>
              </w:rPr>
              <w:t>)</w:t>
            </w:r>
          </w:p>
        </w:tc>
      </w:tr>
      <w:tr w:rsidTr="003D1D6A">
        <w:tblPrEx>
          <w:tblW w:w="4781" w:type="dxa"/>
          <w:tblLook w:val="04A0"/>
        </w:tblPrEx>
        <w:trPr>
          <w:trHeight w:val="283"/>
        </w:trPr>
        <w:tc>
          <w:tcPr>
            <w:tcW w:w="1276" w:type="dxa"/>
            <w:shd w:val="clear" w:color="auto" w:fill="FFFFFF"/>
            <w:noWrap/>
            <w:vAlign w:val="center"/>
            <w:hideMark/>
          </w:tcPr>
          <w:p w:rsidR="006E5129" w:rsidRPr="006E5129" w:rsidP="006E5129">
            <w:pPr>
              <w:spacing w:after="0" w:line="240" w:lineRule="auto"/>
              <w:rPr>
                <w:rFonts w:ascii="Arial" w:eastAsia="Times New Roman" w:hAnsi="Arial" w:cs="Arial"/>
                <w:color w:val="111111"/>
                <w:sz w:val="14"/>
                <w:szCs w:val="14"/>
                <w:lang w:val="fi-FI" w:eastAsia="en-GB"/>
              </w:rPr>
            </w:pPr>
            <w:r>
              <w:rPr>
                <w:rFonts w:ascii="Arial" w:eastAsia="Times New Roman" w:hAnsi="Arial" w:cs="Arial"/>
                <w:color w:val="111111"/>
                <w:sz w:val="14"/>
                <w:szCs w:val="14"/>
                <w:lang w:val="fi-FI" w:eastAsia="en-GB"/>
              </w:rPr>
              <w:t>Liikevaihto</w:t>
            </w:r>
          </w:p>
        </w:tc>
        <w:tc>
          <w:tcPr>
            <w:tcW w:w="999" w:type="dxa"/>
            <w:shd w:val="clear" w:color="auto" w:fill="FFFFFF"/>
            <w:noWrap/>
            <w:vAlign w:val="center"/>
            <w:hideMark/>
          </w:tcPr>
          <w:p w:rsidR="006E5129" w:rsidRPr="006E5129" w:rsidP="006E5129">
            <w:pPr>
              <w:spacing w:after="0" w:line="240" w:lineRule="auto"/>
              <w:jc w:val="right"/>
              <w:rPr>
                <w:rFonts w:ascii="Arial" w:eastAsia="Times New Roman" w:hAnsi="Arial" w:cs="Arial"/>
                <w:sz w:val="14"/>
                <w:szCs w:val="14"/>
                <w:lang w:val="fi-FI" w:eastAsia="en-GB"/>
              </w:rPr>
            </w:pPr>
            <w:r w:rsidRPr="006E5129">
              <w:rPr>
                <w:rFonts w:ascii="Arial" w:eastAsia="Times New Roman" w:hAnsi="Arial" w:cs="Arial"/>
                <w:sz w:val="14"/>
                <w:szCs w:val="14"/>
                <w:lang w:val="fi-FI" w:eastAsia="en-GB"/>
              </w:rPr>
              <w:t>4</w:t>
            </w:r>
            <w:r>
              <w:rPr>
                <w:rFonts w:ascii="Arial" w:eastAsia="Times New Roman" w:hAnsi="Arial" w:cs="Arial"/>
                <w:sz w:val="14"/>
                <w:szCs w:val="14"/>
                <w:lang w:val="fi-FI" w:eastAsia="en-GB"/>
              </w:rPr>
              <w:t xml:space="preserve"> </w:t>
            </w:r>
            <w:r w:rsidRPr="006E5129">
              <w:rPr>
                <w:rFonts w:ascii="Arial" w:eastAsia="Times New Roman" w:hAnsi="Arial" w:cs="Arial"/>
                <w:sz w:val="14"/>
                <w:szCs w:val="14"/>
                <w:lang w:val="fi-FI" w:eastAsia="en-GB"/>
              </w:rPr>
              <w:t>778</w:t>
            </w:r>
          </w:p>
        </w:tc>
        <w:tc>
          <w:tcPr>
            <w:tcW w:w="1199" w:type="dxa"/>
            <w:shd w:val="clear" w:color="auto" w:fill="FFFFFF"/>
            <w:noWrap/>
            <w:vAlign w:val="center"/>
            <w:hideMark/>
          </w:tcPr>
          <w:p w:rsidR="006E5129" w:rsidRPr="006E5129" w:rsidP="006E5129">
            <w:pPr>
              <w:spacing w:after="0" w:line="240" w:lineRule="auto"/>
              <w:jc w:val="right"/>
              <w:rPr>
                <w:rFonts w:ascii="Arial" w:eastAsia="Times New Roman" w:hAnsi="Arial" w:cs="Arial"/>
                <w:color w:val="111111"/>
                <w:sz w:val="14"/>
                <w:szCs w:val="14"/>
                <w:lang w:val="fi-FI" w:eastAsia="en-GB"/>
              </w:rPr>
            </w:pPr>
            <w:r w:rsidRPr="006E5129">
              <w:rPr>
                <w:rFonts w:ascii="Arial" w:eastAsia="Times New Roman" w:hAnsi="Arial" w:cs="Arial"/>
                <w:color w:val="111111"/>
                <w:sz w:val="14"/>
                <w:szCs w:val="14"/>
                <w:lang w:val="fi-FI" w:eastAsia="en-GB"/>
              </w:rPr>
              <w:t>8</w:t>
            </w:r>
          </w:p>
        </w:tc>
        <w:tc>
          <w:tcPr>
            <w:tcW w:w="1307" w:type="dxa"/>
            <w:tcBorders>
              <w:top w:val="nil"/>
              <w:left w:val="nil"/>
              <w:bottom w:val="single" w:sz="4" w:space="0" w:color="004B6B"/>
              <w:right w:val="nil"/>
            </w:tcBorders>
            <w:shd w:val="clear" w:color="auto" w:fill="FFFFFF"/>
            <w:noWrap/>
            <w:vAlign w:val="center"/>
            <w:hideMark/>
          </w:tcPr>
          <w:p w:rsidR="006E5129" w:rsidRPr="006E5129" w:rsidP="006E5129">
            <w:pPr>
              <w:spacing w:after="0" w:line="240" w:lineRule="auto"/>
              <w:jc w:val="right"/>
              <w:rPr>
                <w:rFonts w:ascii="Arial" w:eastAsia="Times New Roman" w:hAnsi="Arial" w:cs="Arial"/>
                <w:color w:val="111111"/>
                <w:sz w:val="14"/>
                <w:szCs w:val="14"/>
                <w:lang w:val="fi-FI" w:eastAsia="en-GB"/>
              </w:rPr>
            </w:pPr>
            <w:r w:rsidRPr="006E5129">
              <w:rPr>
                <w:rFonts w:ascii="Arial" w:eastAsia="Times New Roman" w:hAnsi="Arial" w:cs="Arial"/>
                <w:color w:val="111111"/>
                <w:sz w:val="14"/>
                <w:szCs w:val="14"/>
                <w:lang w:val="fi-FI" w:eastAsia="en-GB"/>
              </w:rPr>
              <w:t>92</w:t>
            </w:r>
          </w:p>
        </w:tc>
      </w:tr>
      <w:tr w:rsidTr="003D1D6A">
        <w:tblPrEx>
          <w:tblW w:w="4781" w:type="dxa"/>
          <w:tblLook w:val="04A0"/>
        </w:tblPrEx>
        <w:trPr>
          <w:trHeight w:val="397"/>
        </w:trPr>
        <w:tc>
          <w:tcPr>
            <w:tcW w:w="1276" w:type="dxa"/>
            <w:tcBorders>
              <w:top w:val="single" w:sz="4" w:space="0" w:color="004B6B"/>
              <w:left w:val="nil"/>
              <w:bottom w:val="single" w:sz="4" w:space="0" w:color="004B6B"/>
              <w:right w:val="nil"/>
            </w:tcBorders>
            <w:shd w:val="clear" w:color="auto" w:fill="FFFFFF"/>
            <w:noWrap/>
            <w:vAlign w:val="center"/>
            <w:hideMark/>
          </w:tcPr>
          <w:p w:rsidR="006E5129" w:rsidRPr="006E5129" w:rsidP="006E5129">
            <w:pPr>
              <w:spacing w:after="0" w:line="240" w:lineRule="auto"/>
              <w:rPr>
                <w:rFonts w:ascii="Arial" w:eastAsia="Times New Roman" w:hAnsi="Arial" w:cs="Arial"/>
                <w:color w:val="111111"/>
                <w:sz w:val="14"/>
                <w:szCs w:val="14"/>
                <w:lang w:val="fi-FI" w:eastAsia="en-GB"/>
              </w:rPr>
            </w:pPr>
            <w:r>
              <w:rPr>
                <w:rFonts w:ascii="Arial" w:eastAsia="Times New Roman" w:hAnsi="Arial" w:cs="Arial"/>
                <w:color w:val="111111"/>
                <w:sz w:val="14"/>
                <w:szCs w:val="14"/>
                <w:lang w:val="fi-FI" w:eastAsia="en-GB"/>
              </w:rPr>
              <w:t>Investoinnit</w:t>
            </w:r>
          </w:p>
        </w:tc>
        <w:tc>
          <w:tcPr>
            <w:tcW w:w="999" w:type="dxa"/>
            <w:tcBorders>
              <w:top w:val="single" w:sz="4" w:space="0" w:color="004B6B"/>
              <w:left w:val="nil"/>
              <w:bottom w:val="single" w:sz="4" w:space="0" w:color="004B6B"/>
              <w:right w:val="nil"/>
            </w:tcBorders>
            <w:shd w:val="clear" w:color="auto" w:fill="FFFFFF"/>
            <w:noWrap/>
            <w:vAlign w:val="center"/>
            <w:hideMark/>
          </w:tcPr>
          <w:p w:rsidR="006E5129" w:rsidRPr="006E5129" w:rsidP="006E5129">
            <w:pPr>
              <w:spacing w:after="0" w:line="240" w:lineRule="auto"/>
              <w:jc w:val="right"/>
              <w:rPr>
                <w:rFonts w:ascii="Arial" w:eastAsia="Times New Roman" w:hAnsi="Arial" w:cs="Arial"/>
                <w:color w:val="111111"/>
                <w:sz w:val="14"/>
                <w:szCs w:val="14"/>
                <w:lang w:val="fi-FI" w:eastAsia="en-GB"/>
              </w:rPr>
            </w:pPr>
            <w:r w:rsidRPr="006E5129">
              <w:rPr>
                <w:rFonts w:ascii="Arial" w:eastAsia="Times New Roman" w:hAnsi="Arial" w:cs="Arial"/>
                <w:color w:val="111111"/>
                <w:sz w:val="14"/>
                <w:szCs w:val="14"/>
                <w:lang w:val="fi-FI" w:eastAsia="en-GB"/>
              </w:rPr>
              <w:t>226</w:t>
            </w:r>
          </w:p>
        </w:tc>
        <w:tc>
          <w:tcPr>
            <w:tcW w:w="1199" w:type="dxa"/>
            <w:tcBorders>
              <w:top w:val="single" w:sz="4" w:space="0" w:color="004B6B"/>
              <w:left w:val="nil"/>
              <w:bottom w:val="single" w:sz="4" w:space="0" w:color="004B6B"/>
              <w:right w:val="nil"/>
            </w:tcBorders>
            <w:shd w:val="clear" w:color="auto" w:fill="FFFFFF"/>
            <w:noWrap/>
            <w:vAlign w:val="center"/>
            <w:hideMark/>
          </w:tcPr>
          <w:p w:rsidR="006E5129" w:rsidRPr="006E5129" w:rsidP="006E5129">
            <w:pPr>
              <w:spacing w:after="0" w:line="240" w:lineRule="auto"/>
              <w:jc w:val="right"/>
              <w:rPr>
                <w:rFonts w:ascii="Arial" w:eastAsia="Times New Roman" w:hAnsi="Arial" w:cs="Arial"/>
                <w:color w:val="111111"/>
                <w:sz w:val="14"/>
                <w:szCs w:val="14"/>
                <w:lang w:val="fi-FI" w:eastAsia="en-GB"/>
              </w:rPr>
            </w:pPr>
            <w:r w:rsidRPr="006E5129">
              <w:rPr>
                <w:rFonts w:ascii="Arial" w:eastAsia="Times New Roman" w:hAnsi="Arial" w:cs="Arial"/>
                <w:color w:val="111111"/>
                <w:sz w:val="14"/>
                <w:szCs w:val="14"/>
                <w:lang w:val="fi-FI" w:eastAsia="en-GB"/>
              </w:rPr>
              <w:t>22</w:t>
            </w:r>
          </w:p>
        </w:tc>
        <w:tc>
          <w:tcPr>
            <w:tcW w:w="1307" w:type="dxa"/>
            <w:tcBorders>
              <w:top w:val="single" w:sz="4" w:space="0" w:color="004B6B"/>
              <w:left w:val="nil"/>
              <w:bottom w:val="single" w:sz="4" w:space="0" w:color="004B6B"/>
              <w:right w:val="nil"/>
            </w:tcBorders>
            <w:shd w:val="clear" w:color="auto" w:fill="FFFFFF"/>
            <w:noWrap/>
            <w:vAlign w:val="center"/>
            <w:hideMark/>
          </w:tcPr>
          <w:p w:rsidR="006E5129" w:rsidRPr="006E5129" w:rsidP="006E5129">
            <w:pPr>
              <w:spacing w:after="0" w:line="240" w:lineRule="auto"/>
              <w:jc w:val="right"/>
              <w:rPr>
                <w:rFonts w:ascii="Arial" w:eastAsia="Times New Roman" w:hAnsi="Arial" w:cs="Arial"/>
                <w:color w:val="111111"/>
                <w:sz w:val="14"/>
                <w:szCs w:val="14"/>
                <w:lang w:val="fi-FI" w:eastAsia="en-GB"/>
              </w:rPr>
            </w:pPr>
            <w:r w:rsidRPr="006E5129">
              <w:rPr>
                <w:rFonts w:ascii="Arial" w:eastAsia="Times New Roman" w:hAnsi="Arial" w:cs="Arial"/>
                <w:color w:val="111111"/>
                <w:sz w:val="14"/>
                <w:szCs w:val="14"/>
                <w:lang w:val="fi-FI" w:eastAsia="en-GB"/>
              </w:rPr>
              <w:t>78</w:t>
            </w:r>
          </w:p>
        </w:tc>
      </w:tr>
      <w:tr w:rsidTr="003D1D6A">
        <w:tblPrEx>
          <w:tblW w:w="4781" w:type="dxa"/>
          <w:tblLook w:val="04A0"/>
        </w:tblPrEx>
        <w:trPr>
          <w:trHeight w:val="397"/>
        </w:trPr>
        <w:tc>
          <w:tcPr>
            <w:tcW w:w="1276" w:type="dxa"/>
            <w:tcBorders>
              <w:top w:val="single" w:sz="4" w:space="0" w:color="004B6B"/>
              <w:left w:val="nil"/>
              <w:bottom w:val="single" w:sz="4" w:space="0" w:color="004B6B"/>
              <w:right w:val="nil"/>
            </w:tcBorders>
            <w:shd w:val="clear" w:color="auto" w:fill="FFFFFF"/>
            <w:noWrap/>
            <w:vAlign w:val="center"/>
            <w:hideMark/>
          </w:tcPr>
          <w:p w:rsidR="006E5129" w:rsidRPr="006E5129" w:rsidP="006E5129">
            <w:pPr>
              <w:spacing w:after="0" w:line="240" w:lineRule="auto"/>
              <w:rPr>
                <w:rFonts w:ascii="Arial" w:eastAsia="Times New Roman" w:hAnsi="Arial" w:cs="Arial"/>
                <w:color w:val="111111"/>
                <w:sz w:val="14"/>
                <w:szCs w:val="14"/>
                <w:lang w:val="fi-FI" w:eastAsia="en-GB"/>
              </w:rPr>
            </w:pPr>
            <w:r>
              <w:rPr>
                <w:rFonts w:ascii="Arial" w:eastAsia="Times New Roman" w:hAnsi="Arial" w:cs="Arial"/>
                <w:color w:val="111111"/>
                <w:sz w:val="14"/>
                <w:szCs w:val="14"/>
                <w:lang w:val="fi-FI" w:eastAsia="en-GB"/>
              </w:rPr>
              <w:t>Operatiiviset kulut</w:t>
            </w:r>
          </w:p>
        </w:tc>
        <w:tc>
          <w:tcPr>
            <w:tcW w:w="999" w:type="dxa"/>
            <w:tcBorders>
              <w:top w:val="single" w:sz="4" w:space="0" w:color="004B6B"/>
              <w:left w:val="nil"/>
              <w:bottom w:val="single" w:sz="4" w:space="0" w:color="004B6B"/>
              <w:right w:val="nil"/>
            </w:tcBorders>
            <w:shd w:val="clear" w:color="auto" w:fill="FFFFFF"/>
            <w:noWrap/>
            <w:vAlign w:val="center"/>
            <w:hideMark/>
          </w:tcPr>
          <w:p w:rsidR="006E5129" w:rsidRPr="006E5129" w:rsidP="006E5129">
            <w:pPr>
              <w:spacing w:after="0" w:line="240" w:lineRule="auto"/>
              <w:jc w:val="right"/>
              <w:rPr>
                <w:rFonts w:ascii="Arial" w:eastAsia="Times New Roman" w:hAnsi="Arial" w:cs="Arial"/>
                <w:color w:val="111111"/>
                <w:sz w:val="14"/>
                <w:szCs w:val="14"/>
                <w:lang w:val="fi-FI" w:eastAsia="en-GB"/>
              </w:rPr>
            </w:pPr>
            <w:r w:rsidRPr="006E5129">
              <w:rPr>
                <w:rFonts w:ascii="Arial" w:eastAsia="Times New Roman" w:hAnsi="Arial" w:cs="Arial"/>
                <w:color w:val="111111"/>
                <w:sz w:val="14"/>
                <w:szCs w:val="14"/>
                <w:lang w:val="fi-FI" w:eastAsia="en-GB"/>
              </w:rPr>
              <w:t>176</w:t>
            </w:r>
          </w:p>
        </w:tc>
        <w:tc>
          <w:tcPr>
            <w:tcW w:w="1199" w:type="dxa"/>
            <w:tcBorders>
              <w:top w:val="single" w:sz="4" w:space="0" w:color="004B6B"/>
              <w:left w:val="nil"/>
              <w:bottom w:val="single" w:sz="4" w:space="0" w:color="004B6B"/>
              <w:right w:val="nil"/>
            </w:tcBorders>
            <w:shd w:val="clear" w:color="auto" w:fill="FFFFFF"/>
            <w:noWrap/>
            <w:vAlign w:val="center"/>
            <w:hideMark/>
          </w:tcPr>
          <w:p w:rsidR="006E5129" w:rsidRPr="004E42D5" w:rsidP="006E5129">
            <w:pPr>
              <w:spacing w:after="0" w:line="240" w:lineRule="auto"/>
              <w:jc w:val="right"/>
              <w:rPr>
                <w:rFonts w:ascii="Arial" w:eastAsia="Times New Roman" w:hAnsi="Arial" w:cs="Arial"/>
                <w:color w:val="111111"/>
                <w:sz w:val="14"/>
                <w:szCs w:val="14"/>
                <w:lang w:val="fi-FI" w:eastAsia="en-GB"/>
              </w:rPr>
            </w:pPr>
            <w:r w:rsidRPr="004E42D5">
              <w:rPr>
                <w:rFonts w:ascii="Arial" w:eastAsia="Times New Roman" w:hAnsi="Arial" w:cs="Arial"/>
                <w:color w:val="111111"/>
                <w:sz w:val="14"/>
                <w:szCs w:val="14"/>
                <w:lang w:val="fi-FI" w:eastAsia="en-GB"/>
              </w:rPr>
              <w:t>8</w:t>
            </w:r>
          </w:p>
        </w:tc>
        <w:tc>
          <w:tcPr>
            <w:tcW w:w="1307" w:type="dxa"/>
            <w:tcBorders>
              <w:top w:val="single" w:sz="4" w:space="0" w:color="004B6B"/>
              <w:left w:val="nil"/>
              <w:bottom w:val="single" w:sz="4" w:space="0" w:color="004B6B"/>
              <w:right w:val="nil"/>
            </w:tcBorders>
            <w:shd w:val="clear" w:color="auto" w:fill="FFFFFF"/>
            <w:noWrap/>
            <w:vAlign w:val="center"/>
            <w:hideMark/>
          </w:tcPr>
          <w:p w:rsidR="006E5129" w:rsidRPr="004E42D5" w:rsidP="006E5129">
            <w:pPr>
              <w:spacing w:after="0" w:line="240" w:lineRule="auto"/>
              <w:jc w:val="right"/>
              <w:rPr>
                <w:rFonts w:ascii="Arial" w:eastAsia="Times New Roman" w:hAnsi="Arial" w:cs="Arial"/>
                <w:color w:val="111111"/>
                <w:sz w:val="14"/>
                <w:szCs w:val="14"/>
                <w:lang w:val="fi-FI" w:eastAsia="en-GB"/>
              </w:rPr>
            </w:pPr>
            <w:r w:rsidRPr="004E42D5">
              <w:rPr>
                <w:rFonts w:ascii="Arial" w:eastAsia="Times New Roman" w:hAnsi="Arial" w:cs="Arial"/>
                <w:color w:val="111111"/>
                <w:sz w:val="14"/>
                <w:szCs w:val="14"/>
                <w:lang w:val="fi-FI" w:eastAsia="en-GB"/>
              </w:rPr>
              <w:t>92</w:t>
            </w:r>
          </w:p>
        </w:tc>
      </w:tr>
    </w:tbl>
    <w:p w:rsidR="003D1D6A" w:rsidRPr="009B17B0" w:rsidP="009B17B0">
      <w:pPr>
        <w:pStyle w:val="WNormal"/>
        <w:spacing w:after="160" w:line="257" w:lineRule="auto"/>
        <w:rPr>
          <w:sz w:val="16"/>
          <w:szCs w:val="14"/>
        </w:rPr>
      </w:pPr>
      <w:bookmarkEnd w:id="16"/>
    </w:p>
    <w:p w:rsidR="009A0B17" w:rsidP="009A0B17">
      <w:pPr>
        <w:pStyle w:val="WNormal"/>
        <w:spacing w:after="160" w:line="257" w:lineRule="auto"/>
        <w:rPr>
          <w:sz w:val="16"/>
          <w:szCs w:val="14"/>
        </w:rPr>
      </w:pPr>
      <w:r w:rsidRPr="009B17B0">
        <w:rPr>
          <w:sz w:val="16"/>
          <w:szCs w:val="14"/>
        </w:rPr>
        <w:t xml:space="preserve">Suuri osa Wärtsilän taloudellisista toiminnoista ei tällä hetkellä ole ensimmäisen ilmastoa koskevan delegoidun säädöksen piirissä. </w:t>
      </w:r>
      <w:r w:rsidR="00B06999">
        <w:rPr>
          <w:sz w:val="16"/>
          <w:szCs w:val="14"/>
        </w:rPr>
        <w:t>M</w:t>
      </w:r>
      <w:r w:rsidRPr="009B17B0">
        <w:rPr>
          <w:sz w:val="16"/>
          <w:szCs w:val="14"/>
        </w:rPr>
        <w:t>erenkulku</w:t>
      </w:r>
      <w:r w:rsidR="00B06999">
        <w:rPr>
          <w:sz w:val="16"/>
          <w:szCs w:val="14"/>
        </w:rPr>
        <w:t xml:space="preserve">- ja </w:t>
      </w:r>
      <w:r w:rsidRPr="009B17B0" w:rsidR="00B06999">
        <w:rPr>
          <w:sz w:val="16"/>
          <w:szCs w:val="14"/>
        </w:rPr>
        <w:t>energia-</w:t>
      </w:r>
      <w:r w:rsidRPr="009B17B0">
        <w:rPr>
          <w:sz w:val="16"/>
          <w:szCs w:val="14"/>
        </w:rPr>
        <w:t>alan palvelu</w:t>
      </w:r>
      <w:r>
        <w:rPr>
          <w:sz w:val="16"/>
          <w:szCs w:val="14"/>
        </w:rPr>
        <w:t>t</w:t>
      </w:r>
      <w:r w:rsidRPr="009A0B17">
        <w:rPr>
          <w:sz w:val="16"/>
          <w:szCs w:val="14"/>
        </w:rPr>
        <w:t xml:space="preserve"> </w:t>
      </w:r>
      <w:r w:rsidR="00B06999">
        <w:rPr>
          <w:sz w:val="16"/>
          <w:szCs w:val="14"/>
        </w:rPr>
        <w:t xml:space="preserve">kattoivat </w:t>
      </w:r>
      <w:r w:rsidRPr="009A0B17">
        <w:rPr>
          <w:sz w:val="16"/>
          <w:szCs w:val="14"/>
        </w:rPr>
        <w:t>52</w:t>
      </w:r>
      <w:r>
        <w:rPr>
          <w:sz w:val="16"/>
          <w:szCs w:val="14"/>
        </w:rPr>
        <w:t>%</w:t>
      </w:r>
      <w:r w:rsidRPr="009A0B17">
        <w:rPr>
          <w:sz w:val="16"/>
          <w:szCs w:val="14"/>
        </w:rPr>
        <w:t xml:space="preserve"> Wärtsilän liikevaihdosta</w:t>
      </w:r>
      <w:r w:rsidR="00B06999">
        <w:rPr>
          <w:sz w:val="16"/>
          <w:szCs w:val="14"/>
        </w:rPr>
        <w:t xml:space="preserve"> vuonna 2021.</w:t>
      </w:r>
      <w:r w:rsidRPr="009A0B17">
        <w:rPr>
          <w:sz w:val="16"/>
          <w:szCs w:val="14"/>
        </w:rPr>
        <w:t xml:space="preserve"> </w:t>
      </w:r>
      <w:r w:rsidRPr="00B06999" w:rsidR="00B06999">
        <w:rPr>
          <w:sz w:val="16"/>
          <w:szCs w:val="14"/>
        </w:rPr>
        <w:t xml:space="preserve">Palvelut ovat avainasemassa </w:t>
      </w:r>
      <w:r w:rsidR="00B06999">
        <w:rPr>
          <w:sz w:val="16"/>
          <w:szCs w:val="14"/>
        </w:rPr>
        <w:t>laitteen</w:t>
      </w:r>
      <w:r w:rsidRPr="00B06999" w:rsidR="00B06999">
        <w:rPr>
          <w:sz w:val="16"/>
          <w:szCs w:val="14"/>
        </w:rPr>
        <w:t xml:space="preserve"> käyttöajan, luotettavuuden, </w:t>
      </w:r>
      <w:r w:rsidR="00B06999">
        <w:rPr>
          <w:sz w:val="16"/>
          <w:szCs w:val="14"/>
        </w:rPr>
        <w:t>vähäisemmän</w:t>
      </w:r>
      <w:r w:rsidRPr="00B06999" w:rsidR="00B06999">
        <w:rPr>
          <w:sz w:val="16"/>
          <w:szCs w:val="14"/>
        </w:rPr>
        <w:t xml:space="preserve"> polttoaineenkulutuksen ja pienempien päästöjen mahdollistajana</w:t>
      </w:r>
      <w:r w:rsidRPr="009A0B17">
        <w:rPr>
          <w:sz w:val="16"/>
          <w:szCs w:val="14"/>
        </w:rPr>
        <w:t xml:space="preserve">. </w:t>
      </w:r>
      <w:r w:rsidR="00B06999">
        <w:rPr>
          <w:sz w:val="16"/>
          <w:szCs w:val="14"/>
        </w:rPr>
        <w:t>P</w:t>
      </w:r>
      <w:r w:rsidRPr="009B17B0" w:rsidR="00B06999">
        <w:rPr>
          <w:sz w:val="16"/>
          <w:szCs w:val="14"/>
        </w:rPr>
        <w:t>alvelu</w:t>
      </w:r>
      <w:r w:rsidR="00B06999">
        <w:rPr>
          <w:sz w:val="16"/>
          <w:szCs w:val="14"/>
        </w:rPr>
        <w:t>t</w:t>
      </w:r>
      <w:r w:rsidRPr="009A0B17" w:rsidR="00B06999">
        <w:rPr>
          <w:sz w:val="16"/>
          <w:szCs w:val="14"/>
        </w:rPr>
        <w:t xml:space="preserve"> ei</w:t>
      </w:r>
      <w:r w:rsidR="00B06999">
        <w:rPr>
          <w:sz w:val="16"/>
          <w:szCs w:val="14"/>
        </w:rPr>
        <w:t>vät</w:t>
      </w:r>
      <w:r w:rsidRPr="009A0B17" w:rsidR="00B06999">
        <w:rPr>
          <w:sz w:val="16"/>
          <w:szCs w:val="14"/>
        </w:rPr>
        <w:t xml:space="preserve"> </w:t>
      </w:r>
      <w:r w:rsidR="00B06999">
        <w:rPr>
          <w:sz w:val="16"/>
          <w:szCs w:val="14"/>
        </w:rPr>
        <w:t xml:space="preserve">kuitenkaan </w:t>
      </w:r>
      <w:r w:rsidRPr="009A0B17" w:rsidR="00B06999">
        <w:rPr>
          <w:sz w:val="16"/>
          <w:szCs w:val="14"/>
        </w:rPr>
        <w:t>kuulu</w:t>
      </w:r>
      <w:r w:rsidR="00B06999">
        <w:rPr>
          <w:sz w:val="16"/>
          <w:szCs w:val="14"/>
        </w:rPr>
        <w:t xml:space="preserve"> taksonomian</w:t>
      </w:r>
      <w:r w:rsidRPr="009A0B17" w:rsidR="00B06999">
        <w:rPr>
          <w:sz w:val="16"/>
          <w:szCs w:val="14"/>
        </w:rPr>
        <w:t xml:space="preserve"> piiriin</w:t>
      </w:r>
      <w:r w:rsidR="00B06999">
        <w:rPr>
          <w:sz w:val="16"/>
          <w:szCs w:val="14"/>
        </w:rPr>
        <w:t>.</w:t>
      </w:r>
    </w:p>
    <w:p w:rsidR="00B06999" w:rsidRPr="009A0B17" w:rsidP="009A0B17">
      <w:pPr>
        <w:pStyle w:val="WNormal"/>
        <w:spacing w:after="160" w:line="257" w:lineRule="auto"/>
        <w:rPr>
          <w:sz w:val="16"/>
          <w:szCs w:val="14"/>
        </w:rPr>
      </w:pPr>
      <w:r w:rsidRPr="009B17B0">
        <w:rPr>
          <w:sz w:val="16"/>
          <w:szCs w:val="14"/>
        </w:rPr>
        <w:t>Wärtsilällä on keskeinen rooli alusten ja koko merenkulun arvo</w:t>
      </w:r>
      <w:r w:rsidRPr="009B17B0">
        <w:rPr>
          <w:sz w:val="16"/>
          <w:szCs w:val="14"/>
        </w:rPr>
        <w:t>ketjun hiilineutraaliuskehityksessä. Yhtiön laaja tuote- ja ratkaisuvalikoima, muun muassa moottorit, propulsiojärjestelmät, hybridiratkaisut, integroidut voimansiirtojärjestelmät</w:t>
      </w:r>
      <w:r>
        <w:rPr>
          <w:sz w:val="16"/>
          <w:szCs w:val="14"/>
        </w:rPr>
        <w:t xml:space="preserve"> ja</w:t>
      </w:r>
      <w:r w:rsidRPr="009B17B0">
        <w:rPr>
          <w:sz w:val="16"/>
          <w:szCs w:val="14"/>
        </w:rPr>
        <w:t xml:space="preserve"> päästöjä vähentävät ratkaisut, tukevat keskeisesti siirtymää kohti päästö</w:t>
      </w:r>
      <w:r w:rsidRPr="009B17B0">
        <w:rPr>
          <w:sz w:val="16"/>
          <w:szCs w:val="14"/>
        </w:rPr>
        <w:t>töntä merenkulkua.</w:t>
      </w:r>
      <w:r>
        <w:rPr>
          <w:sz w:val="16"/>
          <w:szCs w:val="14"/>
        </w:rPr>
        <w:t xml:space="preserve"> </w:t>
      </w:r>
      <w:r w:rsidRPr="00B06999">
        <w:rPr>
          <w:sz w:val="16"/>
          <w:szCs w:val="14"/>
        </w:rPr>
        <w:t xml:space="preserve">Ne </w:t>
      </w:r>
      <w:r>
        <w:rPr>
          <w:sz w:val="16"/>
          <w:szCs w:val="14"/>
        </w:rPr>
        <w:t>jäävät</w:t>
      </w:r>
      <w:r w:rsidRPr="00B06999">
        <w:rPr>
          <w:sz w:val="16"/>
          <w:szCs w:val="14"/>
        </w:rPr>
        <w:t xml:space="preserve"> kuitenkin kaikki taksonomian ulkopuolell</w:t>
      </w:r>
      <w:r>
        <w:rPr>
          <w:sz w:val="16"/>
          <w:szCs w:val="14"/>
        </w:rPr>
        <w:t>e</w:t>
      </w:r>
      <w:r w:rsidRPr="00B06999">
        <w:rPr>
          <w:sz w:val="16"/>
          <w:szCs w:val="14"/>
        </w:rPr>
        <w:t>, koska siihen sisältyy ainoastaan alusten valmistus</w:t>
      </w:r>
      <w:r>
        <w:rPr>
          <w:sz w:val="16"/>
          <w:szCs w:val="14"/>
        </w:rPr>
        <w:t xml:space="preserve"> – </w:t>
      </w:r>
      <w:r w:rsidRPr="00B06999">
        <w:rPr>
          <w:sz w:val="16"/>
          <w:szCs w:val="14"/>
        </w:rPr>
        <w:t>ei alusteknologi</w:t>
      </w:r>
      <w:r>
        <w:rPr>
          <w:sz w:val="16"/>
          <w:szCs w:val="14"/>
        </w:rPr>
        <w:t>at</w:t>
      </w:r>
      <w:r w:rsidRPr="00B06999">
        <w:rPr>
          <w:sz w:val="16"/>
          <w:szCs w:val="14"/>
        </w:rPr>
        <w:t xml:space="preserve"> tai </w:t>
      </w:r>
      <w:r>
        <w:rPr>
          <w:sz w:val="16"/>
          <w:szCs w:val="14"/>
        </w:rPr>
        <w:t>-</w:t>
      </w:r>
      <w:r w:rsidRPr="00B06999">
        <w:rPr>
          <w:sz w:val="16"/>
          <w:szCs w:val="14"/>
        </w:rPr>
        <w:t>komponent</w:t>
      </w:r>
      <w:r>
        <w:rPr>
          <w:sz w:val="16"/>
          <w:szCs w:val="14"/>
        </w:rPr>
        <w:t>it</w:t>
      </w:r>
      <w:r w:rsidRPr="00B06999">
        <w:rPr>
          <w:sz w:val="16"/>
          <w:szCs w:val="14"/>
        </w:rPr>
        <w:t>. Energia</w:t>
      </w:r>
      <w:r>
        <w:rPr>
          <w:sz w:val="16"/>
          <w:szCs w:val="14"/>
        </w:rPr>
        <w:t>liiketoiminnassa</w:t>
      </w:r>
      <w:r w:rsidRPr="00B06999">
        <w:rPr>
          <w:sz w:val="16"/>
          <w:szCs w:val="14"/>
        </w:rPr>
        <w:t xml:space="preserve"> myös hiilineutraale</w:t>
      </w:r>
      <w:r>
        <w:rPr>
          <w:sz w:val="16"/>
          <w:szCs w:val="14"/>
        </w:rPr>
        <w:t>ja</w:t>
      </w:r>
      <w:r w:rsidRPr="00B06999">
        <w:rPr>
          <w:sz w:val="16"/>
          <w:szCs w:val="14"/>
        </w:rPr>
        <w:t xml:space="preserve"> </w:t>
      </w:r>
      <w:r w:rsidRPr="00B634D3">
        <w:rPr>
          <w:sz w:val="16"/>
        </w:rPr>
        <w:t>polttoaineita varten</w:t>
      </w:r>
      <w:r>
        <w:rPr>
          <w:sz w:val="16"/>
        </w:rPr>
        <w:t xml:space="preserve"> valmiit</w:t>
      </w:r>
      <w:r w:rsidRPr="00B06999">
        <w:rPr>
          <w:sz w:val="16"/>
          <w:szCs w:val="14"/>
        </w:rPr>
        <w:t>, maakaasulla tai mu</w:t>
      </w:r>
      <w:r w:rsidRPr="00B06999">
        <w:rPr>
          <w:sz w:val="16"/>
          <w:szCs w:val="14"/>
        </w:rPr>
        <w:t>illa fossiilisilla polttoaineilla toimivat moottorit</w:t>
      </w:r>
      <w:r>
        <w:rPr>
          <w:sz w:val="16"/>
          <w:szCs w:val="14"/>
        </w:rPr>
        <w:t xml:space="preserve"> </w:t>
      </w:r>
      <w:r w:rsidR="0044388C">
        <w:rPr>
          <w:sz w:val="16"/>
          <w:szCs w:val="14"/>
        </w:rPr>
        <w:t>jäävät</w:t>
      </w:r>
      <w:r w:rsidRPr="00B06999" w:rsidR="0044388C">
        <w:rPr>
          <w:sz w:val="16"/>
          <w:szCs w:val="14"/>
        </w:rPr>
        <w:t xml:space="preserve"> taksonomian ulkopuolell</w:t>
      </w:r>
      <w:r w:rsidR="0044388C">
        <w:rPr>
          <w:sz w:val="16"/>
          <w:szCs w:val="14"/>
        </w:rPr>
        <w:t>e</w:t>
      </w:r>
      <w:r w:rsidRPr="00B06999">
        <w:rPr>
          <w:sz w:val="16"/>
          <w:szCs w:val="14"/>
        </w:rPr>
        <w:t>.</w:t>
      </w:r>
    </w:p>
    <w:p w:rsidR="009A0B17" w:rsidRPr="009B17B0" w:rsidP="009A0B17">
      <w:pPr>
        <w:pStyle w:val="WNormal"/>
        <w:spacing w:after="160" w:line="257" w:lineRule="auto"/>
        <w:rPr>
          <w:sz w:val="16"/>
          <w:szCs w:val="14"/>
        </w:rPr>
      </w:pPr>
      <w:r w:rsidRPr="009A0B17">
        <w:rPr>
          <w:sz w:val="16"/>
          <w:szCs w:val="14"/>
        </w:rPr>
        <w:t>Kaikkiaan 8</w:t>
      </w:r>
      <w:r w:rsidR="00672B4E">
        <w:rPr>
          <w:sz w:val="16"/>
          <w:szCs w:val="14"/>
        </w:rPr>
        <w:t>%</w:t>
      </w:r>
      <w:r w:rsidRPr="009A0B17">
        <w:rPr>
          <w:sz w:val="16"/>
          <w:szCs w:val="14"/>
        </w:rPr>
        <w:t xml:space="preserve"> Wärtsilän liikevaihdosta arvioitiin olevan </w:t>
      </w:r>
      <w:r w:rsidR="00672B4E">
        <w:rPr>
          <w:sz w:val="16"/>
          <w:szCs w:val="14"/>
        </w:rPr>
        <w:t>taksonomia</w:t>
      </w:r>
      <w:r w:rsidRPr="009A0B17">
        <w:rPr>
          <w:sz w:val="16"/>
          <w:szCs w:val="14"/>
        </w:rPr>
        <w:t>kelpois</w:t>
      </w:r>
      <w:r w:rsidR="00672B4E">
        <w:rPr>
          <w:sz w:val="16"/>
          <w:szCs w:val="14"/>
        </w:rPr>
        <w:t>t</w:t>
      </w:r>
      <w:r w:rsidRPr="009A0B17">
        <w:rPr>
          <w:sz w:val="16"/>
          <w:szCs w:val="14"/>
        </w:rPr>
        <w:t>a</w:t>
      </w:r>
      <w:r w:rsidR="00672B4E">
        <w:rPr>
          <w:sz w:val="16"/>
          <w:szCs w:val="14"/>
        </w:rPr>
        <w:t xml:space="preserve"> sisältäen</w:t>
      </w:r>
      <w:r w:rsidRPr="009A0B17">
        <w:rPr>
          <w:sz w:val="16"/>
          <w:szCs w:val="14"/>
        </w:rPr>
        <w:t xml:space="preserve"> energian varastointiliiketoimin</w:t>
      </w:r>
      <w:r w:rsidR="00672B4E">
        <w:rPr>
          <w:sz w:val="16"/>
          <w:szCs w:val="14"/>
        </w:rPr>
        <w:t>nan</w:t>
      </w:r>
      <w:r w:rsidRPr="009A0B17">
        <w:rPr>
          <w:sz w:val="16"/>
          <w:szCs w:val="14"/>
        </w:rPr>
        <w:t xml:space="preserve">, </w:t>
      </w:r>
      <w:r w:rsidRPr="009A0B17">
        <w:rPr>
          <w:sz w:val="16"/>
          <w:szCs w:val="14"/>
        </w:rPr>
        <w:t xml:space="preserve">biokaasuratkaisut ja digitaaliset </w:t>
      </w:r>
      <w:r w:rsidR="00672B4E">
        <w:rPr>
          <w:sz w:val="16"/>
          <w:szCs w:val="14"/>
        </w:rPr>
        <w:t>laivaliikenteen</w:t>
      </w:r>
      <w:r w:rsidRPr="009A0B17">
        <w:rPr>
          <w:sz w:val="16"/>
          <w:szCs w:val="14"/>
        </w:rPr>
        <w:t xml:space="preserve"> optimointiratkaisut.</w:t>
      </w:r>
    </w:p>
    <w:p w:rsidR="00A84C66" w:rsidP="00AE38CA">
      <w:pPr>
        <w:pStyle w:val="WNormal"/>
        <w:rPr>
          <w:sz w:val="16"/>
          <w:szCs w:val="14"/>
        </w:rPr>
      </w:pPr>
      <w:r w:rsidRPr="009B17B0">
        <w:rPr>
          <w:sz w:val="16"/>
          <w:szCs w:val="14"/>
        </w:rPr>
        <w:t xml:space="preserve">Voidakseen raportoida nämä luvut Wärtsilä on arvioinut taloudellisia toimintojaan ilmastoa koskevaan delegoituun säädökseen sisällytettyjen taloudellisten toimintojen </w:t>
      </w:r>
      <w:r w:rsidRPr="009B17B0">
        <w:rPr>
          <w:sz w:val="16"/>
          <w:szCs w:val="14"/>
        </w:rPr>
        <w:t>perusteella.</w:t>
      </w:r>
      <w:r w:rsidRPr="00AE38CA">
        <w:rPr>
          <w:sz w:val="16"/>
        </w:rPr>
        <w:t xml:space="preserve"> </w:t>
      </w:r>
      <w:r w:rsidRPr="009B17B0">
        <w:rPr>
          <w:sz w:val="16"/>
          <w:szCs w:val="14"/>
        </w:rPr>
        <w:t>Taksonomiakelpoiset taloudelliset toiminnot on tunnistettu vertaamalla delegoidussa säädöksessä viitattuja NACE-koodeja Wärtsilän taloudellisiin toimintoihin. Taloudellisten toimintojen taksonomiakelpoisuuden määrittämiseksi on lisäksi arvioit</w:t>
      </w:r>
      <w:r w:rsidRPr="009B17B0">
        <w:rPr>
          <w:sz w:val="16"/>
          <w:szCs w:val="14"/>
        </w:rPr>
        <w:t xml:space="preserve">u asianmukaisia merkittävän edistävyyden kynnysarvoja. Taksonomiakelpoisten taloudellisten toimintojen liikevaihdot, </w:t>
      </w:r>
      <w:r>
        <w:rPr>
          <w:sz w:val="16"/>
          <w:szCs w:val="14"/>
        </w:rPr>
        <w:t>investoinnit</w:t>
      </w:r>
      <w:r w:rsidRPr="009B17B0">
        <w:rPr>
          <w:sz w:val="16"/>
          <w:szCs w:val="14"/>
        </w:rPr>
        <w:t xml:space="preserve"> ja </w:t>
      </w:r>
      <w:r>
        <w:rPr>
          <w:sz w:val="16"/>
          <w:szCs w:val="14"/>
        </w:rPr>
        <w:t>operatiiviset kulut</w:t>
      </w:r>
      <w:r w:rsidRPr="009B17B0">
        <w:rPr>
          <w:sz w:val="16"/>
          <w:szCs w:val="14"/>
        </w:rPr>
        <w:t xml:space="preserve"> kerättiin kirjanpitojärjestelmästä.</w:t>
      </w:r>
    </w:p>
    <w:p w:rsidR="00A84C66">
      <w:pPr>
        <w:spacing w:line="259" w:lineRule="auto"/>
        <w:rPr>
          <w:rFonts w:ascii="Arial" w:hAnsi="Arial" w:cs="Arial"/>
          <w:color w:val="111111"/>
          <w:spacing w:val="2"/>
          <w:sz w:val="16"/>
          <w:szCs w:val="14"/>
          <w:lang w:val="fi-FI"/>
        </w:rPr>
      </w:pPr>
      <w:r w:rsidRPr="006365D6">
        <w:rPr>
          <w:sz w:val="16"/>
          <w:szCs w:val="14"/>
          <w:lang w:val="fi-FI"/>
        </w:rPr>
        <w:br w:type="page"/>
      </w:r>
    </w:p>
    <w:tbl>
      <w:tblPr>
        <w:tblStyle w:val="TableNormal"/>
        <w:tblpPr w:leftFromText="180" w:rightFromText="180" w:bottomFromText="160" w:vertAnchor="page" w:horzAnchor="margin" w:tblpY="1984"/>
        <w:tblW w:w="10052" w:type="dxa"/>
        <w:tblLook w:val="04A0"/>
      </w:tblPr>
      <w:tblGrid>
        <w:gridCol w:w="1277"/>
        <w:gridCol w:w="3673"/>
        <w:gridCol w:w="5102"/>
      </w:tblGrid>
      <w:tr w:rsidTr="00A84C66">
        <w:tblPrEx>
          <w:tblW w:w="10052" w:type="dxa"/>
          <w:tblLook w:val="04A0"/>
        </w:tblPrEx>
        <w:trPr>
          <w:trHeight w:val="284"/>
        </w:trPr>
        <w:tc>
          <w:tcPr>
            <w:tcW w:w="1277" w:type="dxa"/>
            <w:tcBorders>
              <w:top w:val="nil"/>
              <w:left w:val="nil"/>
              <w:bottom w:val="single" w:sz="8" w:space="0" w:color="auto"/>
              <w:right w:val="nil"/>
            </w:tcBorders>
            <w:shd w:val="clear" w:color="auto" w:fill="F0F4F6"/>
            <w:noWrap/>
            <w:vAlign w:val="center"/>
            <w:hideMark/>
          </w:tcPr>
          <w:p w:rsidR="00A84C66" w:rsidRPr="006E5129" w:rsidP="00A84C66">
            <w:pPr>
              <w:spacing w:line="254" w:lineRule="auto"/>
              <w:rPr>
                <w:rFonts w:ascii="Arial" w:eastAsia="Calibri" w:hAnsi="Arial" w:cs="Arial"/>
                <w:b/>
                <w:bCs/>
                <w:color w:val="111111"/>
                <w:sz w:val="15"/>
                <w:szCs w:val="15"/>
                <w:lang w:val="fi-FI"/>
              </w:rPr>
            </w:pPr>
            <w:bookmarkStart w:id="17" w:name="_Hlk93394093"/>
            <w:r w:rsidRPr="006E5129">
              <w:rPr>
                <w:rFonts w:ascii="Arial" w:eastAsia="Calibri" w:hAnsi="Arial" w:cs="Arial"/>
                <w:b/>
                <w:bCs/>
                <w:color w:val="111111"/>
                <w:sz w:val="15"/>
                <w:szCs w:val="15"/>
                <w:lang w:val="fi-FI"/>
              </w:rPr>
              <w:t> KPI</w:t>
            </w:r>
          </w:p>
        </w:tc>
        <w:tc>
          <w:tcPr>
            <w:tcW w:w="3673" w:type="dxa"/>
            <w:tcBorders>
              <w:top w:val="nil"/>
              <w:left w:val="nil"/>
              <w:bottom w:val="single" w:sz="8" w:space="0" w:color="auto"/>
              <w:right w:val="nil"/>
            </w:tcBorders>
            <w:shd w:val="clear" w:color="auto" w:fill="F0F4F6"/>
            <w:noWrap/>
            <w:vAlign w:val="center"/>
            <w:hideMark/>
          </w:tcPr>
          <w:p w:rsidR="00A84C66" w:rsidRPr="006E5129" w:rsidP="00610BA0">
            <w:pPr>
              <w:spacing w:after="0" w:line="254" w:lineRule="auto"/>
              <w:rPr>
                <w:rFonts w:ascii="Arial" w:eastAsia="Calibri" w:hAnsi="Arial" w:cs="Arial"/>
                <w:b/>
                <w:bCs/>
                <w:color w:val="111111"/>
                <w:sz w:val="15"/>
                <w:szCs w:val="15"/>
                <w:lang w:val="fi-FI"/>
              </w:rPr>
            </w:pPr>
            <w:r w:rsidRPr="003D1D6A">
              <w:rPr>
                <w:rFonts w:ascii="Arial" w:eastAsia="Calibri" w:hAnsi="Arial" w:cs="Arial"/>
                <w:b/>
                <w:bCs/>
                <w:color w:val="111111"/>
                <w:sz w:val="15"/>
                <w:szCs w:val="15"/>
                <w:lang w:val="fi-FI"/>
              </w:rPr>
              <w:t>Tunnistetut taksonomiakelpoiset taloudelliset toiminnot</w:t>
            </w:r>
          </w:p>
        </w:tc>
        <w:tc>
          <w:tcPr>
            <w:tcW w:w="5102" w:type="dxa"/>
            <w:tcBorders>
              <w:top w:val="nil"/>
              <w:left w:val="nil"/>
              <w:bottom w:val="single" w:sz="8" w:space="0" w:color="auto"/>
              <w:right w:val="nil"/>
            </w:tcBorders>
            <w:shd w:val="clear" w:color="auto" w:fill="F0F4F6"/>
            <w:noWrap/>
            <w:vAlign w:val="center"/>
            <w:hideMark/>
          </w:tcPr>
          <w:p w:rsidR="00A84C66" w:rsidRPr="006E5129" w:rsidP="00A84C66">
            <w:pPr>
              <w:spacing w:line="254" w:lineRule="auto"/>
              <w:rPr>
                <w:rFonts w:ascii="Arial" w:eastAsia="Calibri" w:hAnsi="Arial" w:cs="Arial"/>
                <w:b/>
                <w:bCs/>
                <w:color w:val="111111"/>
                <w:sz w:val="15"/>
                <w:szCs w:val="15"/>
                <w:lang w:val="fi-FI"/>
              </w:rPr>
            </w:pPr>
            <w:r w:rsidRPr="003D1D6A">
              <w:rPr>
                <w:rFonts w:ascii="Arial" w:eastAsia="Calibri" w:hAnsi="Arial" w:cs="Arial"/>
                <w:b/>
                <w:bCs/>
                <w:color w:val="111111"/>
                <w:sz w:val="15"/>
                <w:szCs w:val="15"/>
                <w:lang w:val="fi-FI"/>
              </w:rPr>
              <w:t>Huom</w:t>
            </w:r>
            <w:r w:rsidRPr="003D1D6A">
              <w:rPr>
                <w:rFonts w:ascii="Arial" w:eastAsia="Calibri" w:hAnsi="Arial" w:cs="Arial"/>
                <w:b/>
                <w:bCs/>
                <w:color w:val="111111"/>
                <w:sz w:val="15"/>
                <w:szCs w:val="15"/>
                <w:lang w:val="fi-FI"/>
              </w:rPr>
              <w:t>autukset</w:t>
            </w:r>
          </w:p>
        </w:tc>
      </w:tr>
      <w:tr w:rsidTr="00A84C66">
        <w:tblPrEx>
          <w:tblW w:w="10052" w:type="dxa"/>
          <w:tblLook w:val="04A0"/>
        </w:tblPrEx>
        <w:trPr>
          <w:trHeight w:val="1902"/>
        </w:trPr>
        <w:tc>
          <w:tcPr>
            <w:tcW w:w="1277" w:type="dxa"/>
            <w:shd w:val="clear" w:color="auto" w:fill="FFFFFF"/>
            <w:noWrap/>
            <w:hideMark/>
          </w:tcPr>
          <w:p w:rsidR="00A84C66" w:rsidRPr="006E5129" w:rsidP="00A84C66">
            <w:pPr>
              <w:spacing w:before="240" w:line="254" w:lineRule="auto"/>
              <w:rPr>
                <w:rFonts w:ascii="Arial" w:eastAsia="Calibri" w:hAnsi="Arial" w:cs="Arial"/>
                <w:b/>
                <w:bCs/>
                <w:color w:val="111111"/>
                <w:sz w:val="15"/>
                <w:szCs w:val="15"/>
                <w:lang w:val="fi-FI"/>
              </w:rPr>
            </w:pPr>
            <w:r>
              <w:rPr>
                <w:rFonts w:ascii="Arial" w:eastAsia="Calibri" w:hAnsi="Arial" w:cs="Arial"/>
                <w:b/>
                <w:bCs/>
                <w:color w:val="111111"/>
                <w:sz w:val="15"/>
                <w:szCs w:val="15"/>
                <w:lang w:val="fi-FI"/>
              </w:rPr>
              <w:t>Liikevaihto</w:t>
            </w:r>
          </w:p>
        </w:tc>
        <w:tc>
          <w:tcPr>
            <w:tcW w:w="3673" w:type="dxa"/>
            <w:shd w:val="clear" w:color="auto" w:fill="FFFFFF"/>
            <w:noWrap/>
            <w:hideMark/>
          </w:tcPr>
          <w:p w:rsidR="00A84C66" w:rsidRPr="00FC182F" w:rsidP="00A84C66">
            <w:pPr>
              <w:spacing w:before="240" w:line="254" w:lineRule="auto"/>
              <w:rPr>
                <w:rFonts w:ascii="Arial" w:eastAsia="Calibri" w:hAnsi="Arial" w:cs="Arial"/>
                <w:color w:val="111111"/>
                <w:sz w:val="15"/>
                <w:szCs w:val="15"/>
                <w:lang w:val="fi-FI"/>
              </w:rPr>
            </w:pPr>
            <w:r w:rsidRPr="00FC182F">
              <w:rPr>
                <w:rFonts w:ascii="Arial" w:eastAsia="Calibri" w:hAnsi="Arial" w:cs="Arial"/>
                <w:color w:val="111111"/>
                <w:sz w:val="15"/>
                <w:szCs w:val="15"/>
                <w:lang w:val="fi-FI"/>
              </w:rPr>
              <w:t>• Energian</w:t>
            </w:r>
            <w:r w:rsidR="00350728">
              <w:rPr>
                <w:rFonts w:ascii="Arial" w:eastAsia="Calibri" w:hAnsi="Arial" w:cs="Arial"/>
                <w:color w:val="111111"/>
                <w:sz w:val="15"/>
                <w:szCs w:val="15"/>
                <w:lang w:val="fi-FI"/>
              </w:rPr>
              <w:t xml:space="preserve"> </w:t>
            </w:r>
            <w:r w:rsidRPr="00FC182F">
              <w:rPr>
                <w:rFonts w:ascii="Arial" w:eastAsia="Calibri" w:hAnsi="Arial" w:cs="Arial"/>
                <w:color w:val="111111"/>
                <w:sz w:val="15"/>
                <w:szCs w:val="15"/>
                <w:lang w:val="fi-FI"/>
              </w:rPr>
              <w:t>varastointiliiketoiminta</w:t>
            </w:r>
          </w:p>
          <w:p w:rsidR="00A84C66" w:rsidRPr="00FC182F" w:rsidP="00A84C66">
            <w:pPr>
              <w:spacing w:before="240" w:line="254" w:lineRule="auto"/>
              <w:rPr>
                <w:rFonts w:ascii="Arial" w:eastAsia="Calibri" w:hAnsi="Arial" w:cs="Arial"/>
                <w:color w:val="111111"/>
                <w:sz w:val="15"/>
                <w:szCs w:val="15"/>
                <w:lang w:val="fi-FI"/>
              </w:rPr>
            </w:pPr>
            <w:r w:rsidRPr="00FC182F">
              <w:rPr>
                <w:rFonts w:ascii="Arial" w:eastAsia="Calibri" w:hAnsi="Arial" w:cs="Arial"/>
                <w:color w:val="111111"/>
                <w:sz w:val="15"/>
                <w:szCs w:val="15"/>
                <w:lang w:val="fi-FI"/>
              </w:rPr>
              <w:t>• Biokaasuratkaisut</w:t>
            </w:r>
          </w:p>
          <w:p w:rsidR="00A84C66" w:rsidRPr="00FC182F" w:rsidP="00A84C66">
            <w:pPr>
              <w:spacing w:before="240" w:line="254" w:lineRule="auto"/>
              <w:rPr>
                <w:rFonts w:ascii="Arial" w:eastAsia="Calibri" w:hAnsi="Arial" w:cs="Arial"/>
                <w:color w:val="111111"/>
                <w:sz w:val="15"/>
                <w:szCs w:val="15"/>
                <w:lang w:val="fi-FI"/>
              </w:rPr>
            </w:pPr>
            <w:r w:rsidRPr="00FC182F">
              <w:rPr>
                <w:rFonts w:ascii="Arial" w:eastAsia="Calibri" w:hAnsi="Arial" w:cs="Arial"/>
                <w:color w:val="111111"/>
                <w:sz w:val="15"/>
                <w:szCs w:val="15"/>
                <w:lang w:val="fi-FI"/>
              </w:rPr>
              <w:t xml:space="preserve">• </w:t>
            </w:r>
            <w:r>
              <w:rPr>
                <w:rFonts w:ascii="Arial" w:eastAsia="Calibri" w:hAnsi="Arial" w:cs="Arial"/>
                <w:color w:val="111111"/>
                <w:sz w:val="15"/>
                <w:szCs w:val="15"/>
                <w:lang w:val="fi-FI"/>
              </w:rPr>
              <w:t>Digitaaliset laivaliikenteen optimointi</w:t>
            </w:r>
            <w:r w:rsidRPr="00FC182F">
              <w:rPr>
                <w:rFonts w:ascii="Arial" w:eastAsia="Calibri" w:hAnsi="Arial" w:cs="Arial"/>
                <w:color w:val="111111"/>
                <w:sz w:val="15"/>
                <w:szCs w:val="15"/>
                <w:lang w:val="fi-FI"/>
              </w:rPr>
              <w:t>ratkaisut</w:t>
            </w:r>
          </w:p>
        </w:tc>
        <w:tc>
          <w:tcPr>
            <w:tcW w:w="5102" w:type="dxa"/>
            <w:shd w:val="clear" w:color="auto" w:fill="FFFFFF"/>
            <w:noWrap/>
            <w:hideMark/>
          </w:tcPr>
          <w:p w:rsidR="00A84C66" w:rsidRPr="00FC182F" w:rsidP="00A84C66">
            <w:pPr>
              <w:spacing w:before="240" w:line="254" w:lineRule="auto"/>
              <w:rPr>
                <w:rFonts w:ascii="Arial" w:eastAsia="Calibri" w:hAnsi="Arial" w:cs="Arial"/>
                <w:color w:val="111111"/>
                <w:sz w:val="15"/>
                <w:szCs w:val="15"/>
                <w:lang w:val="fi-FI"/>
              </w:rPr>
            </w:pPr>
            <w:r w:rsidRPr="00FC182F">
              <w:rPr>
                <w:rFonts w:ascii="Arial" w:eastAsia="Calibri" w:hAnsi="Arial" w:cs="Arial"/>
                <w:color w:val="111111"/>
                <w:sz w:val="15"/>
                <w:szCs w:val="15"/>
                <w:lang w:val="fi-FI"/>
              </w:rPr>
              <w:t>Wärtsilä pitää energian</w:t>
            </w:r>
            <w:r w:rsidR="00350728">
              <w:rPr>
                <w:rFonts w:ascii="Arial" w:eastAsia="Calibri" w:hAnsi="Arial" w:cs="Arial"/>
                <w:color w:val="111111"/>
                <w:sz w:val="15"/>
                <w:szCs w:val="15"/>
                <w:lang w:val="fi-FI"/>
              </w:rPr>
              <w:t xml:space="preserve"> </w:t>
            </w:r>
            <w:r w:rsidRPr="00FC182F">
              <w:rPr>
                <w:rFonts w:ascii="Arial" w:eastAsia="Calibri" w:hAnsi="Arial" w:cs="Arial"/>
                <w:color w:val="111111"/>
                <w:sz w:val="15"/>
                <w:szCs w:val="15"/>
                <w:lang w:val="fi-FI"/>
              </w:rPr>
              <w:t>varastointiliiketoimintaansa taksonomiakelpoisena taloudellisena toimintona. Wärtsilän energian</w:t>
            </w:r>
            <w:r w:rsidR="00350728">
              <w:rPr>
                <w:rFonts w:ascii="Arial" w:eastAsia="Calibri" w:hAnsi="Arial" w:cs="Arial"/>
                <w:color w:val="111111"/>
                <w:sz w:val="15"/>
                <w:szCs w:val="15"/>
                <w:lang w:val="fi-FI"/>
              </w:rPr>
              <w:t xml:space="preserve"> </w:t>
            </w:r>
            <w:r w:rsidRPr="00FC182F">
              <w:rPr>
                <w:rFonts w:ascii="Arial" w:eastAsia="Calibri" w:hAnsi="Arial" w:cs="Arial"/>
                <w:color w:val="111111"/>
                <w:sz w:val="15"/>
                <w:szCs w:val="15"/>
                <w:lang w:val="fi-FI"/>
              </w:rPr>
              <w:t xml:space="preserve">varastointiratkaisut ja </w:t>
            </w:r>
            <w:r>
              <w:rPr>
                <w:rFonts w:ascii="Arial" w:eastAsia="Calibri" w:hAnsi="Arial" w:cs="Arial"/>
                <w:color w:val="111111"/>
                <w:sz w:val="15"/>
                <w:szCs w:val="15"/>
                <w:lang w:val="fi-FI"/>
              </w:rPr>
              <w:t>energian</w:t>
            </w:r>
            <w:r w:rsidR="00350728">
              <w:rPr>
                <w:rFonts w:ascii="Arial" w:eastAsia="Calibri" w:hAnsi="Arial" w:cs="Arial"/>
                <w:color w:val="111111"/>
                <w:sz w:val="15"/>
                <w:szCs w:val="15"/>
                <w:lang w:val="fi-FI"/>
              </w:rPr>
              <w:t xml:space="preserve"> </w:t>
            </w:r>
            <w:r w:rsidRPr="00FC182F">
              <w:rPr>
                <w:rFonts w:ascii="Arial" w:eastAsia="Calibri" w:hAnsi="Arial" w:cs="Arial"/>
                <w:color w:val="111111"/>
                <w:sz w:val="15"/>
                <w:szCs w:val="15"/>
                <w:lang w:val="fi-FI"/>
              </w:rPr>
              <w:t>hallintajärjestelmä</w:t>
            </w:r>
            <w:r>
              <w:rPr>
                <w:rFonts w:ascii="Arial" w:eastAsia="Calibri" w:hAnsi="Arial" w:cs="Arial"/>
                <w:color w:val="111111"/>
                <w:sz w:val="15"/>
                <w:szCs w:val="15"/>
                <w:lang w:val="fi-FI"/>
              </w:rPr>
              <w:t>t</w:t>
            </w:r>
            <w:r w:rsidRPr="00FC182F">
              <w:rPr>
                <w:rFonts w:ascii="Arial" w:eastAsia="Calibri" w:hAnsi="Arial" w:cs="Arial"/>
                <w:color w:val="111111"/>
                <w:sz w:val="15"/>
                <w:szCs w:val="15"/>
                <w:lang w:val="fi-FI"/>
              </w:rPr>
              <w:t xml:space="preserve"> mahdollistavat uusiutuvan sähkön tehokkaan varastoinnin. Wärtsilän biokaasuratkaisuja pidetään taksonomiakelpoisina muiden vähähiilisten teknologioiden valmistu</w:t>
            </w:r>
            <w:r>
              <w:rPr>
                <w:rFonts w:ascii="Arial" w:eastAsia="Calibri" w:hAnsi="Arial" w:cs="Arial"/>
                <w:color w:val="111111"/>
                <w:sz w:val="15"/>
                <w:szCs w:val="15"/>
                <w:lang w:val="fi-FI"/>
              </w:rPr>
              <w:t>sta koskevan</w:t>
            </w:r>
            <w:r w:rsidRPr="00FC182F">
              <w:rPr>
                <w:rFonts w:ascii="Arial" w:eastAsia="Calibri" w:hAnsi="Arial" w:cs="Arial"/>
                <w:color w:val="111111"/>
                <w:sz w:val="15"/>
                <w:szCs w:val="15"/>
                <w:lang w:val="fi-FI"/>
              </w:rPr>
              <w:t xml:space="preserve"> </w:t>
            </w:r>
            <w:r>
              <w:rPr>
                <w:rFonts w:ascii="Arial" w:eastAsia="Calibri" w:hAnsi="Arial" w:cs="Arial"/>
                <w:color w:val="111111"/>
                <w:sz w:val="15"/>
                <w:szCs w:val="15"/>
                <w:lang w:val="fi-FI"/>
              </w:rPr>
              <w:t xml:space="preserve">kategorian </w:t>
            </w:r>
            <w:r w:rsidRPr="00FC182F">
              <w:rPr>
                <w:rFonts w:ascii="Arial" w:eastAsia="Calibri" w:hAnsi="Arial" w:cs="Arial"/>
                <w:color w:val="111111"/>
                <w:sz w:val="15"/>
                <w:szCs w:val="15"/>
                <w:lang w:val="fi-FI"/>
              </w:rPr>
              <w:t>kautta.</w:t>
            </w:r>
            <w:r>
              <w:rPr>
                <w:rFonts w:ascii="Arial" w:eastAsia="Calibri" w:hAnsi="Arial" w:cs="Arial"/>
                <w:color w:val="111111"/>
                <w:sz w:val="15"/>
                <w:szCs w:val="15"/>
                <w:lang w:val="fi-FI"/>
              </w:rPr>
              <w:t xml:space="preserve"> Digitaalis</w:t>
            </w:r>
            <w:r>
              <w:rPr>
                <w:rFonts w:ascii="Arial" w:eastAsia="Calibri" w:hAnsi="Arial" w:cs="Arial"/>
                <w:color w:val="111111"/>
                <w:sz w:val="15"/>
                <w:szCs w:val="15"/>
                <w:lang w:val="fi-FI"/>
              </w:rPr>
              <w:t>ia laivaliikenteen optimointi</w:t>
            </w:r>
            <w:r w:rsidRPr="00FC182F">
              <w:rPr>
                <w:rFonts w:ascii="Arial" w:eastAsia="Calibri" w:hAnsi="Arial" w:cs="Arial"/>
                <w:color w:val="111111"/>
                <w:sz w:val="15"/>
                <w:szCs w:val="15"/>
                <w:lang w:val="fi-FI"/>
              </w:rPr>
              <w:t>ratkaisu</w:t>
            </w:r>
            <w:r>
              <w:rPr>
                <w:rFonts w:ascii="Arial" w:eastAsia="Calibri" w:hAnsi="Arial" w:cs="Arial"/>
                <w:color w:val="111111"/>
                <w:sz w:val="15"/>
                <w:szCs w:val="15"/>
                <w:lang w:val="fi-FI"/>
              </w:rPr>
              <w:t>ja</w:t>
            </w:r>
            <w:r w:rsidRPr="00FC182F">
              <w:rPr>
                <w:rFonts w:ascii="Arial" w:eastAsia="Calibri" w:hAnsi="Arial" w:cs="Arial"/>
                <w:color w:val="111111"/>
                <w:sz w:val="15"/>
                <w:szCs w:val="15"/>
                <w:lang w:val="fi-FI"/>
              </w:rPr>
              <w:t xml:space="preserve"> pidetään taksonomiakelpoisina  kasvihuonekaasupäästöj</w:t>
            </w:r>
            <w:r>
              <w:rPr>
                <w:rFonts w:ascii="Arial" w:eastAsia="Calibri" w:hAnsi="Arial" w:cs="Arial"/>
                <w:color w:val="111111"/>
                <w:sz w:val="15"/>
                <w:szCs w:val="15"/>
                <w:lang w:val="fi-FI"/>
              </w:rPr>
              <w:t>ä</w:t>
            </w:r>
            <w:r w:rsidRPr="00FC182F">
              <w:rPr>
                <w:rFonts w:ascii="Arial" w:eastAsia="Calibri" w:hAnsi="Arial" w:cs="Arial"/>
                <w:color w:val="111111"/>
                <w:sz w:val="15"/>
                <w:szCs w:val="15"/>
                <w:lang w:val="fi-FI"/>
              </w:rPr>
              <w:t xml:space="preserve"> vähentä</w:t>
            </w:r>
            <w:r>
              <w:rPr>
                <w:rFonts w:ascii="Arial" w:eastAsia="Calibri" w:hAnsi="Arial" w:cs="Arial"/>
                <w:color w:val="111111"/>
                <w:sz w:val="15"/>
                <w:szCs w:val="15"/>
                <w:lang w:val="fi-FI"/>
              </w:rPr>
              <w:t>viä</w:t>
            </w:r>
            <w:r w:rsidRPr="00FC182F">
              <w:rPr>
                <w:rFonts w:ascii="Arial" w:eastAsia="Calibri" w:hAnsi="Arial" w:cs="Arial"/>
                <w:color w:val="111111"/>
                <w:sz w:val="15"/>
                <w:szCs w:val="15"/>
                <w:lang w:val="fi-FI"/>
              </w:rPr>
              <w:t xml:space="preserve"> datavetois</w:t>
            </w:r>
            <w:r>
              <w:rPr>
                <w:rFonts w:ascii="Arial" w:eastAsia="Calibri" w:hAnsi="Arial" w:cs="Arial"/>
                <w:color w:val="111111"/>
                <w:sz w:val="15"/>
                <w:szCs w:val="15"/>
                <w:lang w:val="fi-FI"/>
              </w:rPr>
              <w:t>i</w:t>
            </w:r>
            <w:r w:rsidRPr="00FC182F">
              <w:rPr>
                <w:rFonts w:ascii="Arial" w:eastAsia="Calibri" w:hAnsi="Arial" w:cs="Arial"/>
                <w:color w:val="111111"/>
                <w:sz w:val="15"/>
                <w:szCs w:val="15"/>
                <w:lang w:val="fi-FI"/>
              </w:rPr>
              <w:t>a ratkaisu</w:t>
            </w:r>
            <w:r>
              <w:rPr>
                <w:rFonts w:ascii="Arial" w:eastAsia="Calibri" w:hAnsi="Arial" w:cs="Arial"/>
                <w:color w:val="111111"/>
                <w:sz w:val="15"/>
                <w:szCs w:val="15"/>
                <w:lang w:val="fi-FI"/>
              </w:rPr>
              <w:t>j</w:t>
            </w:r>
            <w:r w:rsidRPr="00FC182F">
              <w:rPr>
                <w:rFonts w:ascii="Arial" w:eastAsia="Calibri" w:hAnsi="Arial" w:cs="Arial"/>
                <w:color w:val="111111"/>
                <w:sz w:val="15"/>
                <w:szCs w:val="15"/>
                <w:lang w:val="fi-FI"/>
              </w:rPr>
              <w:t xml:space="preserve">a </w:t>
            </w:r>
            <w:r>
              <w:rPr>
                <w:rFonts w:ascii="Arial" w:eastAsia="Calibri" w:hAnsi="Arial" w:cs="Arial"/>
                <w:color w:val="111111"/>
                <w:sz w:val="15"/>
                <w:szCs w:val="15"/>
                <w:lang w:val="fi-FI"/>
              </w:rPr>
              <w:t>koskevan kategorian kautta</w:t>
            </w:r>
            <w:r w:rsidRPr="00FC182F">
              <w:rPr>
                <w:rFonts w:ascii="Arial" w:eastAsia="Calibri" w:hAnsi="Arial" w:cs="Arial"/>
                <w:color w:val="111111"/>
                <w:sz w:val="15"/>
                <w:szCs w:val="15"/>
                <w:lang w:val="fi-FI"/>
              </w:rPr>
              <w:t>. Wärtsilä ei pitänyt monipolttoainemoottoriratkaisuja taksonomiakelpoisina tässä vaiheessa.</w:t>
            </w:r>
          </w:p>
        </w:tc>
      </w:tr>
      <w:tr w:rsidTr="00A84C66">
        <w:tblPrEx>
          <w:tblW w:w="10052" w:type="dxa"/>
          <w:tblLook w:val="04A0"/>
        </w:tblPrEx>
        <w:trPr>
          <w:trHeight w:val="1272"/>
        </w:trPr>
        <w:tc>
          <w:tcPr>
            <w:tcW w:w="1277" w:type="dxa"/>
            <w:tcBorders>
              <w:top w:val="single" w:sz="4" w:space="0" w:color="004B6B"/>
              <w:left w:val="nil"/>
              <w:bottom w:val="single" w:sz="4" w:space="0" w:color="004B6B"/>
              <w:right w:val="nil"/>
            </w:tcBorders>
            <w:shd w:val="clear" w:color="auto" w:fill="FFFFFF"/>
            <w:noWrap/>
            <w:hideMark/>
          </w:tcPr>
          <w:p w:rsidR="00A84C66" w:rsidRPr="006E5129" w:rsidP="00A84C66">
            <w:pPr>
              <w:spacing w:before="240" w:line="254" w:lineRule="auto"/>
              <w:rPr>
                <w:rFonts w:ascii="Arial" w:eastAsia="Calibri" w:hAnsi="Arial" w:cs="Arial"/>
                <w:b/>
                <w:bCs/>
                <w:color w:val="111111"/>
                <w:sz w:val="15"/>
                <w:szCs w:val="15"/>
                <w:lang w:val="fi-FI"/>
              </w:rPr>
            </w:pPr>
            <w:r>
              <w:rPr>
                <w:rFonts w:ascii="Arial" w:eastAsia="Calibri" w:hAnsi="Arial" w:cs="Arial"/>
                <w:b/>
                <w:bCs/>
                <w:color w:val="111111"/>
                <w:sz w:val="15"/>
                <w:szCs w:val="15"/>
                <w:lang w:val="fi-FI"/>
              </w:rPr>
              <w:t>Invest</w:t>
            </w:r>
            <w:r>
              <w:rPr>
                <w:rFonts w:ascii="Arial" w:eastAsia="Calibri" w:hAnsi="Arial" w:cs="Arial"/>
                <w:b/>
                <w:bCs/>
                <w:color w:val="111111"/>
                <w:sz w:val="15"/>
                <w:szCs w:val="15"/>
                <w:lang w:val="fi-FI"/>
              </w:rPr>
              <w:t>oinnit</w:t>
            </w:r>
          </w:p>
        </w:tc>
        <w:tc>
          <w:tcPr>
            <w:tcW w:w="3673" w:type="dxa"/>
            <w:tcBorders>
              <w:top w:val="single" w:sz="4" w:space="0" w:color="004B6B"/>
              <w:left w:val="nil"/>
              <w:bottom w:val="single" w:sz="4" w:space="0" w:color="004B6B"/>
              <w:right w:val="nil"/>
            </w:tcBorders>
            <w:shd w:val="clear" w:color="auto" w:fill="FFFFFF"/>
            <w:noWrap/>
            <w:hideMark/>
          </w:tcPr>
          <w:p w:rsidR="00A84C66" w:rsidRPr="003D1D6A" w:rsidP="00A84C66">
            <w:pPr>
              <w:spacing w:before="240" w:line="254" w:lineRule="auto"/>
              <w:rPr>
                <w:rFonts w:ascii="Arial" w:eastAsia="Calibri" w:hAnsi="Arial" w:cs="Arial"/>
                <w:color w:val="111111"/>
                <w:sz w:val="15"/>
                <w:szCs w:val="15"/>
                <w:lang w:val="fi-FI"/>
              </w:rPr>
            </w:pPr>
            <w:r w:rsidRPr="006E5129">
              <w:rPr>
                <w:rFonts w:ascii="Arial" w:eastAsia="Calibri" w:hAnsi="Arial" w:cs="Arial"/>
                <w:color w:val="111111"/>
                <w:sz w:val="15"/>
                <w:szCs w:val="15"/>
                <w:lang w:val="fi-FI"/>
              </w:rPr>
              <w:t xml:space="preserve">• </w:t>
            </w:r>
            <w:r w:rsidRPr="003D1D6A">
              <w:rPr>
                <w:rFonts w:ascii="Arial" w:eastAsia="Calibri" w:hAnsi="Arial" w:cs="Arial"/>
                <w:color w:val="111111"/>
                <w:sz w:val="15"/>
                <w:szCs w:val="15"/>
                <w:lang w:val="fi-FI"/>
              </w:rPr>
              <w:t>Uudet rakennukset (vuokra)</w:t>
            </w:r>
          </w:p>
          <w:p w:rsidR="00A84C66" w:rsidRPr="003D1D6A" w:rsidP="00A84C66">
            <w:pPr>
              <w:spacing w:before="240" w:line="254" w:lineRule="auto"/>
              <w:rPr>
                <w:rFonts w:ascii="Arial" w:eastAsia="Calibri" w:hAnsi="Arial" w:cs="Arial"/>
                <w:color w:val="111111"/>
                <w:sz w:val="15"/>
                <w:szCs w:val="15"/>
                <w:lang w:val="fi-FI"/>
              </w:rPr>
            </w:pPr>
            <w:r w:rsidRPr="003D1D6A">
              <w:rPr>
                <w:rFonts w:ascii="Arial" w:eastAsia="Calibri" w:hAnsi="Arial" w:cs="Arial"/>
                <w:color w:val="111111"/>
                <w:sz w:val="15"/>
                <w:szCs w:val="15"/>
                <w:lang w:val="fi-FI"/>
              </w:rPr>
              <w:t>•</w:t>
            </w:r>
            <w:r>
              <w:rPr>
                <w:rFonts w:ascii="Arial" w:eastAsia="Calibri" w:hAnsi="Arial" w:cs="Arial"/>
                <w:color w:val="111111"/>
                <w:sz w:val="15"/>
                <w:szCs w:val="15"/>
                <w:lang w:val="fi-FI"/>
              </w:rPr>
              <w:t xml:space="preserve"> </w:t>
            </w:r>
            <w:r w:rsidRPr="003D1D6A">
              <w:rPr>
                <w:rFonts w:ascii="Arial" w:eastAsia="Calibri" w:hAnsi="Arial" w:cs="Arial"/>
                <w:color w:val="111111"/>
                <w:sz w:val="15"/>
                <w:szCs w:val="15"/>
                <w:lang w:val="fi-FI"/>
              </w:rPr>
              <w:t>Henkilöautot ja kevyet hyötyajoneuvot</w:t>
            </w:r>
          </w:p>
          <w:p w:rsidR="00A84C66" w:rsidRPr="006E5129" w:rsidP="00A84C66">
            <w:pPr>
              <w:spacing w:before="240" w:line="254" w:lineRule="auto"/>
              <w:rPr>
                <w:rFonts w:ascii="Arial" w:eastAsia="Calibri" w:hAnsi="Arial" w:cs="Arial"/>
                <w:color w:val="111111"/>
                <w:sz w:val="15"/>
                <w:szCs w:val="15"/>
                <w:lang w:val="fi-FI"/>
              </w:rPr>
            </w:pPr>
            <w:r w:rsidRPr="003D1D6A">
              <w:rPr>
                <w:rFonts w:ascii="Arial" w:eastAsia="Calibri" w:hAnsi="Arial" w:cs="Arial"/>
                <w:color w:val="111111"/>
                <w:sz w:val="15"/>
                <w:szCs w:val="15"/>
                <w:lang w:val="fi-FI"/>
              </w:rPr>
              <w:t>•</w:t>
            </w:r>
            <w:r>
              <w:rPr>
                <w:rFonts w:ascii="Arial" w:eastAsia="Calibri" w:hAnsi="Arial" w:cs="Arial"/>
                <w:color w:val="111111"/>
                <w:sz w:val="15"/>
                <w:szCs w:val="15"/>
                <w:lang w:val="fi-FI"/>
              </w:rPr>
              <w:t xml:space="preserve"> </w:t>
            </w:r>
            <w:r w:rsidR="00672B4E">
              <w:rPr>
                <w:rFonts w:ascii="Arial" w:eastAsia="Calibri" w:hAnsi="Arial" w:cs="Arial"/>
                <w:color w:val="111111"/>
                <w:sz w:val="15"/>
                <w:szCs w:val="15"/>
                <w:lang w:val="fi-FI"/>
              </w:rPr>
              <w:t>Laivaliikenteen</w:t>
            </w:r>
            <w:r w:rsidRPr="003D1D6A">
              <w:rPr>
                <w:rFonts w:ascii="Arial" w:eastAsia="Calibri" w:hAnsi="Arial" w:cs="Arial"/>
                <w:color w:val="111111"/>
                <w:sz w:val="15"/>
                <w:szCs w:val="15"/>
                <w:lang w:val="fi-FI"/>
              </w:rPr>
              <w:t xml:space="preserve"> optimointiin liittyvät aktivoidut tutkimus- ja kehitysmenot</w:t>
            </w:r>
          </w:p>
          <w:p w:rsidR="00A84C66" w:rsidRPr="006E5129" w:rsidP="00A84C66">
            <w:pPr>
              <w:spacing w:before="240" w:line="254" w:lineRule="auto"/>
              <w:rPr>
                <w:rFonts w:ascii="Arial" w:eastAsia="Calibri" w:hAnsi="Arial" w:cs="Arial"/>
                <w:color w:val="111111"/>
                <w:sz w:val="15"/>
                <w:szCs w:val="15"/>
                <w:lang w:val="fi-FI"/>
              </w:rPr>
            </w:pPr>
          </w:p>
        </w:tc>
        <w:tc>
          <w:tcPr>
            <w:tcW w:w="5102" w:type="dxa"/>
            <w:tcBorders>
              <w:top w:val="single" w:sz="4" w:space="0" w:color="004B6B"/>
              <w:left w:val="nil"/>
              <w:bottom w:val="single" w:sz="4" w:space="0" w:color="004B6B"/>
              <w:right w:val="nil"/>
            </w:tcBorders>
            <w:shd w:val="clear" w:color="auto" w:fill="FFFFFF"/>
            <w:noWrap/>
            <w:hideMark/>
          </w:tcPr>
          <w:p w:rsidR="00A84C66" w:rsidRPr="006E5129" w:rsidP="00A84C66">
            <w:pPr>
              <w:spacing w:before="240" w:line="254" w:lineRule="auto"/>
              <w:rPr>
                <w:rFonts w:ascii="Arial" w:eastAsia="Calibri" w:hAnsi="Arial" w:cs="Arial"/>
                <w:color w:val="111111"/>
                <w:sz w:val="15"/>
                <w:szCs w:val="15"/>
                <w:lang w:val="fi-FI"/>
              </w:rPr>
            </w:pPr>
            <w:r w:rsidRPr="003D1D6A">
              <w:rPr>
                <w:rFonts w:ascii="Arial" w:eastAsia="Calibri" w:hAnsi="Arial" w:cs="Arial"/>
                <w:color w:val="111111"/>
                <w:sz w:val="15"/>
                <w:szCs w:val="15"/>
                <w:lang w:val="fi-FI"/>
              </w:rPr>
              <w:t xml:space="preserve">Kaikki uusiin rakennuksiin tai uusiin ajoneuvoihin liittyvät </w:t>
            </w:r>
            <w:r w:rsidR="00350728">
              <w:rPr>
                <w:rFonts w:ascii="Arial" w:eastAsia="Calibri" w:hAnsi="Arial" w:cs="Arial"/>
                <w:color w:val="111111"/>
                <w:sz w:val="15"/>
                <w:szCs w:val="15"/>
                <w:lang w:val="fi-FI"/>
              </w:rPr>
              <w:t>investoinnit</w:t>
            </w:r>
            <w:r w:rsidRPr="003D1D6A">
              <w:rPr>
                <w:rFonts w:ascii="Arial" w:eastAsia="Calibri" w:hAnsi="Arial" w:cs="Arial"/>
                <w:color w:val="111111"/>
                <w:sz w:val="15"/>
                <w:szCs w:val="15"/>
                <w:lang w:val="fi-FI"/>
              </w:rPr>
              <w:t xml:space="preserve"> ovat taksonomiakelpoisia. Aktivoitujen tutkimus- ja kehitysmenojen suhteen taksonomiakelpoisuus noudattaa samaa logiikkaa kuin </w:t>
            </w:r>
            <w:r>
              <w:rPr>
                <w:rFonts w:ascii="Arial" w:eastAsia="Calibri" w:hAnsi="Arial" w:cs="Arial"/>
                <w:color w:val="111111"/>
                <w:sz w:val="15"/>
                <w:szCs w:val="15"/>
                <w:lang w:val="fi-FI"/>
              </w:rPr>
              <w:t xml:space="preserve">liikevaihdon </w:t>
            </w:r>
            <w:r w:rsidRPr="003D1D6A">
              <w:rPr>
                <w:rFonts w:ascii="Arial" w:eastAsia="Calibri" w:hAnsi="Arial" w:cs="Arial"/>
                <w:color w:val="111111"/>
                <w:sz w:val="15"/>
                <w:szCs w:val="15"/>
                <w:lang w:val="fi-FI"/>
              </w:rPr>
              <w:t>kohdalla. Taksonomiakelpoiseen valmistukse</w:t>
            </w:r>
            <w:r w:rsidRPr="003D1D6A">
              <w:rPr>
                <w:rFonts w:ascii="Arial" w:eastAsia="Calibri" w:hAnsi="Arial" w:cs="Arial"/>
                <w:color w:val="111111"/>
                <w:sz w:val="15"/>
                <w:szCs w:val="15"/>
                <w:lang w:val="fi-FI"/>
              </w:rPr>
              <w:t xml:space="preserve">en liittyviä </w:t>
            </w:r>
            <w:r w:rsidR="00350728">
              <w:rPr>
                <w:rFonts w:ascii="Arial" w:eastAsia="Calibri" w:hAnsi="Arial" w:cs="Arial"/>
                <w:color w:val="111111"/>
                <w:sz w:val="15"/>
                <w:szCs w:val="15"/>
                <w:lang w:val="fi-FI"/>
              </w:rPr>
              <w:t>investointeja</w:t>
            </w:r>
            <w:r w:rsidRPr="003D1D6A">
              <w:rPr>
                <w:rFonts w:ascii="Arial" w:eastAsia="Calibri" w:hAnsi="Arial" w:cs="Arial"/>
                <w:color w:val="111111"/>
                <w:sz w:val="15"/>
                <w:szCs w:val="15"/>
                <w:lang w:val="fi-FI"/>
              </w:rPr>
              <w:t xml:space="preserve"> ei tunnistettu.</w:t>
            </w:r>
          </w:p>
        </w:tc>
      </w:tr>
      <w:tr w:rsidTr="00A84C66">
        <w:tblPrEx>
          <w:tblW w:w="10052" w:type="dxa"/>
          <w:tblLook w:val="04A0"/>
        </w:tblPrEx>
        <w:trPr>
          <w:trHeight w:val="1547"/>
        </w:trPr>
        <w:tc>
          <w:tcPr>
            <w:tcW w:w="1277" w:type="dxa"/>
            <w:tcBorders>
              <w:top w:val="single" w:sz="4" w:space="0" w:color="004B6B"/>
              <w:left w:val="nil"/>
              <w:bottom w:val="single" w:sz="4" w:space="0" w:color="004B6B"/>
              <w:right w:val="nil"/>
            </w:tcBorders>
            <w:shd w:val="clear" w:color="auto" w:fill="FFFFFF"/>
            <w:noWrap/>
            <w:hideMark/>
          </w:tcPr>
          <w:p w:rsidR="00A84C66" w:rsidRPr="006E5129" w:rsidP="00A84C66">
            <w:pPr>
              <w:spacing w:before="240" w:line="254" w:lineRule="auto"/>
              <w:rPr>
                <w:rFonts w:ascii="Arial" w:eastAsia="Calibri" w:hAnsi="Arial" w:cs="Arial"/>
                <w:b/>
                <w:bCs/>
                <w:color w:val="111111"/>
                <w:sz w:val="15"/>
                <w:szCs w:val="15"/>
                <w:lang w:val="fi-FI"/>
              </w:rPr>
            </w:pPr>
            <w:r>
              <w:rPr>
                <w:rFonts w:ascii="Arial" w:eastAsia="Calibri" w:hAnsi="Arial" w:cs="Arial"/>
                <w:b/>
                <w:bCs/>
                <w:color w:val="111111"/>
                <w:sz w:val="15"/>
                <w:szCs w:val="15"/>
                <w:lang w:val="fi-FI"/>
              </w:rPr>
              <w:t>Operatiiviset kulut</w:t>
            </w:r>
          </w:p>
        </w:tc>
        <w:tc>
          <w:tcPr>
            <w:tcW w:w="3673" w:type="dxa"/>
            <w:tcBorders>
              <w:top w:val="single" w:sz="4" w:space="0" w:color="004B6B"/>
              <w:left w:val="nil"/>
              <w:bottom w:val="single" w:sz="4" w:space="0" w:color="004B6B"/>
              <w:right w:val="nil"/>
            </w:tcBorders>
            <w:shd w:val="clear" w:color="auto" w:fill="FFFFFF"/>
            <w:noWrap/>
            <w:hideMark/>
          </w:tcPr>
          <w:p w:rsidR="00A84C66" w:rsidRPr="003D1D6A" w:rsidP="00A84C66">
            <w:pPr>
              <w:spacing w:before="240" w:line="254" w:lineRule="auto"/>
              <w:rPr>
                <w:rFonts w:ascii="Arial" w:eastAsia="Calibri" w:hAnsi="Arial" w:cs="Arial"/>
                <w:color w:val="111111"/>
                <w:sz w:val="15"/>
                <w:szCs w:val="15"/>
                <w:lang w:val="fi-FI"/>
              </w:rPr>
            </w:pPr>
            <w:r w:rsidRPr="006E5129">
              <w:rPr>
                <w:rFonts w:ascii="Arial" w:eastAsia="Calibri" w:hAnsi="Arial" w:cs="Arial"/>
                <w:color w:val="111111"/>
                <w:sz w:val="15"/>
                <w:szCs w:val="15"/>
                <w:lang w:val="fi-FI"/>
              </w:rPr>
              <w:t xml:space="preserve">• </w:t>
            </w:r>
            <w:r w:rsidRPr="003D1D6A">
              <w:rPr>
                <w:rFonts w:ascii="Arial" w:eastAsia="Calibri" w:hAnsi="Arial" w:cs="Arial"/>
                <w:color w:val="111111"/>
                <w:sz w:val="15"/>
                <w:szCs w:val="15"/>
                <w:lang w:val="fi-FI"/>
              </w:rPr>
              <w:t>Tulevaisuuden polttoaineisiin liittyvät aktivoimattomat tutkimus- ja kehitysmenot</w:t>
            </w:r>
          </w:p>
          <w:p w:rsidR="00A84C66" w:rsidRPr="006E5129" w:rsidP="00A84C66">
            <w:pPr>
              <w:spacing w:before="240" w:line="254" w:lineRule="auto"/>
              <w:rPr>
                <w:rFonts w:ascii="Arial" w:eastAsia="Calibri" w:hAnsi="Arial" w:cs="Arial"/>
                <w:color w:val="111111"/>
                <w:sz w:val="15"/>
                <w:szCs w:val="15"/>
                <w:lang w:val="fi-FI"/>
              </w:rPr>
            </w:pPr>
            <w:r w:rsidRPr="003D1D6A">
              <w:rPr>
                <w:rFonts w:ascii="Arial" w:eastAsia="Calibri" w:hAnsi="Arial" w:cs="Arial"/>
                <w:color w:val="111111"/>
                <w:sz w:val="15"/>
                <w:szCs w:val="15"/>
                <w:lang w:val="fi-FI"/>
              </w:rPr>
              <w:t>•</w:t>
            </w:r>
            <w:r>
              <w:rPr>
                <w:rFonts w:ascii="Arial" w:eastAsia="Calibri" w:hAnsi="Arial" w:cs="Arial"/>
                <w:color w:val="111111"/>
                <w:sz w:val="15"/>
                <w:szCs w:val="15"/>
                <w:lang w:val="fi-FI"/>
              </w:rPr>
              <w:t xml:space="preserve"> </w:t>
            </w:r>
            <w:r w:rsidRPr="003D1D6A">
              <w:rPr>
                <w:rFonts w:ascii="Arial" w:eastAsia="Calibri" w:hAnsi="Arial" w:cs="Arial"/>
                <w:color w:val="111111"/>
                <w:sz w:val="15"/>
                <w:szCs w:val="15"/>
                <w:lang w:val="fi-FI"/>
              </w:rPr>
              <w:t>Dataratkaisuihin liittyvät aktivoimattomat tutkimus- ja kehitysmenot</w:t>
            </w:r>
          </w:p>
          <w:p w:rsidR="00A84C66" w:rsidRPr="006E5129" w:rsidP="00A84C66">
            <w:pPr>
              <w:spacing w:before="240" w:line="254" w:lineRule="auto"/>
              <w:rPr>
                <w:rFonts w:ascii="Arial" w:eastAsia="Calibri" w:hAnsi="Arial" w:cs="Arial"/>
                <w:color w:val="111111"/>
                <w:sz w:val="15"/>
                <w:szCs w:val="15"/>
                <w:lang w:val="fi-FI"/>
              </w:rPr>
            </w:pPr>
          </w:p>
        </w:tc>
        <w:tc>
          <w:tcPr>
            <w:tcW w:w="5102" w:type="dxa"/>
            <w:tcBorders>
              <w:top w:val="single" w:sz="4" w:space="0" w:color="004B6B"/>
              <w:left w:val="nil"/>
              <w:bottom w:val="single" w:sz="4" w:space="0" w:color="004B6B"/>
              <w:right w:val="nil"/>
            </w:tcBorders>
            <w:shd w:val="clear" w:color="auto" w:fill="FFFFFF"/>
            <w:noWrap/>
            <w:hideMark/>
          </w:tcPr>
          <w:p w:rsidR="00A84C66" w:rsidRPr="006E5129" w:rsidP="00A84C66">
            <w:pPr>
              <w:spacing w:before="240" w:line="254" w:lineRule="auto"/>
              <w:rPr>
                <w:rFonts w:ascii="Arial" w:eastAsia="Calibri" w:hAnsi="Arial" w:cs="Arial"/>
                <w:color w:val="111111"/>
                <w:sz w:val="15"/>
                <w:szCs w:val="15"/>
                <w:lang w:val="fi-FI"/>
              </w:rPr>
            </w:pPr>
            <w:r w:rsidRPr="003D1D6A">
              <w:rPr>
                <w:rFonts w:ascii="Arial" w:eastAsia="Calibri" w:hAnsi="Arial" w:cs="Arial"/>
                <w:color w:val="111111"/>
                <w:sz w:val="15"/>
                <w:szCs w:val="15"/>
                <w:lang w:val="fi-FI"/>
              </w:rPr>
              <w:t xml:space="preserve">Aktivoimattomien tutkimus- ja kehitysmenojen suhteen taksonomiakelpoisuus noudattaa samaa logiikkaa kuin </w:t>
            </w:r>
            <w:r>
              <w:rPr>
                <w:rFonts w:ascii="Arial" w:eastAsia="Calibri" w:hAnsi="Arial" w:cs="Arial"/>
                <w:color w:val="111111"/>
                <w:sz w:val="15"/>
                <w:szCs w:val="15"/>
                <w:lang w:val="fi-FI"/>
              </w:rPr>
              <w:t>liikevaihdon</w:t>
            </w:r>
            <w:r w:rsidRPr="003D1D6A">
              <w:rPr>
                <w:rFonts w:ascii="Arial" w:eastAsia="Calibri" w:hAnsi="Arial" w:cs="Arial"/>
                <w:color w:val="111111"/>
                <w:sz w:val="15"/>
                <w:szCs w:val="15"/>
                <w:lang w:val="fi-FI"/>
              </w:rPr>
              <w:t xml:space="preserve"> kohdalla. </w:t>
            </w:r>
            <w:r>
              <w:rPr>
                <w:rFonts w:ascii="Arial" w:eastAsia="Calibri" w:hAnsi="Arial" w:cs="Arial"/>
                <w:color w:val="111111"/>
                <w:sz w:val="15"/>
                <w:szCs w:val="15"/>
                <w:lang w:val="fi-FI"/>
              </w:rPr>
              <w:t>Sellaisiin a</w:t>
            </w:r>
            <w:r w:rsidRPr="003D1D6A">
              <w:rPr>
                <w:rFonts w:ascii="Arial" w:eastAsia="Calibri" w:hAnsi="Arial" w:cs="Arial"/>
                <w:color w:val="111111"/>
                <w:sz w:val="15"/>
                <w:szCs w:val="15"/>
                <w:lang w:val="fi-FI"/>
              </w:rPr>
              <w:t>ktivoimattomiin tutkimus- ja kehitysmenoihin</w:t>
            </w:r>
            <w:r>
              <w:rPr>
                <w:rFonts w:ascii="Arial" w:eastAsia="Calibri" w:hAnsi="Arial" w:cs="Arial"/>
                <w:color w:val="111111"/>
                <w:sz w:val="15"/>
                <w:szCs w:val="15"/>
                <w:lang w:val="fi-FI"/>
              </w:rPr>
              <w:t>, jotka koskevat m</w:t>
            </w:r>
            <w:r w:rsidRPr="003D1D6A">
              <w:rPr>
                <w:rFonts w:ascii="Arial" w:eastAsia="Calibri" w:hAnsi="Arial" w:cs="Arial"/>
                <w:color w:val="111111"/>
                <w:sz w:val="15"/>
                <w:szCs w:val="15"/>
                <w:lang w:val="fi-FI"/>
              </w:rPr>
              <w:t xml:space="preserve">oottoreidemme kykyä käyttää tulevaisuuden vihreitä ja </w:t>
            </w:r>
            <w:r w:rsidRPr="003D1D6A">
              <w:rPr>
                <w:rFonts w:ascii="Arial" w:eastAsia="Calibri" w:hAnsi="Arial" w:cs="Arial"/>
                <w:color w:val="111111"/>
                <w:sz w:val="15"/>
                <w:szCs w:val="15"/>
                <w:lang w:val="fi-FI"/>
              </w:rPr>
              <w:t>hiilettömiä polttoaineita</w:t>
            </w:r>
            <w:r>
              <w:rPr>
                <w:rFonts w:ascii="Arial" w:eastAsia="Calibri" w:hAnsi="Arial" w:cs="Arial"/>
                <w:color w:val="111111"/>
                <w:sz w:val="15"/>
                <w:szCs w:val="15"/>
                <w:lang w:val="fi-FI"/>
              </w:rPr>
              <w:t>,</w:t>
            </w:r>
            <w:r w:rsidRPr="003D1D6A">
              <w:rPr>
                <w:rFonts w:ascii="Arial" w:eastAsia="Calibri" w:hAnsi="Arial" w:cs="Arial"/>
                <w:color w:val="111111"/>
                <w:sz w:val="15"/>
                <w:szCs w:val="15"/>
                <w:lang w:val="fi-FI"/>
              </w:rPr>
              <w:t xml:space="preserve"> liittyviä </w:t>
            </w:r>
            <w:r w:rsidR="00350728">
              <w:rPr>
                <w:rFonts w:ascii="Arial" w:eastAsia="Calibri" w:hAnsi="Arial" w:cs="Arial"/>
                <w:color w:val="111111"/>
                <w:sz w:val="15"/>
                <w:szCs w:val="15"/>
                <w:lang w:val="fi-FI"/>
              </w:rPr>
              <w:t>operatiivisia kuluja</w:t>
            </w:r>
            <w:r w:rsidRPr="003D1D6A">
              <w:rPr>
                <w:rFonts w:ascii="Arial" w:eastAsia="Calibri" w:hAnsi="Arial" w:cs="Arial"/>
                <w:color w:val="111111"/>
                <w:sz w:val="15"/>
                <w:szCs w:val="15"/>
                <w:lang w:val="fi-FI"/>
              </w:rPr>
              <w:t xml:space="preserve"> pidettiin kuitenkin taksonomiakelpoisina, koska näillä polttoaineilla asiakkaamme voivat tulevaisuudessa tuottaa sähköä uusiutuvista, fossiilittomista kaasu- ja nestepolttoaineista. Taksonomiakelpoi</w:t>
            </w:r>
            <w:r w:rsidRPr="003D1D6A">
              <w:rPr>
                <w:rFonts w:ascii="Arial" w:eastAsia="Calibri" w:hAnsi="Arial" w:cs="Arial"/>
                <w:color w:val="111111"/>
                <w:sz w:val="15"/>
                <w:szCs w:val="15"/>
                <w:lang w:val="fi-FI"/>
              </w:rPr>
              <w:t xml:space="preserve">seen valmistukseen liittyviä </w:t>
            </w:r>
            <w:r w:rsidR="00350728">
              <w:rPr>
                <w:rFonts w:ascii="Arial" w:eastAsia="Calibri" w:hAnsi="Arial" w:cs="Arial"/>
                <w:color w:val="111111"/>
                <w:sz w:val="15"/>
                <w:szCs w:val="15"/>
                <w:lang w:val="fi-FI"/>
              </w:rPr>
              <w:t>operatiivisia kuluja</w:t>
            </w:r>
            <w:r w:rsidRPr="003D1D6A">
              <w:rPr>
                <w:rFonts w:ascii="Arial" w:eastAsia="Calibri" w:hAnsi="Arial" w:cs="Arial"/>
                <w:color w:val="111111"/>
                <w:sz w:val="15"/>
                <w:szCs w:val="15"/>
                <w:lang w:val="fi-FI"/>
              </w:rPr>
              <w:t xml:space="preserve"> ei tunnistettu.</w:t>
            </w:r>
          </w:p>
        </w:tc>
      </w:tr>
    </w:tbl>
    <w:p w:rsidR="00AE38CA" w:rsidRPr="009B17B0" w:rsidP="00AE38CA">
      <w:pPr>
        <w:pStyle w:val="WNormal"/>
        <w:rPr>
          <w:sz w:val="16"/>
          <w:szCs w:val="14"/>
        </w:rPr>
      </w:pPr>
      <w:bookmarkEnd w:id="17"/>
    </w:p>
    <w:p w:rsidR="006E5129" w:rsidP="00AE38CA">
      <w:pPr>
        <w:pStyle w:val="WNormal"/>
        <w:rPr>
          <w:sz w:val="16"/>
        </w:rPr>
      </w:pPr>
    </w:p>
    <w:p w:rsidR="006E5129" w:rsidP="00AE38CA">
      <w:pPr>
        <w:pStyle w:val="WNormal"/>
        <w:rPr>
          <w:sz w:val="16"/>
        </w:rPr>
      </w:pPr>
    </w:p>
    <w:p w:rsidR="003761D9" w:rsidP="00AE38CA">
      <w:pPr>
        <w:pStyle w:val="WNormal"/>
        <w:rPr>
          <w:sz w:val="16"/>
        </w:rPr>
      </w:pPr>
    </w:p>
    <w:p w:rsidR="003761D9" w:rsidP="00AE38CA">
      <w:pPr>
        <w:pStyle w:val="WNormal"/>
        <w:rPr>
          <w:sz w:val="16"/>
        </w:rPr>
      </w:pPr>
    </w:p>
    <w:p w:rsidR="003761D9" w:rsidP="00AE38CA">
      <w:pPr>
        <w:pStyle w:val="WNormal"/>
        <w:rPr>
          <w:sz w:val="16"/>
        </w:rPr>
      </w:pPr>
    </w:p>
    <w:p w:rsidR="00162145" w:rsidP="00AE38CA">
      <w:pPr>
        <w:pStyle w:val="WNormal"/>
        <w:rPr>
          <w:sz w:val="16"/>
        </w:rPr>
      </w:pPr>
    </w:p>
    <w:p w:rsidR="003761D9" w:rsidP="00AE38CA">
      <w:pPr>
        <w:pStyle w:val="WNormal"/>
        <w:rPr>
          <w:sz w:val="16"/>
        </w:rPr>
      </w:pPr>
    </w:p>
    <w:p w:rsidR="00CE5002" w:rsidP="00AE38CA">
      <w:pPr>
        <w:pStyle w:val="WNormal"/>
        <w:rPr>
          <w:sz w:val="16"/>
        </w:rPr>
      </w:pPr>
    </w:p>
    <w:p w:rsidR="006E5129" w:rsidRPr="00AE38CA" w:rsidP="00AE38CA">
      <w:pPr>
        <w:pStyle w:val="WNormal"/>
        <w:rPr>
          <w:sz w:val="16"/>
        </w:rPr>
      </w:pPr>
      <w:r>
        <w:rPr>
          <w:noProof/>
          <w:sz w:val="16"/>
        </w:rPr>
        <mc:AlternateContent>
          <mc:Choice Requires="wps">
            <w:drawing>
              <wp:anchor distT="0" distB="0" distL="114300" distR="114300" simplePos="0" relativeHeight="251663360" behindDoc="0" locked="0" layoutInCell="1" allowOverlap="1">
                <wp:simplePos x="0" y="0"/>
                <wp:positionH relativeFrom="column">
                  <wp:posOffset>92287</wp:posOffset>
                </wp:positionH>
                <wp:positionV relativeFrom="paragraph">
                  <wp:posOffset>16509</wp:posOffset>
                </wp:positionV>
                <wp:extent cx="6536266" cy="3649133"/>
                <wp:effectExtent l="0" t="0" r="0" b="0"/>
                <wp:wrapNone/>
                <wp:docPr id="1806774929" name="Rectangle 1"/>
                <wp:cNvGraphicFramePr/>
                <a:graphic xmlns:a="http://schemas.openxmlformats.org/drawingml/2006/main">
                  <a:graphicData uri="http://schemas.microsoft.com/office/word/2010/wordprocessingShape">
                    <wps:wsp xmlns:wps="http://schemas.microsoft.com/office/word/2010/wordprocessingShape">
                      <wps:cNvSpPr/>
                      <wps:spPr>
                        <a:xfrm>
                          <a:off x="0" y="0"/>
                          <a:ext cx="6536266" cy="3649133"/>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E5129" w:rsidP="006E5129">
                            <w:pPr>
                              <w:jc w:val="center"/>
                            </w:pPr>
                          </w:p>
                        </w:txbxContent>
                      </wps:txbx>
                      <wps:bodyPr rot="0" spcFirstLastPara="0" vertOverflow="overflow" horzOverflow="overflow" vert="horz" wrap="square" numCol="1" spcCol="0" rtlCol="0" fromWordArt="0" anchor="ctr" anchorCtr="0" forceAA="0" compatLnSpc="1">
                        <a:prstTxWarp prst="textNoShape">
                          <a:avLst/>
                        </a:prstTxWarp>
                      </wps:bodyPr>
                    </wps:wsp>
                  </a:graphicData>
                </a:graphic>
                <wp14:sizeRelH relativeFrom="margin">
                  <wp14:pctWidth>0</wp14:pctWidth>
                </wp14:sizeRelH>
                <wp14:sizeRelV relativeFrom="margin">
                  <wp14:pctHeight>0</wp14:pctHeight>
                </wp14:sizeRelV>
              </wp:anchor>
            </w:drawing>
          </mc:Choice>
          <mc:Fallback>
            <w:pict>
              <v:shape id="Rectangle 1" o:spid="_x0000_s1028" type="#_x0000_t202" style="width:514.67pt;height:287.33pt;margin-top:1.3pt;margin-left:7.27pt;mso-height-percent:0;mso-height-relative:margin;mso-width-percent:0;mso-width-relative:margin;mso-wrap-distance-bottom:0;mso-wrap-distance-left:9pt;mso-wrap-distance-right:9pt;mso-wrap-distance-top:0;position:absolute;v-text-anchor:middle;z-index:251662336" filled="f" fillcolor="this" stroked="f" strokecolor="#2f528f" strokeweight="1pt">
                <v:textbox>
                  <w:txbxContent>
                    <w:p w:rsidR="006E5129" w:rsidP="006E5129">
                      <w:pPr>
                        <w:jc w:val="center"/>
                      </w:pPr>
                    </w:p>
                  </w:txbxContent>
                </v:textbox>
              </v:shape>
            </w:pict>
          </mc:Fallback>
        </mc:AlternateContent>
      </w:r>
      <w:r>
        <w:t xml:space="preserve"> </w:t>
      </w:r>
    </w:p>
    <w:p w:rsidR="00F66F00" w:rsidRPr="001A1A48" w:rsidP="00D97042" w14:paraId="6A6B2C8D" w14:textId="12E9278F">
      <w:pPr>
        <w:pStyle w:val="WHeading3"/>
      </w:pPr>
      <w:bookmarkStart w:id="18" w:name="RG_MARKER_7275"/>
      <w:r w:rsidRPr="001A1A48">
        <w:t>Raportointisegmentit</w:t>
      </w:r>
      <w:bookmarkEnd w:id="18"/>
    </w:p>
    <w:p w:rsidR="00F66F00" w:rsidRPr="00EC258F" w:rsidP="00512E67" w14:paraId="5F661E9B" w14:textId="40CC30CD">
      <w:pPr>
        <w:pStyle w:val="WHeadingException3"/>
      </w:pPr>
      <w:r w:rsidRPr="00EC258F">
        <w:t xml:space="preserve">Wärtsilä Marine </w:t>
      </w:r>
      <w:r w:rsidRPr="00EC258F" w:rsidR="002F024D">
        <w:t>Power</w:t>
      </w:r>
    </w:p>
    <w:p w:rsidR="002F024D" w:rsidRPr="00EC258F" w:rsidP="007467E8" w14:paraId="11781F35" w14:textId="700FA44D">
      <w:pPr>
        <w:pStyle w:val="WNormal"/>
        <w:spacing w:after="160"/>
        <w:rPr>
          <w:sz w:val="16"/>
        </w:rPr>
      </w:pPr>
      <w:r w:rsidRPr="00EC258F">
        <w:rPr>
          <w:sz w:val="16"/>
        </w:rPr>
        <w:t>Marine Powerin tilauskertymä vuonna </w:t>
      </w:r>
      <w:r w:rsidRPr="00EC258F">
        <w:rPr>
          <w:sz w:val="16"/>
        </w:rPr>
        <w:t>2021</w:t>
      </w:r>
      <w:r w:rsidRPr="00EC258F">
        <w:rPr>
          <w:sz w:val="16"/>
        </w:rPr>
        <w:t> </w:t>
      </w:r>
      <w:r w:rsidRPr="00EC258F">
        <w:rPr>
          <w:sz w:val="16"/>
        </w:rPr>
        <w:t>kasvoi 16% 2 011 miljoonaan euroon</w:t>
      </w:r>
      <w:r w:rsidRPr="00EC258F">
        <w:rPr>
          <w:sz w:val="16"/>
        </w:rPr>
        <w:t xml:space="preserve"> (</w:t>
      </w:r>
      <w:r w:rsidRPr="00EC258F">
        <w:rPr>
          <w:sz w:val="16"/>
        </w:rPr>
        <w:t>1 737</w:t>
      </w:r>
      <w:r w:rsidRPr="00EC258F">
        <w:rPr>
          <w:sz w:val="16"/>
        </w:rPr>
        <w:t xml:space="preserve">) edellisvuoteen nähden. </w:t>
      </w:r>
      <w:r w:rsidRPr="00EC258F">
        <w:rPr>
          <w:sz w:val="16"/>
          <w:lang w:val="en-GB"/>
        </w:rPr>
        <w:t xml:space="preserve">Tilaus-laskutussuhde oli </w:t>
      </w:r>
      <w:r w:rsidRPr="00EC258F">
        <w:rPr>
          <w:sz w:val="16"/>
          <w:lang w:val="en-GB"/>
        </w:rPr>
        <w:t>1,08</w:t>
      </w:r>
      <w:r w:rsidRPr="00EC258F">
        <w:rPr>
          <w:sz w:val="16"/>
          <w:lang w:val="en-GB"/>
        </w:rPr>
        <w:t xml:space="preserve"> (</w:t>
      </w:r>
      <w:r w:rsidRPr="00EC258F">
        <w:rPr>
          <w:sz w:val="16"/>
          <w:lang w:val="en-GB"/>
        </w:rPr>
        <w:t>0,99</w:t>
      </w:r>
      <w:r w:rsidRPr="00EC258F">
        <w:rPr>
          <w:sz w:val="16"/>
          <w:lang w:val="en-GB"/>
        </w:rPr>
        <w:t xml:space="preserve">). Palveluiden tilauskertymä </w:t>
      </w:r>
      <w:r w:rsidRPr="00EC258F">
        <w:rPr>
          <w:sz w:val="16"/>
          <w:lang w:val="en-GB"/>
        </w:rPr>
        <w:t>kasvoi 22% 1 305 miljoonaan euroon</w:t>
      </w:r>
      <w:r w:rsidRPr="00EC258F">
        <w:rPr>
          <w:sz w:val="16"/>
          <w:lang w:val="en-GB"/>
        </w:rPr>
        <w:t xml:space="preserve"> (</w:t>
      </w:r>
      <w:r w:rsidRPr="00EC258F">
        <w:rPr>
          <w:sz w:val="16"/>
          <w:lang w:val="en-GB"/>
        </w:rPr>
        <w:t>1 070</w:t>
      </w:r>
      <w:r w:rsidRPr="00EC258F">
        <w:rPr>
          <w:sz w:val="16"/>
          <w:lang w:val="en-GB"/>
        </w:rPr>
        <w:t>)</w:t>
      </w:r>
      <w:r w:rsidRPr="00EC258F" w:rsidR="009958A1">
        <w:rPr>
          <w:sz w:val="16"/>
          <w:lang w:val="en-GB"/>
        </w:rPr>
        <w:t>. L</w:t>
      </w:r>
      <w:r w:rsidRPr="00EC258F">
        <w:rPr>
          <w:sz w:val="16"/>
          <w:lang w:val="en-GB"/>
        </w:rPr>
        <w:t xml:space="preserve">aitteiden tilauskertymä </w:t>
      </w:r>
      <w:r w:rsidRPr="00EC258F">
        <w:rPr>
          <w:sz w:val="16"/>
          <w:lang w:val="en-GB"/>
        </w:rPr>
        <w:t>kasvoi 6% 706 miljoonaan euroon</w:t>
      </w:r>
      <w:r w:rsidRPr="00EC258F">
        <w:rPr>
          <w:sz w:val="16"/>
          <w:lang w:val="en-GB"/>
        </w:rPr>
        <w:t xml:space="preserve"> (</w:t>
      </w:r>
      <w:r w:rsidRPr="00EC258F">
        <w:rPr>
          <w:sz w:val="16"/>
          <w:lang w:val="en-GB"/>
        </w:rPr>
        <w:t>667</w:t>
      </w:r>
      <w:r w:rsidRPr="00EC258F">
        <w:rPr>
          <w:sz w:val="16"/>
          <w:lang w:val="en-GB"/>
        </w:rPr>
        <w:t xml:space="preserve">). </w:t>
      </w:r>
      <w:r w:rsidRPr="007467E8" w:rsidR="007467E8">
        <w:rPr>
          <w:rFonts w:ascii="Helvetica" w:hAnsi="Helvetica" w:cs="Helvetica"/>
          <w:color w:val="333333"/>
          <w:sz w:val="16"/>
          <w:shd w:val="clear" w:color="auto" w:fill="FFFFFF"/>
        </w:rPr>
        <w:t xml:space="preserve">Tärkeimpiä laitteiden tilauskertymään myötävaikuttaneita segmenttejä olivat kauppalaivat (40%), risteilyalukset (12%), matkustajalautat (11%) ja erikoisalukset (16%). Markkinaolosuhteet ja hintakilpailutilanne pysyivät haastavina. </w:t>
      </w:r>
      <w:r w:rsidRPr="00EC258F">
        <w:rPr>
          <w:sz w:val="16"/>
        </w:rPr>
        <w:t>Vuoden lopun tilauskanta </w:t>
      </w:r>
      <w:r w:rsidRPr="00EC258F">
        <w:rPr>
          <w:sz w:val="16"/>
        </w:rPr>
        <w:t>kasvoi 8% 1 994 miljoonaan euroon</w:t>
      </w:r>
      <w:r w:rsidRPr="00EC258F">
        <w:rPr>
          <w:sz w:val="16"/>
        </w:rPr>
        <w:t xml:space="preserve"> (</w:t>
      </w:r>
      <w:r w:rsidRPr="00EC258F">
        <w:rPr>
          <w:sz w:val="16"/>
        </w:rPr>
        <w:t>1 839</w:t>
      </w:r>
      <w:r w:rsidRPr="00EC258F">
        <w:rPr>
          <w:sz w:val="16"/>
        </w:rPr>
        <w:t>).</w:t>
      </w:r>
    </w:p>
    <w:p w:rsidR="00414822" w:rsidP="007467E8" w14:paraId="5986E321" w14:textId="7DF88493">
      <w:pPr>
        <w:pStyle w:val="WNormal"/>
        <w:spacing w:after="160"/>
        <w:rPr>
          <w:sz w:val="16"/>
        </w:rPr>
      </w:pPr>
      <w:r w:rsidRPr="00EC258F">
        <w:rPr>
          <w:sz w:val="16"/>
        </w:rPr>
        <w:t>Liikevaihto</w:t>
      </w:r>
      <w:r w:rsidRPr="00EC258F" w:rsidR="009C6AC2">
        <w:rPr>
          <w:sz w:val="16"/>
        </w:rPr>
        <w:t xml:space="preserve"> </w:t>
      </w:r>
      <w:r w:rsidRPr="00EC258F">
        <w:rPr>
          <w:sz w:val="16"/>
        </w:rPr>
        <w:t>kasvoi 7% 1 863 miljoonaan euroon</w:t>
      </w:r>
      <w:r w:rsidRPr="00EC258F">
        <w:rPr>
          <w:sz w:val="16"/>
        </w:rPr>
        <w:t xml:space="preserve"> (</w:t>
      </w:r>
      <w:r w:rsidRPr="00EC258F">
        <w:rPr>
          <w:sz w:val="16"/>
        </w:rPr>
        <w:t>1 748</w:t>
      </w:r>
      <w:r w:rsidRPr="00EC258F">
        <w:rPr>
          <w:sz w:val="16"/>
        </w:rPr>
        <w:t xml:space="preserve">) edellisvuoteen nähden. </w:t>
      </w:r>
      <w:r w:rsidRPr="007467E8">
        <w:rPr>
          <w:sz w:val="16"/>
        </w:rPr>
        <w:t xml:space="preserve">Palveluiden liikevaihto </w:t>
      </w:r>
      <w:r w:rsidRPr="007467E8">
        <w:rPr>
          <w:sz w:val="16"/>
        </w:rPr>
        <w:t>kasvoi 12% 1 226 miljoonaan euroon</w:t>
      </w:r>
      <w:r w:rsidRPr="007467E8">
        <w:rPr>
          <w:sz w:val="16"/>
        </w:rPr>
        <w:t xml:space="preserve"> (</w:t>
      </w:r>
      <w:r w:rsidRPr="007467E8">
        <w:rPr>
          <w:sz w:val="16"/>
        </w:rPr>
        <w:t>1 096</w:t>
      </w:r>
      <w:r w:rsidRPr="007467E8">
        <w:rPr>
          <w:sz w:val="16"/>
        </w:rPr>
        <w:t>)</w:t>
      </w:r>
      <w:r w:rsidRPr="007467E8" w:rsidR="007467E8">
        <w:rPr>
          <w:sz w:val="16"/>
        </w:rPr>
        <w:t>, minkä taustalla oli risteilyalusten uudelleenaktivointi vuoden toisella puoliskolla</w:t>
      </w:r>
      <w:r w:rsidR="007467E8">
        <w:rPr>
          <w:sz w:val="16"/>
        </w:rPr>
        <w:t>.</w:t>
      </w:r>
      <w:r w:rsidRPr="007467E8">
        <w:rPr>
          <w:sz w:val="16"/>
        </w:rPr>
        <w:t xml:space="preserve"> </w:t>
      </w:r>
      <w:r w:rsidRPr="007467E8" w:rsidR="007467E8">
        <w:rPr>
          <w:sz w:val="16"/>
        </w:rPr>
        <w:t>L</w:t>
      </w:r>
      <w:r w:rsidRPr="007467E8">
        <w:rPr>
          <w:sz w:val="16"/>
        </w:rPr>
        <w:t xml:space="preserve">aitteiden liikevaihto </w:t>
      </w:r>
      <w:r w:rsidRPr="007467E8">
        <w:rPr>
          <w:sz w:val="16"/>
        </w:rPr>
        <w:t>laski 2% 637 miljoonaan euroon</w:t>
      </w:r>
      <w:r w:rsidRPr="007467E8">
        <w:rPr>
          <w:sz w:val="16"/>
        </w:rPr>
        <w:t xml:space="preserve"> (</w:t>
      </w:r>
      <w:r w:rsidRPr="007467E8">
        <w:rPr>
          <w:sz w:val="16"/>
        </w:rPr>
        <w:t>652</w:t>
      </w:r>
      <w:r w:rsidRPr="007467E8">
        <w:rPr>
          <w:sz w:val="16"/>
        </w:rPr>
        <w:t>)</w:t>
      </w:r>
      <w:r w:rsidRPr="007467E8" w:rsidR="007467E8">
        <w:rPr>
          <w:sz w:val="16"/>
        </w:rPr>
        <w:t xml:space="preserve"> johtuen alhaisesta tilauskertymästä aiemmin</w:t>
      </w:r>
      <w:r w:rsidRPr="007467E8">
        <w:rPr>
          <w:sz w:val="16"/>
        </w:rPr>
        <w:t xml:space="preserve">. Vertailukelpoinen liiketulos oli </w:t>
      </w:r>
      <w:r w:rsidRPr="007467E8">
        <w:rPr>
          <w:sz w:val="16"/>
        </w:rPr>
        <w:t>195</w:t>
      </w:r>
      <w:r w:rsidRPr="007467E8">
        <w:rPr>
          <w:sz w:val="16"/>
        </w:rPr>
        <w:t xml:space="preserve"> miljoonaa euroa (</w:t>
      </w:r>
      <w:r w:rsidRPr="007467E8">
        <w:rPr>
          <w:sz w:val="16"/>
        </w:rPr>
        <w:t>137</w:t>
      </w:r>
      <w:r w:rsidRPr="00983961">
        <w:rPr>
          <w:sz w:val="16"/>
          <w:lang w:val="en-GB"/>
        </w:rPr>
        <w:t xml:space="preserve">) eli </w:t>
      </w:r>
      <w:r w:rsidRPr="00983961">
        <w:rPr>
          <w:sz w:val="16"/>
          <w:lang w:val="en-GB"/>
        </w:rPr>
        <w:t>10,5</w:t>
      </w:r>
      <w:r w:rsidRPr="00983961">
        <w:rPr>
          <w:sz w:val="16"/>
          <w:lang w:val="en-GB"/>
        </w:rPr>
        <w:t>% liikevaihdosta (</w:t>
      </w:r>
      <w:r w:rsidRPr="00983961">
        <w:rPr>
          <w:sz w:val="16"/>
          <w:lang w:val="en-GB"/>
        </w:rPr>
        <w:t>7,8</w:t>
      </w:r>
      <w:r w:rsidRPr="00EC258F">
        <w:rPr>
          <w:sz w:val="16"/>
        </w:rPr>
        <w:t xml:space="preserve">). </w:t>
      </w:r>
      <w:r w:rsidRPr="007467E8" w:rsidR="007467E8">
        <w:rPr>
          <w:sz w:val="16"/>
        </w:rPr>
        <w:t xml:space="preserve">Tulosparannuksen taustalla olivat ennen kaikkea suotuisa liikevaihdon jakauma laitteiden ja palveluiden kesken, risteilyalusten uudelleenaktivointi ja kasvaneet palveluvolyymit vuoden toisella puoliskolla sekä toteutetut tehostamistoimet. Kannattavuutta heikensivät tehtaiden alhaiset käyttöasteet ja kohonneet kustannukset. Vertailukelpoisuuteen vaikuttaviin eriin sisältyi 15 miljoonaa euroa kuluja, jotka liittyivät pääasiassa Wärtsilä CME -yhteisyrityksen sulkemiseen Zhenjiangissa </w:t>
      </w:r>
      <w:r w:rsidRPr="007467E8" w:rsidR="007467E8">
        <w:rPr>
          <w:sz w:val="16"/>
        </w:rPr>
        <w:t>Kiinassa ja toiminnan laajuuden muutoksiin Vaasassa sijaitsevan uuden Smart Technology Hubin myötä.</w:t>
      </w:r>
    </w:p>
    <w:p w:rsidR="007467E8" w:rsidRPr="007467E8" w:rsidP="007467E8" w14:paraId="7978651F" w14:textId="7CADF041">
      <w:pPr>
        <w:pStyle w:val="WHeadingException3"/>
        <w:rPr>
          <w:sz w:val="15"/>
          <w:szCs w:val="15"/>
          <w:lang w:val="en-GB"/>
        </w:rPr>
      </w:pPr>
      <w:r w:rsidRPr="007467E8">
        <w:rPr>
          <w:sz w:val="15"/>
          <w:szCs w:val="15"/>
          <w:lang w:val="en-GB"/>
        </w:rPr>
        <w:t>Divestments</w:t>
      </w:r>
    </w:p>
    <w:p w:rsidR="007467E8" w:rsidRPr="007467E8" w:rsidP="007467E8" w14:paraId="41847FDD" w14:textId="77777777">
      <w:pPr>
        <w:pStyle w:val="WNormal"/>
        <w:spacing w:after="160"/>
        <w:rPr>
          <w:sz w:val="16"/>
        </w:rPr>
      </w:pPr>
      <w:r w:rsidRPr="00983961">
        <w:rPr>
          <w:sz w:val="16"/>
          <w:lang w:val="en-GB"/>
        </w:rPr>
        <w:t xml:space="preserve">Toukokuussa Wärtsilä ilmoitti Delivery Centre Santanderin myynnistä Javier Cavada Corporación Cantabrialle (“JCCC”). </w:t>
      </w:r>
      <w:r w:rsidRPr="007467E8">
        <w:rPr>
          <w:sz w:val="16"/>
        </w:rPr>
        <w:t>D</w:t>
      </w:r>
      <w:r w:rsidRPr="007467E8">
        <w:rPr>
          <w:sz w:val="16"/>
        </w:rPr>
        <w:t>elivery Centre Santander on huippuluokan valimo, joka pystyy valamaan korkealaatuista NiAlBronze-seosta. Laitos sijaitsee Santanderissa Pohjois-Espanjassa, ja siellä työskentelee 45 ammattilaista. Sen vuosittainen kapasiteetti on 700 tonnia. Osana yrityska</w:t>
      </w:r>
      <w:r w:rsidRPr="007467E8">
        <w:rPr>
          <w:sz w:val="16"/>
        </w:rPr>
        <w:t>uppaa Wärtsilä ja JCCC solmivat strategisen tuotantosopimuksen, jonka mukaan JCCC toimittaa pronssiseosvaluja Wärtsilä Marine Powerille. Kauppa odotetaan saatavan päätökseen vuoden 2022 ensimmäisellä puoliskolla, kun kaupan ehdot on täytetty.</w:t>
      </w:r>
    </w:p>
    <w:p w:rsidR="007467E8" w:rsidRPr="007467E8" w:rsidP="007467E8" w14:paraId="420309EB" w14:textId="132A1223">
      <w:pPr>
        <w:pStyle w:val="WNormal"/>
        <w:spacing w:after="160"/>
        <w:rPr>
          <w:sz w:val="16"/>
        </w:rPr>
      </w:pPr>
      <w:r w:rsidRPr="007467E8">
        <w:rPr>
          <w:sz w:val="16"/>
        </w:rPr>
        <w:t>Myös toukokuu</w:t>
      </w:r>
      <w:r w:rsidRPr="007467E8">
        <w:rPr>
          <w:sz w:val="16"/>
        </w:rPr>
        <w:t>ssa Wärtsilä ja sen yhteisyrityskumppani Zhenjiang CME Co Ltd (CSSC Marine Power, jonka omistaa CSSC-konserni) ilmoittivat Wärtsilä CME -yhteisyrityksen sulkemisesta Zhenjiangissa Kiinassa. Osa yhteisyrityksen tuotantoon ja toimituksiin liittyvistä toiminn</w:t>
      </w:r>
      <w:r w:rsidRPr="007467E8">
        <w:rPr>
          <w:sz w:val="16"/>
        </w:rPr>
        <w:t>oista on siirretty Propulsion Delivery Centre Wuxiin (DCW), joka sijaitsee Kiinassa.</w:t>
      </w:r>
    </w:p>
    <w:p w:rsidR="008C1893" w:rsidRPr="007467E8" w:rsidP="00B02072" w14:paraId="6D7DE956" w14:textId="4DE15E67">
      <w:pPr>
        <w:pStyle w:val="WHeadingException3"/>
      </w:pPr>
      <w:r w:rsidRPr="007467E8">
        <w:t>Wärtsilä Marine Systems</w:t>
      </w:r>
    </w:p>
    <w:p w:rsidR="008C1893" w:rsidRPr="00EC258F" w:rsidP="007467E8" w14:paraId="5D739D90" w14:textId="0712A9B6">
      <w:pPr>
        <w:pStyle w:val="WNormal"/>
        <w:spacing w:after="160"/>
        <w:rPr>
          <w:sz w:val="16"/>
        </w:rPr>
      </w:pPr>
      <w:r w:rsidRPr="00EC258F">
        <w:rPr>
          <w:sz w:val="16"/>
        </w:rPr>
        <w:t xml:space="preserve">Marine Systemsin tilauskertymä vuonna </w:t>
      </w:r>
      <w:r w:rsidRPr="00EC258F">
        <w:rPr>
          <w:sz w:val="16"/>
        </w:rPr>
        <w:t>2021</w:t>
      </w:r>
      <w:r w:rsidRPr="00EC258F">
        <w:rPr>
          <w:sz w:val="16"/>
        </w:rPr>
        <w:t xml:space="preserve"> </w:t>
      </w:r>
      <w:r w:rsidRPr="00EC258F">
        <w:rPr>
          <w:sz w:val="16"/>
        </w:rPr>
        <w:t>kasvoi 55% 835 miljoonaan euroon</w:t>
      </w:r>
      <w:r w:rsidRPr="00EC258F">
        <w:rPr>
          <w:sz w:val="16"/>
        </w:rPr>
        <w:t xml:space="preserve"> (</w:t>
      </w:r>
      <w:r w:rsidRPr="00EC258F">
        <w:rPr>
          <w:sz w:val="16"/>
        </w:rPr>
        <w:t>539</w:t>
      </w:r>
      <w:r w:rsidRPr="00EC258F">
        <w:rPr>
          <w:sz w:val="16"/>
        </w:rPr>
        <w:t xml:space="preserve">) edellisvuoteen nähden. Tilaus-laskutussuhde oli </w:t>
      </w:r>
      <w:r w:rsidRPr="00EC258F">
        <w:rPr>
          <w:sz w:val="16"/>
        </w:rPr>
        <w:t>1,28</w:t>
      </w:r>
      <w:r w:rsidRPr="00EC258F">
        <w:rPr>
          <w:sz w:val="16"/>
        </w:rPr>
        <w:t xml:space="preserve"> (</w:t>
      </w:r>
      <w:r w:rsidRPr="00EC258F">
        <w:rPr>
          <w:sz w:val="16"/>
        </w:rPr>
        <w:t>0,67</w:t>
      </w:r>
      <w:r w:rsidRPr="00EC258F">
        <w:rPr>
          <w:sz w:val="16"/>
        </w:rPr>
        <w:t xml:space="preserve">). Palveluiden tilauskertymä </w:t>
      </w:r>
      <w:r w:rsidRPr="00EC258F">
        <w:rPr>
          <w:sz w:val="16"/>
        </w:rPr>
        <w:t>kasvoi 14% 235 miljoonaan euroon</w:t>
      </w:r>
      <w:r w:rsidRPr="00EC258F">
        <w:rPr>
          <w:sz w:val="16"/>
        </w:rPr>
        <w:t xml:space="preserve"> (</w:t>
      </w:r>
      <w:r w:rsidRPr="00EC258F">
        <w:rPr>
          <w:sz w:val="16"/>
        </w:rPr>
        <w:t>205</w:t>
      </w:r>
      <w:r w:rsidRPr="00EC258F">
        <w:rPr>
          <w:sz w:val="16"/>
        </w:rPr>
        <w:t xml:space="preserve">). </w:t>
      </w:r>
      <w:r w:rsidRPr="00983961">
        <w:rPr>
          <w:sz w:val="16"/>
          <w:lang w:val="en-GB"/>
        </w:rPr>
        <w:t xml:space="preserve">Laitteiden tilauskertymä </w:t>
      </w:r>
      <w:r w:rsidRPr="00983961">
        <w:rPr>
          <w:sz w:val="16"/>
          <w:lang w:val="en-GB"/>
        </w:rPr>
        <w:t>kasvoi 80% 600 miljoonaan euroon</w:t>
      </w:r>
      <w:r w:rsidRPr="00983961">
        <w:rPr>
          <w:sz w:val="16"/>
          <w:lang w:val="en-GB"/>
        </w:rPr>
        <w:t xml:space="preserve"> (</w:t>
      </w:r>
      <w:r w:rsidRPr="00983961">
        <w:rPr>
          <w:sz w:val="16"/>
          <w:lang w:val="en-GB"/>
        </w:rPr>
        <w:t>334</w:t>
      </w:r>
      <w:r w:rsidRPr="00983961">
        <w:rPr>
          <w:sz w:val="16"/>
          <w:lang w:val="en-GB"/>
        </w:rPr>
        <w:t>).</w:t>
      </w:r>
      <w:r w:rsidRPr="00983961" w:rsidR="00F503F7">
        <w:rPr>
          <w:sz w:val="16"/>
          <w:lang w:val="en-GB"/>
        </w:rPr>
        <w:t xml:space="preserve"> </w:t>
      </w:r>
      <w:r w:rsidRPr="00EC258F">
        <w:rPr>
          <w:sz w:val="16"/>
        </w:rPr>
        <w:t>Vuoden lopun tilauskanta </w:t>
      </w:r>
      <w:r w:rsidRPr="00EC258F">
        <w:rPr>
          <w:sz w:val="16"/>
        </w:rPr>
        <w:t>kasvoi 22% 1 042 miljoonaan euroon</w:t>
      </w:r>
      <w:r w:rsidRPr="00EC258F">
        <w:rPr>
          <w:sz w:val="16"/>
        </w:rPr>
        <w:t xml:space="preserve"> (</w:t>
      </w:r>
      <w:r w:rsidRPr="00EC258F">
        <w:rPr>
          <w:sz w:val="16"/>
        </w:rPr>
        <w:t>857</w:t>
      </w:r>
      <w:r w:rsidRPr="00EC258F">
        <w:rPr>
          <w:sz w:val="16"/>
        </w:rPr>
        <w:t>)</w:t>
      </w:r>
      <w:r w:rsidR="007467E8">
        <w:rPr>
          <w:sz w:val="16"/>
        </w:rPr>
        <w:t xml:space="preserve"> </w:t>
      </w:r>
      <w:r w:rsidRPr="007467E8" w:rsidR="007467E8">
        <w:rPr>
          <w:sz w:val="16"/>
        </w:rPr>
        <w:t>kaikkien muiden liiketoimintayksiköiden paitsi Exhaust Treatmentin kasvun siivittämänä</w:t>
      </w:r>
      <w:r w:rsidRPr="00EC258F">
        <w:rPr>
          <w:sz w:val="16"/>
        </w:rPr>
        <w:t>.</w:t>
      </w:r>
    </w:p>
    <w:p w:rsidR="008C1893" w:rsidRPr="00EC258F" w:rsidP="007467E8" w14:paraId="0CDC48D3" w14:textId="285C90D5">
      <w:pPr>
        <w:pStyle w:val="WNormal"/>
        <w:spacing w:after="160"/>
        <w:rPr>
          <w:sz w:val="16"/>
        </w:rPr>
      </w:pPr>
      <w:r w:rsidRPr="00983961">
        <w:rPr>
          <w:sz w:val="16"/>
          <w:lang w:val="en-GB"/>
        </w:rPr>
        <w:t xml:space="preserve">Liikevaihto </w:t>
      </w:r>
      <w:r w:rsidRPr="00983961">
        <w:rPr>
          <w:sz w:val="16"/>
          <w:lang w:val="en-GB"/>
        </w:rPr>
        <w:t>laski 19% 654 miljoonaan euroon</w:t>
      </w:r>
      <w:r w:rsidRPr="00983961">
        <w:rPr>
          <w:sz w:val="16"/>
          <w:lang w:val="en-GB"/>
        </w:rPr>
        <w:t xml:space="preserve"> (</w:t>
      </w:r>
      <w:r w:rsidRPr="00983961">
        <w:rPr>
          <w:sz w:val="16"/>
          <w:lang w:val="en-GB"/>
        </w:rPr>
        <w:t>808</w:t>
      </w:r>
      <w:r w:rsidRPr="00983961">
        <w:rPr>
          <w:sz w:val="16"/>
          <w:lang w:val="en-GB"/>
        </w:rPr>
        <w:t xml:space="preserve">) </w:t>
      </w:r>
      <w:r w:rsidRPr="00983961">
        <w:rPr>
          <w:sz w:val="16"/>
          <w:lang w:val="en-GB"/>
        </w:rPr>
        <w:t>edell</w:t>
      </w:r>
      <w:r w:rsidRPr="00983961">
        <w:rPr>
          <w:sz w:val="16"/>
          <w:lang w:val="en-GB"/>
        </w:rPr>
        <w:t xml:space="preserve">isvuoteen nähden. </w:t>
      </w:r>
      <w:r w:rsidRPr="007467E8">
        <w:rPr>
          <w:sz w:val="16"/>
          <w:lang w:val="en-GB"/>
        </w:rPr>
        <w:t xml:space="preserve">Palveluiden liikevaihto </w:t>
      </w:r>
      <w:r w:rsidRPr="007467E8">
        <w:rPr>
          <w:sz w:val="16"/>
          <w:lang w:val="en-GB"/>
        </w:rPr>
        <w:t>laski 4% 211 miljoonaan euroon</w:t>
      </w:r>
      <w:r w:rsidRPr="007467E8">
        <w:rPr>
          <w:sz w:val="16"/>
          <w:lang w:val="en-GB"/>
        </w:rPr>
        <w:t xml:space="preserve"> (</w:t>
      </w:r>
      <w:r w:rsidRPr="007467E8">
        <w:rPr>
          <w:sz w:val="16"/>
          <w:lang w:val="en-GB"/>
        </w:rPr>
        <w:t>219</w:t>
      </w:r>
      <w:r w:rsidRPr="007467E8">
        <w:rPr>
          <w:sz w:val="16"/>
          <w:lang w:val="en-GB"/>
        </w:rPr>
        <w:t>)</w:t>
      </w:r>
      <w:r w:rsidR="007467E8">
        <w:rPr>
          <w:sz w:val="16"/>
          <w:lang w:val="en-GB"/>
        </w:rPr>
        <w:t>. L</w:t>
      </w:r>
      <w:r w:rsidRPr="007467E8">
        <w:rPr>
          <w:sz w:val="16"/>
          <w:lang w:val="en-GB"/>
        </w:rPr>
        <w:t xml:space="preserve">aitteiden liikevaihto </w:t>
      </w:r>
      <w:r w:rsidRPr="007467E8">
        <w:rPr>
          <w:sz w:val="16"/>
          <w:lang w:val="en-GB"/>
        </w:rPr>
        <w:t>laski 25% 444 miljoonaan euroon</w:t>
      </w:r>
      <w:r w:rsidRPr="007467E8">
        <w:rPr>
          <w:sz w:val="16"/>
          <w:lang w:val="en-GB"/>
        </w:rPr>
        <w:t xml:space="preserve"> (</w:t>
      </w:r>
      <w:r w:rsidRPr="007467E8">
        <w:rPr>
          <w:sz w:val="16"/>
          <w:lang w:val="en-GB"/>
        </w:rPr>
        <w:t>588</w:t>
      </w:r>
      <w:r w:rsidRPr="007467E8">
        <w:rPr>
          <w:sz w:val="16"/>
          <w:lang w:val="en-GB"/>
        </w:rPr>
        <w:t>). </w:t>
      </w:r>
      <w:r w:rsidRPr="00983961">
        <w:rPr>
          <w:sz w:val="16"/>
          <w:lang w:val="en-GB"/>
        </w:rPr>
        <w:t xml:space="preserve">Vertailukelpoinen liiketulos oli </w:t>
      </w:r>
      <w:r w:rsidRPr="00983961">
        <w:rPr>
          <w:sz w:val="16"/>
          <w:lang w:val="en-GB"/>
        </w:rPr>
        <w:t>52</w:t>
      </w:r>
      <w:r w:rsidRPr="00983961">
        <w:rPr>
          <w:sz w:val="16"/>
          <w:lang w:val="en-GB"/>
        </w:rPr>
        <w:t xml:space="preserve"> miljoonaa euroa (</w:t>
      </w:r>
      <w:r w:rsidRPr="00983961">
        <w:rPr>
          <w:sz w:val="16"/>
          <w:lang w:val="en-GB"/>
        </w:rPr>
        <w:t>83</w:t>
      </w:r>
      <w:r w:rsidRPr="00983961">
        <w:rPr>
          <w:sz w:val="16"/>
          <w:lang w:val="en-GB"/>
        </w:rPr>
        <w:t xml:space="preserve">) eli </w:t>
      </w:r>
      <w:r w:rsidRPr="00983961">
        <w:rPr>
          <w:sz w:val="16"/>
          <w:lang w:val="en-GB"/>
        </w:rPr>
        <w:t>7,9</w:t>
      </w:r>
      <w:r w:rsidRPr="00983961">
        <w:rPr>
          <w:sz w:val="16"/>
          <w:lang w:val="en-GB"/>
        </w:rPr>
        <w:t>% li</w:t>
      </w:r>
      <w:r w:rsidRPr="00983961">
        <w:rPr>
          <w:sz w:val="16"/>
          <w:lang w:val="en-GB"/>
        </w:rPr>
        <w:t>ikevaihdosta (</w:t>
      </w:r>
      <w:r w:rsidRPr="00983961">
        <w:rPr>
          <w:sz w:val="16"/>
          <w:lang w:val="en-GB"/>
        </w:rPr>
        <w:t>10,3</w:t>
      </w:r>
      <w:r w:rsidRPr="00EC258F">
        <w:rPr>
          <w:sz w:val="16"/>
        </w:rPr>
        <w:t>)</w:t>
      </w:r>
      <w:r w:rsidR="007467E8">
        <w:rPr>
          <w:sz w:val="16"/>
        </w:rPr>
        <w:t xml:space="preserve"> </w:t>
      </w:r>
      <w:r w:rsidRPr="007467E8" w:rsidR="007467E8">
        <w:rPr>
          <w:sz w:val="16"/>
        </w:rPr>
        <w:t>rikkipesureiden volyymien pienentymisen ja uusiin aluksiin asennettavien rikkipesureiden matalampien katteiden seurauksena. Vertailukelpoisuuteen vaikuttaviin eriin sisältyi 4 miljoonaa euroa toiminnan laajuuden muutoksiin ja organisaation optimointiin liittyviä kuluja</w:t>
      </w:r>
      <w:r w:rsidRPr="007467E8" w:rsidR="00F503F7">
        <w:rPr>
          <w:sz w:val="16"/>
        </w:rPr>
        <w:t>.</w:t>
      </w:r>
      <w:r w:rsidRPr="007467E8">
        <w:rPr>
          <w:sz w:val="16"/>
        </w:rPr>
        <w:t xml:space="preserve"> </w:t>
      </w:r>
    </w:p>
    <w:p w:rsidR="008C1893" w:rsidRPr="00EC258F" w:rsidP="00B02072" w14:paraId="79E28823" w14:textId="5E916935">
      <w:pPr>
        <w:pStyle w:val="WHeadingException3"/>
      </w:pPr>
      <w:r w:rsidRPr="00EC258F">
        <w:t>Wärtsilä Voyage</w:t>
      </w:r>
    </w:p>
    <w:p w:rsidR="008C1893" w:rsidRPr="00EC258F" w:rsidP="007467E8" w14:paraId="3903CDC0" w14:textId="6F778067">
      <w:pPr>
        <w:pStyle w:val="WNormal"/>
        <w:spacing w:after="160"/>
        <w:rPr>
          <w:sz w:val="16"/>
        </w:rPr>
      </w:pPr>
      <w:r w:rsidRPr="00EC258F">
        <w:rPr>
          <w:sz w:val="16"/>
        </w:rPr>
        <w:t xml:space="preserve">Voyagen tilauskertymä vuonna </w:t>
      </w:r>
      <w:r w:rsidRPr="00EC258F">
        <w:rPr>
          <w:sz w:val="16"/>
        </w:rPr>
        <w:t>2021</w:t>
      </w:r>
      <w:r w:rsidRPr="00EC258F">
        <w:rPr>
          <w:sz w:val="16"/>
        </w:rPr>
        <w:t> </w:t>
      </w:r>
      <w:r w:rsidRPr="00EC258F">
        <w:rPr>
          <w:sz w:val="16"/>
        </w:rPr>
        <w:t>kasvoi 12% 292 miljoonaan euroon</w:t>
      </w:r>
      <w:r w:rsidRPr="00EC258F">
        <w:rPr>
          <w:sz w:val="16"/>
        </w:rPr>
        <w:t xml:space="preserve"> (</w:t>
      </w:r>
      <w:r w:rsidRPr="00EC258F">
        <w:rPr>
          <w:sz w:val="16"/>
        </w:rPr>
        <w:t>262</w:t>
      </w:r>
      <w:r w:rsidRPr="00EC258F">
        <w:rPr>
          <w:sz w:val="16"/>
        </w:rPr>
        <w:t>) edellisvuoteen nähden. Ti</w:t>
      </w:r>
      <w:r w:rsidRPr="00EC258F">
        <w:rPr>
          <w:sz w:val="16"/>
        </w:rPr>
        <w:t xml:space="preserve">laus-laskutussuhde oli </w:t>
      </w:r>
      <w:r w:rsidRPr="00EC258F">
        <w:rPr>
          <w:sz w:val="16"/>
        </w:rPr>
        <w:t>1,05</w:t>
      </w:r>
      <w:r w:rsidRPr="00EC258F">
        <w:rPr>
          <w:sz w:val="16"/>
        </w:rPr>
        <w:t xml:space="preserve"> (</w:t>
      </w:r>
      <w:r w:rsidRPr="00EC258F">
        <w:rPr>
          <w:sz w:val="16"/>
        </w:rPr>
        <w:t>1,06</w:t>
      </w:r>
      <w:r w:rsidRPr="00EC258F">
        <w:rPr>
          <w:sz w:val="16"/>
        </w:rPr>
        <w:t xml:space="preserve">). Palveluiden tilauskertymä </w:t>
      </w:r>
      <w:r w:rsidRPr="00EC258F">
        <w:rPr>
          <w:sz w:val="16"/>
        </w:rPr>
        <w:t>kasvoi 19% 109 miljoonaan euroon</w:t>
      </w:r>
      <w:r w:rsidRPr="00EC258F">
        <w:rPr>
          <w:sz w:val="16"/>
        </w:rPr>
        <w:t xml:space="preserve"> (</w:t>
      </w:r>
      <w:r w:rsidRPr="00EC258F">
        <w:rPr>
          <w:sz w:val="16"/>
        </w:rPr>
        <w:t>92</w:t>
      </w:r>
      <w:r w:rsidRPr="00EC258F">
        <w:rPr>
          <w:sz w:val="16"/>
        </w:rPr>
        <w:t>)</w:t>
      </w:r>
      <w:r w:rsidR="007467E8">
        <w:rPr>
          <w:sz w:val="16"/>
        </w:rPr>
        <w:t xml:space="preserve">. </w:t>
      </w:r>
      <w:r w:rsidRPr="007467E8" w:rsidR="007467E8">
        <w:rPr>
          <w:sz w:val="16"/>
          <w:lang w:val="en-GB"/>
        </w:rPr>
        <w:t>L</w:t>
      </w:r>
      <w:r w:rsidRPr="007467E8">
        <w:rPr>
          <w:sz w:val="16"/>
          <w:lang w:val="en-GB"/>
        </w:rPr>
        <w:t xml:space="preserve">aitteiden tilauskertymä </w:t>
      </w:r>
      <w:r w:rsidRPr="007467E8">
        <w:rPr>
          <w:sz w:val="16"/>
          <w:lang w:val="en-GB"/>
        </w:rPr>
        <w:t>kasvoi 8% 183 miljoonaan euroon</w:t>
      </w:r>
      <w:r w:rsidRPr="007467E8">
        <w:rPr>
          <w:sz w:val="16"/>
          <w:lang w:val="en-GB"/>
        </w:rPr>
        <w:t xml:space="preserve"> (</w:t>
      </w:r>
      <w:r w:rsidRPr="007467E8">
        <w:rPr>
          <w:sz w:val="16"/>
          <w:lang w:val="en-GB"/>
        </w:rPr>
        <w:t>170</w:t>
      </w:r>
      <w:r w:rsidRPr="007467E8">
        <w:rPr>
          <w:sz w:val="16"/>
          <w:lang w:val="en-GB"/>
        </w:rPr>
        <w:t xml:space="preserve">). </w:t>
      </w:r>
      <w:r w:rsidRPr="007467E8" w:rsidR="007467E8">
        <w:rPr>
          <w:sz w:val="16"/>
        </w:rPr>
        <w:t xml:space="preserve">Koronapandemian tilauskertymää vuonna 2020 painanut vaikutus hälveni merkittävästi vuoden 2021 kuluessa toimialan sopeutuessa pandemiaan ja asiakasaktiviteetin lähestyessä pandemiaa edeltävää tasoa. </w:t>
      </w:r>
      <w:r w:rsidRPr="00EC258F">
        <w:rPr>
          <w:sz w:val="16"/>
        </w:rPr>
        <w:t>Vuoden lopun tilauskanta </w:t>
      </w:r>
      <w:r w:rsidRPr="00EC258F">
        <w:rPr>
          <w:sz w:val="16"/>
        </w:rPr>
        <w:t>kasvoi 5% 288 miljoonaan euroon</w:t>
      </w:r>
      <w:r w:rsidRPr="00EC258F">
        <w:rPr>
          <w:sz w:val="16"/>
        </w:rPr>
        <w:t xml:space="preserve"> (</w:t>
      </w:r>
      <w:r w:rsidRPr="00EC258F">
        <w:rPr>
          <w:sz w:val="16"/>
        </w:rPr>
        <w:t>275</w:t>
      </w:r>
      <w:r w:rsidRPr="00EC258F">
        <w:rPr>
          <w:sz w:val="16"/>
        </w:rPr>
        <w:t xml:space="preserve">). </w:t>
      </w:r>
    </w:p>
    <w:p w:rsidR="008C1893" w:rsidRPr="00EC258F" w:rsidP="007467E8" w14:paraId="0DDF276B" w14:textId="4CFF76C0">
      <w:pPr>
        <w:pStyle w:val="WNormal"/>
        <w:spacing w:after="160"/>
        <w:rPr>
          <w:sz w:val="16"/>
        </w:rPr>
      </w:pPr>
      <w:r w:rsidRPr="00EC258F">
        <w:rPr>
          <w:sz w:val="16"/>
        </w:rPr>
        <w:t>Liikevaihto </w:t>
      </w:r>
      <w:r w:rsidRPr="00EC258F">
        <w:rPr>
          <w:sz w:val="16"/>
        </w:rPr>
        <w:t>kasvoi 13% 279 miljoonaan euroon</w:t>
      </w:r>
      <w:r w:rsidRPr="00EC258F">
        <w:rPr>
          <w:sz w:val="16"/>
        </w:rPr>
        <w:t xml:space="preserve"> (</w:t>
      </w:r>
      <w:r w:rsidRPr="00EC258F">
        <w:rPr>
          <w:sz w:val="16"/>
        </w:rPr>
        <w:t>248</w:t>
      </w:r>
      <w:r w:rsidRPr="00EC258F">
        <w:rPr>
          <w:sz w:val="16"/>
        </w:rPr>
        <w:t xml:space="preserve">) edellisvuoteen nähden. </w:t>
      </w:r>
      <w:r w:rsidRPr="007467E8" w:rsidR="007467E8">
        <w:rPr>
          <w:sz w:val="16"/>
        </w:rPr>
        <w:t xml:space="preserve">Kasvun taustalla oli pääasiassa asiakasaktiviteetin vahvistuminen kohti pandemiaa edeltävää tasoa, mikä tuki ei-sopimuspohjaisten palveluiden ja uudisprojektien kysynnän elpymistä. </w:t>
      </w:r>
      <w:r w:rsidRPr="007467E8">
        <w:rPr>
          <w:sz w:val="16"/>
          <w:lang w:val="en-GB"/>
        </w:rPr>
        <w:t xml:space="preserve">Palveluiden liikevaihto </w:t>
      </w:r>
      <w:r w:rsidRPr="007467E8">
        <w:rPr>
          <w:sz w:val="16"/>
          <w:lang w:val="en-GB"/>
        </w:rPr>
        <w:t>kasvoi 25% 105 miljoonaan euroon</w:t>
      </w:r>
      <w:r w:rsidRPr="007467E8">
        <w:rPr>
          <w:sz w:val="16"/>
          <w:lang w:val="en-GB"/>
        </w:rPr>
        <w:t xml:space="preserve"> (</w:t>
      </w:r>
      <w:r w:rsidRPr="007467E8">
        <w:rPr>
          <w:sz w:val="16"/>
          <w:lang w:val="en-GB"/>
        </w:rPr>
        <w:t>85</w:t>
      </w:r>
      <w:r w:rsidRPr="007467E8">
        <w:rPr>
          <w:sz w:val="16"/>
          <w:lang w:val="en-GB"/>
        </w:rPr>
        <w:t>)</w:t>
      </w:r>
      <w:r w:rsidR="007467E8">
        <w:rPr>
          <w:sz w:val="16"/>
          <w:lang w:val="en-GB"/>
        </w:rPr>
        <w:t>. L</w:t>
      </w:r>
      <w:r w:rsidRPr="007467E8">
        <w:rPr>
          <w:sz w:val="16"/>
          <w:lang w:val="en-GB"/>
        </w:rPr>
        <w:t xml:space="preserve">aitteiden liikevaihto </w:t>
      </w:r>
      <w:r w:rsidRPr="007467E8">
        <w:rPr>
          <w:sz w:val="16"/>
          <w:lang w:val="en-GB"/>
        </w:rPr>
        <w:t>kasvoi 6% 174 miljoonaan euroon</w:t>
      </w:r>
      <w:r w:rsidRPr="007467E8">
        <w:rPr>
          <w:sz w:val="16"/>
          <w:lang w:val="en-GB"/>
        </w:rPr>
        <w:t xml:space="preserve"> (</w:t>
      </w:r>
      <w:r w:rsidRPr="007467E8">
        <w:rPr>
          <w:sz w:val="16"/>
          <w:lang w:val="en-GB"/>
        </w:rPr>
        <w:t>163</w:t>
      </w:r>
      <w:r w:rsidRPr="007467E8">
        <w:rPr>
          <w:sz w:val="16"/>
          <w:lang w:val="en-GB"/>
        </w:rPr>
        <w:t>). </w:t>
      </w:r>
      <w:r w:rsidRPr="00EC258F">
        <w:rPr>
          <w:sz w:val="16"/>
        </w:rPr>
        <w:t xml:space="preserve">Vertailukelpoinen liiketulos oli </w:t>
      </w:r>
      <w:r w:rsidRPr="00EC258F">
        <w:rPr>
          <w:sz w:val="16"/>
        </w:rPr>
        <w:t>-28</w:t>
      </w:r>
      <w:r w:rsidRPr="00EC258F">
        <w:rPr>
          <w:sz w:val="16"/>
        </w:rPr>
        <w:t xml:space="preserve"> miljoonaa euroa </w:t>
      </w:r>
      <w:r w:rsidR="00983961">
        <w:rPr>
          <w:sz w:val="16"/>
        </w:rPr>
        <w:br/>
      </w:r>
      <w:r w:rsidRPr="00EC258F">
        <w:rPr>
          <w:sz w:val="16"/>
        </w:rPr>
        <w:t>(</w:t>
      </w:r>
      <w:r w:rsidRPr="00EC258F">
        <w:rPr>
          <w:sz w:val="16"/>
        </w:rPr>
        <w:t>-41</w:t>
      </w:r>
      <w:r w:rsidRPr="00983961">
        <w:rPr>
          <w:sz w:val="16"/>
          <w:lang w:val="en-GB"/>
        </w:rPr>
        <w:t xml:space="preserve">) eli </w:t>
      </w:r>
      <w:r w:rsidRPr="00983961">
        <w:rPr>
          <w:sz w:val="16"/>
          <w:lang w:val="en-GB"/>
        </w:rPr>
        <w:t>-9,9</w:t>
      </w:r>
      <w:r w:rsidRPr="00983961">
        <w:rPr>
          <w:sz w:val="16"/>
          <w:lang w:val="en-GB"/>
        </w:rPr>
        <w:t>% liikevaihdosta (</w:t>
      </w:r>
      <w:r w:rsidRPr="00983961">
        <w:rPr>
          <w:sz w:val="16"/>
          <w:lang w:val="en-GB"/>
        </w:rPr>
        <w:t>-16,5</w:t>
      </w:r>
      <w:r w:rsidRPr="00EC258F">
        <w:rPr>
          <w:sz w:val="16"/>
        </w:rPr>
        <w:t xml:space="preserve">). </w:t>
      </w:r>
      <w:r w:rsidRPr="007467E8" w:rsidR="007467E8">
        <w:rPr>
          <w:sz w:val="16"/>
        </w:rPr>
        <w:t>Tulosta paransivat korkeammat myyntimäärät, suotuisampi liikevaihtojakauma laitteiden ja palveluiden kesken sekä toteutetut tehostamistoimenpiteet. Samaan aikaan investoinnit digitaalisiin kyvykkyyksiin ja koronapandemiasta johtuneet henkilöstön maailmanlaajuisen käytön rajoitukset rasittivat liiketulosta. Vertailukelpoisuuteen vaikuttaviin eriin sisältyi 12 miljoonaa euroa tehokkuuden parantamiseen liittyviä kuluja.</w:t>
      </w:r>
    </w:p>
    <w:p w:rsidR="00B91B7E" w:rsidRPr="00EC258F" w:rsidP="00B02072" w14:paraId="1C885F80" w14:textId="6F969B54">
      <w:pPr>
        <w:pStyle w:val="WHeadingException3"/>
      </w:pPr>
      <w:r w:rsidRPr="00EC258F">
        <w:t>Wärtsilä Energy</w:t>
      </w:r>
    </w:p>
    <w:p w:rsidR="008C1893" w:rsidRPr="00EC258F" w:rsidP="007467E8" w14:paraId="0076DC0D" w14:textId="3A1C8B9E">
      <w:pPr>
        <w:pStyle w:val="WNormal"/>
        <w:spacing w:after="160"/>
        <w:rPr>
          <w:sz w:val="16"/>
        </w:rPr>
      </w:pPr>
      <w:r w:rsidRPr="00EC258F">
        <w:rPr>
          <w:sz w:val="16"/>
        </w:rPr>
        <w:t xml:space="preserve">Energyn tilauskertymä vuonna </w:t>
      </w:r>
      <w:r w:rsidRPr="00EC258F">
        <w:rPr>
          <w:sz w:val="16"/>
        </w:rPr>
        <w:t>2021</w:t>
      </w:r>
      <w:r w:rsidRPr="00EC258F">
        <w:rPr>
          <w:sz w:val="16"/>
        </w:rPr>
        <w:t xml:space="preserve"> </w:t>
      </w:r>
      <w:r w:rsidRPr="00EC258F">
        <w:rPr>
          <w:sz w:val="16"/>
        </w:rPr>
        <w:t>kasvoi 48% 2 444 miljoonaan euroon</w:t>
      </w:r>
      <w:r w:rsidRPr="00EC258F">
        <w:rPr>
          <w:sz w:val="16"/>
        </w:rPr>
        <w:t xml:space="preserve"> (</w:t>
      </w:r>
      <w:r w:rsidRPr="00EC258F">
        <w:rPr>
          <w:sz w:val="16"/>
        </w:rPr>
        <w:t>1 653</w:t>
      </w:r>
      <w:r w:rsidRPr="00EC258F">
        <w:rPr>
          <w:sz w:val="16"/>
        </w:rPr>
        <w:t xml:space="preserve">) edellisvuoteen nähden. Tilaus-laskutussuhde oli </w:t>
      </w:r>
      <w:r w:rsidRPr="00EC258F">
        <w:rPr>
          <w:sz w:val="16"/>
        </w:rPr>
        <w:t>1,31</w:t>
      </w:r>
      <w:r w:rsidRPr="00EC258F">
        <w:rPr>
          <w:sz w:val="16"/>
        </w:rPr>
        <w:t xml:space="preserve"> (</w:t>
      </w:r>
      <w:r w:rsidRPr="00EC258F">
        <w:rPr>
          <w:sz w:val="16"/>
        </w:rPr>
        <w:t>1,02</w:t>
      </w:r>
      <w:r w:rsidRPr="00EC258F">
        <w:rPr>
          <w:sz w:val="16"/>
        </w:rPr>
        <w:t xml:space="preserve">). </w:t>
      </w:r>
      <w:r w:rsidRPr="00983961">
        <w:rPr>
          <w:sz w:val="16"/>
          <w:lang w:val="en-GB"/>
        </w:rPr>
        <w:t xml:space="preserve">Palveluiden tilauskertymä </w:t>
      </w:r>
      <w:r w:rsidRPr="00983961">
        <w:rPr>
          <w:sz w:val="16"/>
          <w:lang w:val="en-GB"/>
        </w:rPr>
        <w:t>kasvoi 9% 916 miljoonaan euroon</w:t>
      </w:r>
      <w:r w:rsidRPr="00983961">
        <w:rPr>
          <w:sz w:val="16"/>
          <w:lang w:val="en-GB"/>
        </w:rPr>
        <w:t xml:space="preserve"> (</w:t>
      </w:r>
      <w:r w:rsidRPr="00983961">
        <w:rPr>
          <w:sz w:val="16"/>
          <w:lang w:val="en-GB"/>
        </w:rPr>
        <w:t>840</w:t>
      </w:r>
      <w:r w:rsidRPr="00983961">
        <w:rPr>
          <w:sz w:val="16"/>
          <w:lang w:val="en-GB"/>
        </w:rPr>
        <w:t>)</w:t>
      </w:r>
      <w:r w:rsidRPr="00983961" w:rsidR="007467E8">
        <w:rPr>
          <w:sz w:val="16"/>
          <w:lang w:val="en-GB"/>
        </w:rPr>
        <w:t xml:space="preserve">. </w:t>
      </w:r>
      <w:r w:rsidRPr="007467E8" w:rsidR="007467E8">
        <w:rPr>
          <w:sz w:val="16"/>
          <w:lang w:val="en-GB"/>
        </w:rPr>
        <w:t>L</w:t>
      </w:r>
      <w:r w:rsidRPr="007467E8">
        <w:rPr>
          <w:sz w:val="16"/>
          <w:lang w:val="en-GB"/>
        </w:rPr>
        <w:t xml:space="preserve">aitteiden tilauskertymä </w:t>
      </w:r>
      <w:r w:rsidRPr="007467E8">
        <w:rPr>
          <w:sz w:val="16"/>
          <w:lang w:val="en-GB"/>
        </w:rPr>
        <w:t>kasvoi 88% 1 529 miljoonaan euroon</w:t>
      </w:r>
      <w:r w:rsidRPr="007467E8">
        <w:rPr>
          <w:sz w:val="16"/>
          <w:lang w:val="en-GB"/>
        </w:rPr>
        <w:t xml:space="preserve"> (</w:t>
      </w:r>
      <w:r w:rsidRPr="007467E8">
        <w:rPr>
          <w:sz w:val="16"/>
          <w:lang w:val="en-GB"/>
        </w:rPr>
        <w:t>813</w:t>
      </w:r>
      <w:r w:rsidRPr="007467E8">
        <w:rPr>
          <w:sz w:val="16"/>
          <w:lang w:val="en-GB"/>
        </w:rPr>
        <w:t xml:space="preserve">). </w:t>
      </w:r>
      <w:r w:rsidRPr="007467E8" w:rsidR="007467E8">
        <w:rPr>
          <w:sz w:val="16"/>
        </w:rPr>
        <w:t xml:space="preserve">Laitteiden kysyntä oli suurinta Amerikassa. Wärtsilä sai tilaukset merkittävistä voimalaitosprojekteista Yhdysvalloissa, Meksikossa ja Brasiliassa. Energian varastointimarkkinoilla kysyntä oli vahvaa, ja tilauksia saatiin 3 000 MWh:n edestä. </w:t>
      </w:r>
      <w:r w:rsidRPr="00EC258F">
        <w:rPr>
          <w:sz w:val="16"/>
        </w:rPr>
        <w:t xml:space="preserve">Vuoden lopun tilauskanta </w:t>
      </w:r>
      <w:r w:rsidRPr="00EC258F">
        <w:rPr>
          <w:sz w:val="16"/>
        </w:rPr>
        <w:t>kasvoi 31% 2 393 miljoonaan euroon</w:t>
      </w:r>
      <w:r w:rsidRPr="00EC258F">
        <w:rPr>
          <w:sz w:val="16"/>
        </w:rPr>
        <w:t xml:space="preserve"> (</w:t>
      </w:r>
      <w:r w:rsidRPr="00EC258F">
        <w:rPr>
          <w:sz w:val="16"/>
        </w:rPr>
        <w:t>1 830</w:t>
      </w:r>
      <w:r w:rsidRPr="00EC258F">
        <w:rPr>
          <w:sz w:val="16"/>
        </w:rPr>
        <w:t>).</w:t>
      </w:r>
    </w:p>
    <w:p w:rsidR="00F21934" w:rsidRPr="00EC258F" w:rsidP="007467E8" w14:paraId="28C87A12" w14:textId="27CC7739">
      <w:pPr>
        <w:pStyle w:val="WNormal"/>
        <w:spacing w:after="160"/>
        <w:rPr>
          <w:sz w:val="16"/>
        </w:rPr>
      </w:pPr>
      <w:r w:rsidRPr="00EC258F">
        <w:rPr>
          <w:sz w:val="16"/>
        </w:rPr>
        <w:t xml:space="preserve">Liikevaihto </w:t>
      </w:r>
      <w:r w:rsidRPr="00EC258F">
        <w:rPr>
          <w:sz w:val="16"/>
        </w:rPr>
        <w:t>kasvoi 15% 1 861 miljoonaan euroon</w:t>
      </w:r>
      <w:r w:rsidRPr="00EC258F">
        <w:rPr>
          <w:sz w:val="16"/>
        </w:rPr>
        <w:t xml:space="preserve"> (</w:t>
      </w:r>
      <w:r w:rsidRPr="00EC258F">
        <w:rPr>
          <w:sz w:val="16"/>
        </w:rPr>
        <w:t>1 620</w:t>
      </w:r>
      <w:r w:rsidRPr="00EC258F">
        <w:rPr>
          <w:sz w:val="16"/>
        </w:rPr>
        <w:t xml:space="preserve">) edellisvuoteen nähden. </w:t>
      </w:r>
      <w:r w:rsidRPr="00465435">
        <w:rPr>
          <w:sz w:val="16"/>
          <w:lang w:val="en-GB"/>
        </w:rPr>
        <w:t xml:space="preserve">Palveluiden liikevaihto </w:t>
      </w:r>
      <w:r w:rsidRPr="00465435">
        <w:rPr>
          <w:sz w:val="16"/>
          <w:lang w:val="en-GB"/>
        </w:rPr>
        <w:t>kasvoi 14% 891 miljoonaan euroon</w:t>
      </w:r>
      <w:r w:rsidRPr="00465435">
        <w:rPr>
          <w:sz w:val="16"/>
          <w:lang w:val="en-GB"/>
        </w:rPr>
        <w:t xml:space="preserve"> (</w:t>
      </w:r>
      <w:r w:rsidRPr="00465435">
        <w:rPr>
          <w:sz w:val="16"/>
          <w:lang w:val="en-GB"/>
        </w:rPr>
        <w:t>782</w:t>
      </w:r>
      <w:r w:rsidRPr="00465435">
        <w:rPr>
          <w:sz w:val="16"/>
          <w:lang w:val="en-GB"/>
        </w:rPr>
        <w:t>)</w:t>
      </w:r>
      <w:r>
        <w:rPr>
          <w:sz w:val="16"/>
          <w:lang w:val="en-GB"/>
        </w:rPr>
        <w:t>. L</w:t>
      </w:r>
      <w:r w:rsidRPr="00465435">
        <w:rPr>
          <w:sz w:val="16"/>
          <w:lang w:val="en-GB"/>
        </w:rPr>
        <w:t xml:space="preserve">aitteiden liikevaihto </w:t>
      </w:r>
      <w:r w:rsidRPr="00465435">
        <w:rPr>
          <w:sz w:val="16"/>
          <w:lang w:val="en-GB"/>
        </w:rPr>
        <w:t>kasvoi 16% 970 miljoonaan euroon</w:t>
      </w:r>
      <w:r w:rsidRPr="00465435">
        <w:rPr>
          <w:sz w:val="16"/>
          <w:lang w:val="en-GB"/>
        </w:rPr>
        <w:t xml:space="preserve"> (</w:t>
      </w:r>
      <w:r w:rsidRPr="00465435">
        <w:rPr>
          <w:sz w:val="16"/>
          <w:lang w:val="en-GB"/>
        </w:rPr>
        <w:t>838</w:t>
      </w:r>
      <w:r w:rsidRPr="00465435">
        <w:rPr>
          <w:sz w:val="16"/>
          <w:lang w:val="en-GB"/>
        </w:rPr>
        <w:t xml:space="preserve">). </w:t>
      </w:r>
      <w:r w:rsidRPr="00EC258F">
        <w:rPr>
          <w:sz w:val="16"/>
        </w:rPr>
        <w:t xml:space="preserve">Vertailukelpoinen liiketulos oli </w:t>
      </w:r>
      <w:r w:rsidRPr="00EC258F">
        <w:rPr>
          <w:sz w:val="16"/>
        </w:rPr>
        <w:t>136</w:t>
      </w:r>
      <w:r w:rsidRPr="00EC258F">
        <w:rPr>
          <w:sz w:val="16"/>
        </w:rPr>
        <w:t xml:space="preserve"> miljoonaa euroa (</w:t>
      </w:r>
      <w:r w:rsidRPr="00EC258F">
        <w:rPr>
          <w:sz w:val="16"/>
        </w:rPr>
        <w:t>101</w:t>
      </w:r>
      <w:r w:rsidRPr="00983961">
        <w:rPr>
          <w:sz w:val="16"/>
          <w:lang w:val="en-GB"/>
        </w:rPr>
        <w:t xml:space="preserve">) eli </w:t>
      </w:r>
      <w:r w:rsidRPr="00983961">
        <w:rPr>
          <w:sz w:val="16"/>
          <w:lang w:val="en-GB"/>
        </w:rPr>
        <w:t>7,3</w:t>
      </w:r>
      <w:r w:rsidRPr="00983961">
        <w:rPr>
          <w:sz w:val="16"/>
          <w:lang w:val="en-GB"/>
        </w:rPr>
        <w:t>% liikevaihdosta (</w:t>
      </w:r>
      <w:r w:rsidRPr="00983961">
        <w:rPr>
          <w:sz w:val="16"/>
          <w:lang w:val="en-GB"/>
        </w:rPr>
        <w:t>6,3</w:t>
      </w:r>
      <w:r w:rsidRPr="00EC258F">
        <w:rPr>
          <w:sz w:val="16"/>
        </w:rPr>
        <w:t xml:space="preserve">). </w:t>
      </w:r>
      <w:r w:rsidRPr="00465435">
        <w:rPr>
          <w:sz w:val="16"/>
        </w:rPr>
        <w:t>Myyntivolyymien hyvä kehitys ja parempi palvelukapasiteetin käyttöaste tukivat liikevoittomarginaalin kehitystä. Kannattavuutta rasittivat ensimmäisellä vuosineljänneksellä suor</w:t>
      </w:r>
      <w:r w:rsidRPr="00465435">
        <w:rPr>
          <w:sz w:val="16"/>
        </w:rPr>
        <w:t xml:space="preserve">itetun perusteellisen projektiriskiarvion perusteella tehdyt noin 20 miljoonan euron nettovaraukset, </w:t>
      </w:r>
      <w:r>
        <w:rPr>
          <w:sz w:val="16"/>
        </w:rPr>
        <w:t>tehdas</w:t>
      </w:r>
      <w:r w:rsidRPr="00465435">
        <w:rPr>
          <w:sz w:val="16"/>
        </w:rPr>
        <w:t>kapasiteetin alhainen käyttöaste sekä kustannusten nousu.</w:t>
      </w:r>
    </w:p>
    <w:p w:rsidR="00F66F00" w:rsidRPr="007B63AA" w:rsidP="00C82C81" w14:textId="4380FFC4">
      <w:pPr>
        <w:pStyle w:val="WHeading3"/>
      </w:pPr>
      <w:bookmarkStart w:id="19" w:name="RG_MARKER_7501"/>
      <w:r w:rsidRPr="007B63AA">
        <w:t>Muut liiketoiminnot</w:t>
      </w:r>
      <w:bookmarkEnd w:id="19"/>
    </w:p>
    <w:p w:rsidR="00F66F00" w:rsidRPr="007B63AA" w:rsidP="00F943A4" w14:textId="21FB2457">
      <w:pPr>
        <w:pStyle w:val="WHeadingException3"/>
      </w:pPr>
      <w:r w:rsidRPr="007B63AA">
        <w:t>Wärtsilä Portfolio B</w:t>
      </w:r>
      <w:r>
        <w:t>usiness</w:t>
      </w:r>
    </w:p>
    <w:p w:rsidR="007B63AA" w:rsidRPr="00AF5D20" w:rsidP="007B63AA" w14:paraId="51F15573" w14:textId="550BAC5D">
      <w:pPr>
        <w:pStyle w:val="WNormal"/>
        <w:rPr>
          <w:sz w:val="16"/>
        </w:rPr>
      </w:pPr>
      <w:r w:rsidRPr="00AF5D20">
        <w:rPr>
          <w:sz w:val="16"/>
        </w:rPr>
        <w:t xml:space="preserve">Portfolio Businessin tilauskertymä vuonna </w:t>
      </w:r>
      <w:r w:rsidRPr="00AF5D20">
        <w:rPr>
          <w:sz w:val="16"/>
        </w:rPr>
        <w:t>2021</w:t>
      </w:r>
      <w:r w:rsidRPr="00AF5D20">
        <w:rPr>
          <w:sz w:val="16"/>
        </w:rPr>
        <w:t xml:space="preserve"> </w:t>
      </w:r>
      <w:r w:rsidRPr="00AF5D20">
        <w:rPr>
          <w:sz w:val="16"/>
        </w:rPr>
        <w:t>laski 9% 153 miljoonaan euroon</w:t>
      </w:r>
      <w:r w:rsidRPr="00AF5D20">
        <w:rPr>
          <w:sz w:val="16"/>
        </w:rPr>
        <w:t xml:space="preserve"> (</w:t>
      </w:r>
      <w:r w:rsidRPr="00AF5D20">
        <w:rPr>
          <w:sz w:val="16"/>
        </w:rPr>
        <w:t>168</w:t>
      </w:r>
      <w:r w:rsidRPr="00AF5D20">
        <w:rPr>
          <w:sz w:val="16"/>
        </w:rPr>
        <w:t>) edellisvuoteen nähden</w:t>
      </w:r>
      <w:r w:rsidRPr="00AF5D20">
        <w:rPr>
          <w:sz w:val="16"/>
        </w:rPr>
        <w:t xml:space="preserve">. </w:t>
      </w:r>
      <w:r w:rsidRPr="00103CCF">
        <w:rPr>
          <w:sz w:val="16"/>
        </w:rPr>
        <w:t xml:space="preserve">American Hydro -liiketoimintayksikössä nähtiin kasvua, mutta vuonna 2021 toteutetuilla liiketoimintayksiköiden myynneillä oli puolestaan negatiivinen vaikutus. </w:t>
      </w:r>
      <w:r w:rsidRPr="00AF5D20">
        <w:rPr>
          <w:sz w:val="16"/>
        </w:rPr>
        <w:t xml:space="preserve">Vuoden lopun tilauskanta </w:t>
      </w:r>
      <w:r w:rsidRPr="00AF5D20">
        <w:rPr>
          <w:sz w:val="16"/>
        </w:rPr>
        <w:t>laski 45% 142 miljoonaan euroon</w:t>
      </w:r>
      <w:r w:rsidRPr="00AF5D20">
        <w:rPr>
          <w:sz w:val="16"/>
        </w:rPr>
        <w:t xml:space="preserve"> (</w:t>
      </w:r>
      <w:r w:rsidRPr="00AF5D20">
        <w:rPr>
          <w:sz w:val="16"/>
        </w:rPr>
        <w:t>257</w:t>
      </w:r>
      <w:r w:rsidRPr="00AF5D20">
        <w:rPr>
          <w:sz w:val="16"/>
        </w:rPr>
        <w:t>)</w:t>
      </w:r>
      <w:r>
        <w:rPr>
          <w:sz w:val="16"/>
        </w:rPr>
        <w:t xml:space="preserve"> </w:t>
      </w:r>
      <w:r w:rsidRPr="00103CCF">
        <w:rPr>
          <w:sz w:val="16"/>
        </w:rPr>
        <w:t>johtuen pääasiassa myytyjen liiketoimintayksiköiden tilauskantojen poistumisesta</w:t>
      </w:r>
      <w:r w:rsidRPr="00AF5D20">
        <w:rPr>
          <w:sz w:val="16"/>
        </w:rPr>
        <w:t>.</w:t>
      </w:r>
    </w:p>
    <w:p w:rsidR="00F21934" w:rsidRPr="00AF5D20" w:rsidP="007B63AA" w14:textId="240B9D8E">
      <w:pPr>
        <w:pStyle w:val="WNormal"/>
        <w:rPr>
          <w:sz w:val="16"/>
        </w:rPr>
      </w:pPr>
      <w:r w:rsidRPr="00AF5D20">
        <w:rPr>
          <w:sz w:val="16"/>
        </w:rPr>
        <w:t xml:space="preserve">Liikevaihto </w:t>
      </w:r>
      <w:r w:rsidRPr="00AF5D20">
        <w:rPr>
          <w:sz w:val="16"/>
        </w:rPr>
        <w:t>laski 33% 121 miljoonaan euroon</w:t>
      </w:r>
      <w:r w:rsidRPr="00AF5D20">
        <w:rPr>
          <w:sz w:val="16"/>
        </w:rPr>
        <w:t xml:space="preserve"> (</w:t>
      </w:r>
      <w:r w:rsidRPr="00AF5D20">
        <w:rPr>
          <w:sz w:val="16"/>
        </w:rPr>
        <w:t>181</w:t>
      </w:r>
      <w:r w:rsidRPr="00AF5D20">
        <w:rPr>
          <w:sz w:val="16"/>
        </w:rPr>
        <w:t>) edellisvuoteen nähden</w:t>
      </w:r>
      <w:r>
        <w:rPr>
          <w:sz w:val="16"/>
        </w:rPr>
        <w:t xml:space="preserve"> </w:t>
      </w:r>
      <w:r w:rsidRPr="00103CCF">
        <w:rPr>
          <w:sz w:val="16"/>
        </w:rPr>
        <w:t>johtuen vuonna 2021 toteutetuista liiketoimintayksiköiden myynneistä</w:t>
      </w:r>
      <w:r w:rsidRPr="00AF5D20">
        <w:rPr>
          <w:sz w:val="16"/>
        </w:rPr>
        <w:t xml:space="preserve">. </w:t>
      </w:r>
      <w:r w:rsidRPr="00AF5D20">
        <w:rPr>
          <w:sz w:val="16"/>
        </w:rPr>
        <w:t xml:space="preserve">Vertailukelpoinen liiketulos oli </w:t>
      </w:r>
      <w:r w:rsidRPr="00AF5D20">
        <w:rPr>
          <w:sz w:val="16"/>
        </w:rPr>
        <w:t>2</w:t>
      </w:r>
      <w:r w:rsidRPr="00AF5D20">
        <w:rPr>
          <w:sz w:val="16"/>
        </w:rPr>
        <w:t xml:space="preserve"> miljoonaa euroa (</w:t>
      </w:r>
      <w:r w:rsidRPr="00AF5D20">
        <w:rPr>
          <w:sz w:val="16"/>
        </w:rPr>
        <w:t>-6</w:t>
      </w:r>
      <w:r w:rsidRPr="00AF5D20">
        <w:rPr>
          <w:sz w:val="16"/>
          <w:lang w:val="en-GB"/>
        </w:rPr>
        <w:t xml:space="preserve">) eli </w:t>
      </w:r>
      <w:r w:rsidRPr="00AF5D20">
        <w:rPr>
          <w:sz w:val="16"/>
          <w:lang w:val="en-GB"/>
        </w:rPr>
        <w:t>1,6</w:t>
      </w:r>
      <w:r w:rsidRPr="00AF5D20">
        <w:rPr>
          <w:sz w:val="16"/>
          <w:lang w:val="en-GB"/>
        </w:rPr>
        <w:t>% liikevaihdosta (</w:t>
      </w:r>
      <w:r w:rsidRPr="00AF5D20">
        <w:rPr>
          <w:sz w:val="16"/>
          <w:lang w:val="en-GB"/>
        </w:rPr>
        <w:t>-3,1</w:t>
      </w:r>
      <w:r w:rsidRPr="00AF5D20">
        <w:rPr>
          <w:sz w:val="16"/>
        </w:rPr>
        <w:t>)</w:t>
      </w:r>
      <w:r>
        <w:rPr>
          <w:sz w:val="16"/>
        </w:rPr>
        <w:t xml:space="preserve">, </w:t>
      </w:r>
      <w:r w:rsidRPr="00103CCF">
        <w:rPr>
          <w:sz w:val="16"/>
        </w:rPr>
        <w:t xml:space="preserve">mihin vaikutti lähinnä </w:t>
      </w:r>
      <w:r w:rsidRPr="00103CCF">
        <w:rPr>
          <w:sz w:val="16"/>
        </w:rPr>
        <w:t>Water</w:t>
      </w:r>
      <w:r w:rsidRPr="00103CCF">
        <w:rPr>
          <w:sz w:val="16"/>
        </w:rPr>
        <w:t xml:space="preserve"> &amp; Waste -liiketoimintayksikön parantunut kannattavuus. Yritysmyynneistä johtuvia, vertailukelpoisuuteen vaikuttavia eriä kirjattiin 11 miljoonaa euroa</w:t>
      </w:r>
      <w:r w:rsidRPr="00AF5D20">
        <w:rPr>
          <w:sz w:val="16"/>
        </w:rPr>
        <w:t>.</w:t>
      </w:r>
    </w:p>
    <w:p w:rsidR="00F82D67" w:rsidRPr="00F62EE8" w:rsidP="00F62EE8">
      <w:pPr>
        <w:pStyle w:val="WHeadingException3"/>
        <w:spacing w:before="0"/>
        <w:rPr>
          <w:rFonts w:ascii="Arial" w:eastAsia="Times New Roman" w:hAnsi="Arial"/>
          <w:b/>
          <w:bCs/>
          <w:sz w:val="16"/>
          <w:szCs w:val="16"/>
        </w:rPr>
      </w:pPr>
      <w:bookmarkStart w:id="20" w:name="RG_MARKER_7505"/>
      <w:r w:rsidRPr="00F62EE8">
        <w:rPr>
          <w:b/>
          <w:bCs/>
          <w:sz w:val="16"/>
          <w:szCs w:val="16"/>
        </w:rPr>
        <w:t>Yritysmyynnit</w:t>
      </w:r>
      <w:bookmarkEnd w:id="20"/>
    </w:p>
    <w:p w:rsidR="00C7545C" w:rsidRPr="00C7545C" w:rsidP="00C7545C">
      <w:pPr>
        <w:pStyle w:val="WNormal"/>
        <w:rPr>
          <w:sz w:val="16"/>
          <w:szCs w:val="20"/>
          <w:lang w:val="fi-FI"/>
        </w:rPr>
      </w:pPr>
      <w:r w:rsidRPr="00C7545C">
        <w:rPr>
          <w:sz w:val="16"/>
          <w:szCs w:val="20"/>
          <w:lang w:val="fi-FI"/>
        </w:rPr>
        <w:t xml:space="preserve">Tammikuussa Wärtsilä ilmoitti myyvänsä 100% omistamansa Entertainment-liiketoiminnan, Wärtsilä Funa </w:t>
      </w:r>
      <w:r w:rsidRPr="00C7545C">
        <w:rPr>
          <w:sz w:val="16"/>
          <w:szCs w:val="20"/>
          <w:lang w:val="fi-FI"/>
        </w:rPr>
        <w:t>GmbH:n</w:t>
      </w:r>
      <w:r w:rsidRPr="00C7545C">
        <w:rPr>
          <w:sz w:val="16"/>
          <w:szCs w:val="20"/>
          <w:lang w:val="fi-FI"/>
        </w:rPr>
        <w:t xml:space="preserve">, osakkeista ranskalaiselle pörssiyhtiölle </w:t>
      </w:r>
      <w:r w:rsidRPr="00C7545C">
        <w:rPr>
          <w:sz w:val="16"/>
          <w:szCs w:val="20"/>
          <w:lang w:val="fi-FI"/>
        </w:rPr>
        <w:t>Videlio</w:t>
      </w:r>
      <w:r w:rsidRPr="00C7545C">
        <w:rPr>
          <w:sz w:val="16"/>
          <w:szCs w:val="20"/>
          <w:lang w:val="fi-FI"/>
        </w:rPr>
        <w:t xml:space="preserve"> </w:t>
      </w:r>
      <w:r w:rsidRPr="00C7545C">
        <w:rPr>
          <w:sz w:val="16"/>
          <w:szCs w:val="20"/>
          <w:lang w:val="fi-FI"/>
        </w:rPr>
        <w:t>SA:lle</w:t>
      </w:r>
      <w:r w:rsidRPr="00C7545C">
        <w:rPr>
          <w:sz w:val="16"/>
          <w:szCs w:val="20"/>
          <w:lang w:val="fi-FI"/>
        </w:rPr>
        <w:t xml:space="preserve">. Tämä Wärtsilän entinen liiketoiminta suunnittelee, valmistaa ja </w:t>
      </w:r>
      <w:r w:rsidRPr="00C7545C">
        <w:rPr>
          <w:sz w:val="16"/>
          <w:szCs w:val="20"/>
          <w:lang w:val="fi-FI"/>
        </w:rPr>
        <w:t xml:space="preserve">integroi viihde-, valaistus-, valaistuksen säätö-, kuulutus- ja digitaalisen äänentoiston järjestelmiä risteilyaluksiin ja huvipuistoihin. Yrityksestä tuli osa Wärtsilää L-3 </w:t>
      </w:r>
      <w:r w:rsidRPr="00C7545C">
        <w:rPr>
          <w:sz w:val="16"/>
          <w:szCs w:val="20"/>
          <w:lang w:val="fi-FI"/>
        </w:rPr>
        <w:t>Communications</w:t>
      </w:r>
      <w:r w:rsidRPr="00C7545C">
        <w:rPr>
          <w:sz w:val="16"/>
          <w:szCs w:val="20"/>
          <w:lang w:val="fi-FI"/>
        </w:rPr>
        <w:t xml:space="preserve"> </w:t>
      </w:r>
      <w:r w:rsidRPr="00C7545C">
        <w:rPr>
          <w:sz w:val="16"/>
          <w:szCs w:val="20"/>
          <w:lang w:val="fi-FI"/>
        </w:rPr>
        <w:t>MSI:n</w:t>
      </w:r>
      <w:r w:rsidRPr="00C7545C">
        <w:rPr>
          <w:sz w:val="16"/>
          <w:szCs w:val="20"/>
          <w:lang w:val="fi-FI"/>
        </w:rPr>
        <w:t xml:space="preserve"> oston yhteydessä vuonna 2015. Sillä on 172 työntekijää viides</w:t>
      </w:r>
      <w:r w:rsidRPr="00C7545C">
        <w:rPr>
          <w:sz w:val="16"/>
          <w:szCs w:val="20"/>
          <w:lang w:val="fi-FI"/>
        </w:rPr>
        <w:t xml:space="preserve">sä maassa, suurin osa Saksan </w:t>
      </w:r>
      <w:r w:rsidRPr="00C7545C">
        <w:rPr>
          <w:sz w:val="16"/>
          <w:szCs w:val="20"/>
          <w:lang w:val="fi-FI"/>
        </w:rPr>
        <w:t>Emdenissä</w:t>
      </w:r>
      <w:r w:rsidRPr="00C7545C">
        <w:rPr>
          <w:sz w:val="16"/>
          <w:szCs w:val="20"/>
          <w:lang w:val="fi-FI"/>
        </w:rPr>
        <w:t>. Liikevaihto vuonna 2020 oli noin 50 miljoonaa euroa. Kauppa saatettiin päätökseen huhtikuussa.</w:t>
      </w:r>
    </w:p>
    <w:p w:rsidR="00C7545C" w:rsidRPr="00C7545C" w:rsidP="00C7545C">
      <w:pPr>
        <w:pStyle w:val="WNormal"/>
        <w:rPr>
          <w:sz w:val="16"/>
          <w:szCs w:val="20"/>
          <w:lang w:val="fi-FI"/>
        </w:rPr>
      </w:pPr>
      <w:r w:rsidRPr="00C7545C">
        <w:rPr>
          <w:sz w:val="16"/>
          <w:szCs w:val="20"/>
          <w:lang w:val="fi-FI"/>
        </w:rPr>
        <w:t xml:space="preserve">Maaliskuussa Wärtsilä ilmoitti myyvänsä 100% omistamansa Wärtsilä Euroatlas </w:t>
      </w:r>
      <w:r w:rsidRPr="00C7545C">
        <w:rPr>
          <w:sz w:val="16"/>
          <w:szCs w:val="20"/>
          <w:lang w:val="fi-FI"/>
        </w:rPr>
        <w:t>GmbH:n</w:t>
      </w:r>
      <w:r w:rsidRPr="00C7545C">
        <w:rPr>
          <w:sz w:val="16"/>
          <w:szCs w:val="20"/>
          <w:lang w:val="fi-FI"/>
        </w:rPr>
        <w:t xml:space="preserve"> osakkeista ruotsalaiselle globaalisti </w:t>
      </w:r>
      <w:r w:rsidRPr="00C7545C">
        <w:rPr>
          <w:sz w:val="16"/>
          <w:szCs w:val="20"/>
          <w:lang w:val="fi-FI"/>
        </w:rPr>
        <w:t xml:space="preserve">toimivalle sijoitusyhtiö </w:t>
      </w:r>
      <w:r w:rsidRPr="00C7545C">
        <w:rPr>
          <w:sz w:val="16"/>
          <w:szCs w:val="20"/>
          <w:lang w:val="fi-FI"/>
        </w:rPr>
        <w:t>Mimirille</w:t>
      </w:r>
      <w:r w:rsidRPr="00C7545C">
        <w:rPr>
          <w:sz w:val="16"/>
          <w:szCs w:val="20"/>
          <w:lang w:val="fi-FI"/>
        </w:rPr>
        <w:t>. Tämä Wärtsilän entinen liiketoiminta tarjoaa globaalille asiakaskunnalleen räätälöityjä korkean suorituskyvyn tehonmuunnosratkaisuja meri-, ilmailu- ja maasovelluksiin, jotka edellyttävät ehdotonta luotettavuutta, tehoti</w:t>
      </w:r>
      <w:r w:rsidRPr="00C7545C">
        <w:rPr>
          <w:sz w:val="16"/>
          <w:szCs w:val="20"/>
          <w:lang w:val="fi-FI"/>
        </w:rPr>
        <w:t xml:space="preserve">heyttä ja huippuluokan energiatehokkuutta ankarissa ympäristöolosuhteissa. Yhtiö tuli osaksi Wärtsilää L-3 </w:t>
      </w:r>
      <w:r w:rsidRPr="00C7545C">
        <w:rPr>
          <w:sz w:val="16"/>
          <w:szCs w:val="20"/>
          <w:lang w:val="fi-FI"/>
        </w:rPr>
        <w:t>Communications</w:t>
      </w:r>
      <w:r w:rsidRPr="00C7545C">
        <w:rPr>
          <w:sz w:val="16"/>
          <w:szCs w:val="20"/>
          <w:lang w:val="fi-FI"/>
        </w:rPr>
        <w:t xml:space="preserve"> </w:t>
      </w:r>
      <w:r w:rsidRPr="00C7545C">
        <w:rPr>
          <w:sz w:val="16"/>
          <w:szCs w:val="20"/>
          <w:lang w:val="fi-FI"/>
        </w:rPr>
        <w:t>MSI:n</w:t>
      </w:r>
      <w:r w:rsidRPr="00C7545C">
        <w:rPr>
          <w:sz w:val="16"/>
          <w:szCs w:val="20"/>
          <w:lang w:val="fi-FI"/>
        </w:rPr>
        <w:t xml:space="preserve"> oston yhteydessä vuonna 2015. Sillä on 79 työntekijää Bremenissä Saksassa. Kauppa saatettiin päätökseen heinäkuussa.</w:t>
      </w:r>
    </w:p>
    <w:p w:rsidR="004B7A95" w:rsidRPr="00F62EE8" w:rsidP="00C7545C">
      <w:pPr>
        <w:pStyle w:val="WNormal"/>
        <w:rPr>
          <w:sz w:val="16"/>
          <w:szCs w:val="20"/>
          <w:lang w:val="fi-FI"/>
        </w:rPr>
      </w:pPr>
      <w:r w:rsidRPr="00C7545C">
        <w:rPr>
          <w:sz w:val="16"/>
          <w:szCs w:val="20"/>
          <w:lang w:val="fi-FI"/>
        </w:rPr>
        <w:t xml:space="preserve">Syyskuussa </w:t>
      </w:r>
      <w:r w:rsidRPr="00C7545C">
        <w:rPr>
          <w:sz w:val="16"/>
          <w:szCs w:val="20"/>
          <w:lang w:val="fi-FI"/>
        </w:rPr>
        <w:t xml:space="preserve">Wärtsilä ilmoitti myyvänsä </w:t>
      </w:r>
      <w:r w:rsidRPr="00C7545C">
        <w:rPr>
          <w:sz w:val="16"/>
          <w:szCs w:val="20"/>
          <w:lang w:val="fi-FI"/>
        </w:rPr>
        <w:t>Tank</w:t>
      </w:r>
      <w:r w:rsidRPr="00C7545C">
        <w:rPr>
          <w:sz w:val="16"/>
          <w:szCs w:val="20"/>
          <w:lang w:val="fi-FI"/>
        </w:rPr>
        <w:t xml:space="preserve"> Control Systems </w:t>
      </w:r>
      <w:r>
        <w:rPr>
          <w:sz w:val="16"/>
          <w:szCs w:val="20"/>
          <w:lang w:val="fi-FI"/>
        </w:rPr>
        <w:br/>
      </w:r>
      <w:r w:rsidRPr="00C7545C">
        <w:rPr>
          <w:sz w:val="16"/>
          <w:szCs w:val="20"/>
          <w:lang w:val="fi-FI"/>
        </w:rPr>
        <w:t xml:space="preserve">-liiketoimintansa tanskalaiselle </w:t>
      </w:r>
      <w:r w:rsidRPr="00C7545C">
        <w:rPr>
          <w:sz w:val="16"/>
          <w:szCs w:val="20"/>
          <w:lang w:val="fi-FI"/>
        </w:rPr>
        <w:t>Svanehøj’lle</w:t>
      </w:r>
      <w:r w:rsidRPr="00C7545C">
        <w:rPr>
          <w:sz w:val="16"/>
          <w:szCs w:val="20"/>
          <w:lang w:val="fi-FI"/>
        </w:rPr>
        <w:t xml:space="preserve">, joka suunnittelee ja valmistaa kaasualan erikoispumppuja. Wärtsilä </w:t>
      </w:r>
      <w:r w:rsidRPr="00C7545C">
        <w:rPr>
          <w:sz w:val="16"/>
          <w:szCs w:val="20"/>
          <w:lang w:val="fi-FI"/>
        </w:rPr>
        <w:t>Tank</w:t>
      </w:r>
      <w:r w:rsidRPr="00C7545C">
        <w:rPr>
          <w:sz w:val="16"/>
          <w:szCs w:val="20"/>
          <w:lang w:val="fi-FI"/>
        </w:rPr>
        <w:t xml:space="preserve"> Control Systems suunnittelee, valmistaa ja myy korkealuokkaisia mittausjärjestelmiä LNG-a</w:t>
      </w:r>
      <w:r w:rsidRPr="00C7545C">
        <w:rPr>
          <w:sz w:val="16"/>
          <w:szCs w:val="20"/>
          <w:lang w:val="fi-FI"/>
        </w:rPr>
        <w:t xml:space="preserve">lusten, </w:t>
      </w:r>
      <w:r w:rsidRPr="00C7545C">
        <w:rPr>
          <w:sz w:val="16"/>
          <w:szCs w:val="20"/>
          <w:lang w:val="fi-FI"/>
        </w:rPr>
        <w:t>offshore</w:t>
      </w:r>
      <w:r w:rsidRPr="00C7545C">
        <w:rPr>
          <w:sz w:val="16"/>
          <w:szCs w:val="20"/>
          <w:lang w:val="fi-FI"/>
        </w:rPr>
        <w:t xml:space="preserve">-kaasuvarastojen sekä LNG-terminaalien kaasutankkeihin. </w:t>
      </w:r>
      <w:r w:rsidRPr="00C7545C">
        <w:rPr>
          <w:sz w:val="16"/>
          <w:szCs w:val="20"/>
          <w:lang w:val="fi-FI"/>
        </w:rPr>
        <w:t>Tank</w:t>
      </w:r>
      <w:r w:rsidRPr="00C7545C">
        <w:rPr>
          <w:sz w:val="16"/>
          <w:szCs w:val="20"/>
          <w:lang w:val="fi-FI"/>
        </w:rPr>
        <w:t xml:space="preserve"> Control Systems on myös yksi alan johtavista turvallisuustuotteiden valmistajista maissa oleville LPG-varastoille sekä maanalaisille luolavarastoille. Liiketoiminnasta tuli osa Wä</w:t>
      </w:r>
      <w:r w:rsidRPr="00C7545C">
        <w:rPr>
          <w:sz w:val="16"/>
          <w:szCs w:val="20"/>
          <w:lang w:val="fi-FI"/>
        </w:rPr>
        <w:t xml:space="preserve">rtsilää Total </w:t>
      </w:r>
      <w:r w:rsidRPr="00C7545C">
        <w:rPr>
          <w:sz w:val="16"/>
          <w:szCs w:val="20"/>
          <w:lang w:val="fi-FI"/>
        </w:rPr>
        <w:t>Automation</w:t>
      </w:r>
      <w:r w:rsidRPr="00C7545C">
        <w:rPr>
          <w:sz w:val="16"/>
          <w:szCs w:val="20"/>
          <w:lang w:val="fi-FI"/>
        </w:rPr>
        <w:t xml:space="preserve"> -yritysoston myötä vuonna 2006. Henkilöstöä on yhteensä noin 50 Britanniassa, Ranskassa ja Singaporessa. Liikevaihto vuonna 2020 oli 7,5 miljoonaa euroa. Kauppa saatettiin päätökseen tammikuussa 2022.</w:t>
      </w:r>
    </w:p>
    <w:p w:rsidR="0026591C" w:rsidRPr="008B2ABD" w:rsidP="00EE1D6D">
      <w:pPr>
        <w:pStyle w:val="WHeadingException1"/>
        <w:rPr>
          <w:b/>
          <w:bCs/>
          <w:sz w:val="17"/>
          <w:szCs w:val="17"/>
        </w:rPr>
      </w:pPr>
      <w:bookmarkStart w:id="21" w:name="RG_MARKER_7486"/>
      <w:r w:rsidRPr="008B2ABD">
        <w:rPr>
          <w:b/>
          <w:bCs/>
          <w:sz w:val="17"/>
          <w:szCs w:val="17"/>
        </w:rPr>
        <w:t>Riskit ja liiketoiminnan epävarmuustekijät</w:t>
      </w:r>
      <w:bookmarkEnd w:id="21"/>
    </w:p>
    <w:p w:rsidR="0092227B" w:rsidRPr="0092227B" w:rsidP="0092227B">
      <w:pPr>
        <w:pStyle w:val="WNormal"/>
        <w:rPr>
          <w:sz w:val="16"/>
          <w:szCs w:val="16"/>
        </w:rPr>
      </w:pPr>
      <w:r w:rsidRPr="0092227B">
        <w:rPr>
          <w:sz w:val="16"/>
          <w:szCs w:val="16"/>
        </w:rPr>
        <w:t xml:space="preserve">Koronaviruksen uudet variantit ja niiden leviämisen estämiseksi tehtävät toimenpiteet muodostavat keskeisimmän riskin laitteiden ja palvelujen kysynnälle lyhyellä ja keskipitkällä aikavälillä. Niiden </w:t>
      </w:r>
      <w:r w:rsidRPr="0092227B">
        <w:rPr>
          <w:sz w:val="16"/>
          <w:szCs w:val="16"/>
        </w:rPr>
        <w:t>vaikutukset ulottuvat maailmanlaajuiseen energiankulutukseen, meriliikenteeseen sekä kuluttajien luottamukseen risteily- ja matkustajalauttaliikennettä kohtaan. Liikkumisrajoitukset vaikuttavat yhä liiketoimintaan, projektien toimitusaikatauluihin ja palve</w:t>
      </w:r>
      <w:r w:rsidRPr="0092227B">
        <w:rPr>
          <w:sz w:val="16"/>
          <w:szCs w:val="16"/>
        </w:rPr>
        <w:t>lumahdollisuuksiin. Toimitusketjujen häiriöt ja koronaviruspandemiaan liittyvät henkilöstön karanteenit ja sairauspoissaolot saattavat vaikuttaa tehtaiden toimintaan ja varaosatoimituksiin. Ne aiheuttavat myös raaka-aineiden ja komponenttien hintoihin ja s</w:t>
      </w:r>
      <w:r w:rsidRPr="0092227B">
        <w:rPr>
          <w:sz w:val="16"/>
          <w:szCs w:val="16"/>
        </w:rPr>
        <w:t>aatavuuteen sekä kuljetuskustannuksiin liittyviä riskejä. Vaikka koronarokotukset etenevät yleisesti ottaen hyvin, pandemian kesto, rokotteiden teho koronaviruksen uusia variantteja vastaan ja maakohtaisten rokotusohjelmien täytäntöönpanon nopeus maailmanl</w:t>
      </w:r>
      <w:r w:rsidRPr="0092227B">
        <w:rPr>
          <w:sz w:val="16"/>
          <w:szCs w:val="16"/>
        </w:rPr>
        <w:t xml:space="preserve">aajuisesti aiheuttavat edelleen huomattavaa epävarmuutta erityisesti kehittyvissä maissa. </w:t>
      </w:r>
    </w:p>
    <w:p w:rsidR="0092227B" w:rsidRPr="0092227B" w:rsidP="0092227B">
      <w:pPr>
        <w:pStyle w:val="WNormal"/>
        <w:rPr>
          <w:sz w:val="16"/>
          <w:szCs w:val="16"/>
        </w:rPr>
      </w:pPr>
      <w:r w:rsidRPr="0092227B">
        <w:rPr>
          <w:sz w:val="16"/>
          <w:szCs w:val="16"/>
        </w:rPr>
        <w:t>Viranomaiset, rahoittajat ja loppuasiakkaat painostavat merenkulku- ja laivanrakennusalaa yhä voimakkaammin kohti hiilineutraaliutta. Tarkoituksenmukaisen tulevan te</w:t>
      </w:r>
      <w:r w:rsidRPr="0092227B">
        <w:rPr>
          <w:sz w:val="16"/>
          <w:szCs w:val="16"/>
        </w:rPr>
        <w:t>knologian kehitykseen ja käyttöönottoon liittyvät epävarmuustekijät voivat vaikuttaa varustamoiden ja laivayhtiöiden halukkuuteen investoida sekä uusiin että olemassa oleviin aluksiin. Samalla vaihtoehtoisten polttoaineiden rajallinen infrastruktuuri, peri</w:t>
      </w:r>
      <w:r w:rsidRPr="0092227B">
        <w:rPr>
          <w:sz w:val="16"/>
          <w:szCs w:val="16"/>
        </w:rPr>
        <w:t>nteisten ja vaihtoehtoisten polttoaineiden merkittävä hintaero sekä sääntely-ympäristöön ja uuden teknologian käyttöönottoon liittyvät epävarmuudet voivat asettaa esteitä vihreälle siirtymälle.</w:t>
      </w:r>
    </w:p>
    <w:p w:rsidR="0092227B" w:rsidRPr="0092227B" w:rsidP="0092227B">
      <w:pPr>
        <w:pStyle w:val="WNormal"/>
        <w:rPr>
          <w:sz w:val="16"/>
          <w:szCs w:val="16"/>
        </w:rPr>
      </w:pPr>
      <w:r w:rsidRPr="0092227B">
        <w:rPr>
          <w:sz w:val="16"/>
          <w:szCs w:val="16"/>
        </w:rPr>
        <w:t xml:space="preserve">Yhä voimassa olevat matkustusrajoitukset, ihmisten rajallinen </w:t>
      </w:r>
      <w:r w:rsidRPr="0092227B">
        <w:rPr>
          <w:sz w:val="16"/>
          <w:szCs w:val="16"/>
        </w:rPr>
        <w:t>kyky ja halu matkustaa sekä koronaviruksen tartuntamäärien uusi kasvu ovat riski risteily- ja matkustajalauttamarkkinoiden elpymiselle. Offshore-öljy- ja -kaasuteollisuudessa raakaöljyn kysynnän kehitykseen liittyvä epävarmuus ja öljyn hintavaihtelut pakot</w:t>
      </w:r>
      <w:r w:rsidRPr="0092227B">
        <w:rPr>
          <w:sz w:val="16"/>
          <w:szCs w:val="16"/>
        </w:rPr>
        <w:t>tavat öljy-yhtiöt arvioimaan uudelleen sekä investointejaan öljynetsintätoimintaan että operatiivisia kustannuksiaan, mikä voi johtaa yhä useamman porausyksikön ja tukialuksen poistamiseen käytöstä. Öljyn hintavaihtelu vaikuttaa myös vähärikkisen ja rikkip</w:t>
      </w:r>
      <w:r w:rsidRPr="0092227B">
        <w:rPr>
          <w:sz w:val="16"/>
          <w:szCs w:val="16"/>
        </w:rPr>
        <w:t>itoisen polttoaineen väliseen hintaeroon. Pieni hintaero tai rikkipitoisen polttoaineen heikompi saatavuus tulevaisuudessa voivat vähentää rikkipesuri-investointeja. Vallitsevat markkinaolosuhteet voivat ylläpitää hintapainetta.</w:t>
      </w:r>
    </w:p>
    <w:p w:rsidR="0092227B" w:rsidP="0092227B">
      <w:pPr>
        <w:pStyle w:val="WNormal"/>
        <w:rPr>
          <w:sz w:val="16"/>
          <w:szCs w:val="16"/>
        </w:rPr>
      </w:pPr>
      <w:r w:rsidRPr="0092227B">
        <w:rPr>
          <w:sz w:val="16"/>
          <w:szCs w:val="16"/>
          <w:lang w:bidi="fi-FI"/>
        </w:rPr>
        <w:t>Energiamarkkinoilla koronav</w:t>
      </w:r>
      <w:r w:rsidRPr="0092227B">
        <w:rPr>
          <w:sz w:val="16"/>
          <w:szCs w:val="16"/>
          <w:lang w:bidi="fi-FI"/>
        </w:rPr>
        <w:t>iruspandemia, valuuttakurssien heilahtelut ja mahdolliset rahoitusta koskevat rajoitteet todennäköisesti lykkäävät uutta voimantuotantokapasiteettia koskevia sijoituspäätöksiä taloudellisen toiminnan maailmanlaajuisesta kasvusta huolimatta. Monet maat kamp</w:t>
      </w:r>
      <w:r w:rsidRPr="0092227B">
        <w:rPr>
          <w:sz w:val="16"/>
          <w:szCs w:val="16"/>
          <w:lang w:bidi="fi-FI"/>
        </w:rPr>
        <w:t>pailevat edelleen pandemian kanssa, mikä rajoittaa niiden mahdollisuuksia toteuttaa uusia infrastruktuurihankkeita. Energiamurros voi myös väliaikaisesti hidastua, kun huomio keskittyy viruksen leviämisen hillitsemiseen ja sen vaikutusten lieventämiseen. J</w:t>
      </w:r>
      <w:r w:rsidRPr="0092227B">
        <w:rPr>
          <w:sz w:val="16"/>
          <w:szCs w:val="16"/>
          <w:lang w:bidi="fi-FI"/>
        </w:rPr>
        <w:t>o sovittuihin ja ehdotettuihin elvytyspaketteihin, jotka tähtäävät uusiutuviin energianlähteisiin tehtävien investointien nopeuttamiseen, sisältyy edelleen epävarmuutta rahoituksen kohdistamisen periaatteista ja toteuttamisaikatauluista. Elvytystoimenpitei</w:t>
      </w:r>
      <w:r w:rsidRPr="0092227B">
        <w:rPr>
          <w:sz w:val="16"/>
          <w:szCs w:val="16"/>
          <w:lang w:bidi="fi-FI"/>
        </w:rPr>
        <w:t>den toteutuessa joustavien voimajärjestelmien tarve kuitenkin korostuu. Ilmastopolitiikan ja sääntelyn muutokset aiheuttavat epävarmuutta markkinoilla, sillä ne voivat vaikuttaa asiakkaiden teknologiavalintoihin. Myös geopoliittiset jännitteet ja kauppapak</w:t>
      </w:r>
      <w:r w:rsidRPr="0092227B">
        <w:rPr>
          <w:sz w:val="16"/>
          <w:szCs w:val="16"/>
          <w:lang w:bidi="fi-FI"/>
        </w:rPr>
        <w:t>otteet luovat merkittäviä haasteita kysyntäympäristölle. Vallitsevasta kilpailuympäristöstä johtuva hintapaine on edelleen riski. Kaasun hintavaihtelu ja hintojen nousu voivat vaikuttaa kaasua käyttävän perusvoiman tuotannon kilpailukykyyn. Niillä ei kuite</w:t>
      </w:r>
      <w:r w:rsidRPr="0092227B">
        <w:rPr>
          <w:sz w:val="16"/>
          <w:szCs w:val="16"/>
          <w:lang w:bidi="fi-FI"/>
        </w:rPr>
        <w:t>nkaan arvioida olevan merkittävää vaikutusta säätövoimaan. Lisäksi riskejä liittyy siihen, kuinka tehokkaasti ja nopeasti energian varastointiliiketoimintaa ja -resursseja pystytään skaalaamaan kasvavaan kysyntään vastaamiseksi.</w:t>
      </w:r>
    </w:p>
    <w:p w:rsidR="0092227B" w:rsidRPr="0092227B" w:rsidP="0092227B">
      <w:pPr>
        <w:pStyle w:val="WNormal"/>
        <w:rPr>
          <w:sz w:val="16"/>
          <w:szCs w:val="16"/>
        </w:rPr>
      </w:pPr>
      <w:r w:rsidRPr="0092227B">
        <w:rPr>
          <w:sz w:val="16"/>
          <w:szCs w:val="16"/>
        </w:rPr>
        <w:t>Geopoliittisen ympäristön e</w:t>
      </w:r>
      <w:r w:rsidRPr="0092227B">
        <w:rPr>
          <w:sz w:val="16"/>
          <w:szCs w:val="16"/>
        </w:rPr>
        <w:t xml:space="preserve">pävarmuus ja kauppapakotteiden ja </w:t>
      </w:r>
      <w:r>
        <w:rPr>
          <w:sz w:val="16"/>
          <w:szCs w:val="16"/>
        </w:rPr>
        <w:br/>
      </w:r>
      <w:r w:rsidRPr="0092227B">
        <w:rPr>
          <w:sz w:val="16"/>
          <w:szCs w:val="16"/>
        </w:rPr>
        <w:t>-saartojen mahdollinen käyttöönotto muodostavat riskin yhtiön asiakassuhteille ja kansainväliselle liiketoiminnalle. Datan käyttö lisääntyy merenkulussa ja laivanrakennuksessa sekä energiamarkkinoilla nopeasti, mikä tarkoi</w:t>
      </w:r>
      <w:r w:rsidRPr="0092227B">
        <w:rPr>
          <w:sz w:val="16"/>
          <w:szCs w:val="16"/>
        </w:rPr>
        <w:t>ttaa, että kyberuhkat voivat aiheuttaa erilaisia taloudellisia, operatiivisia tai maineeseen kohdistuvia vahinkoja liiketoiminnalle.</w:t>
      </w:r>
    </w:p>
    <w:p w:rsidR="0092227B" w:rsidRPr="0092227B" w:rsidP="0092227B">
      <w:pPr>
        <w:pStyle w:val="WNormal"/>
        <w:rPr>
          <w:sz w:val="16"/>
          <w:szCs w:val="16"/>
        </w:rPr>
      </w:pPr>
      <w:r w:rsidRPr="0092227B">
        <w:rPr>
          <w:sz w:val="16"/>
          <w:szCs w:val="16"/>
        </w:rPr>
        <w:t>Konserni on vastaajana eräissä oikeusjutuissa, jotka liittyvät sen normaaliin liiketoimintaan. Oikeusjutut koskevat muun mu</w:t>
      </w:r>
      <w:r w:rsidRPr="0092227B">
        <w:rPr>
          <w:sz w:val="16"/>
          <w:szCs w:val="16"/>
        </w:rPr>
        <w:t>assa sopimus- ja muita vastuita, työsuhdeasioita, omaisuusvahinkoja sekä sääntelyasioita. Konserni saa ajoittain erisuuruisia ja vaihtelevassa määrin perusteltuja korvausvaatimuksia. Eräs saaduista vaatimuksista on erityisen suuri. Konsernin periaatteisiin</w:t>
      </w:r>
      <w:r w:rsidRPr="0092227B">
        <w:rPr>
          <w:sz w:val="16"/>
          <w:szCs w:val="16"/>
        </w:rPr>
        <w:t xml:space="preserve"> kuuluu varausten tekeminen vaatimusten sekä oikeudenkäyntien ja välimiesmenettelyjen varalta silloin, kun epäsuotuisa lopputulos on todennäköinen ja kulujen suuruus voidaan kohtuullisella varmuudella arvioida. </w:t>
      </w:r>
    </w:p>
    <w:p w:rsidR="00B4426B" w:rsidRPr="00541238" w:rsidP="0092227B">
      <w:pPr>
        <w:pStyle w:val="WNormal"/>
      </w:pPr>
      <w:r w:rsidRPr="0092227B">
        <w:rPr>
          <w:sz w:val="16"/>
          <w:szCs w:val="16"/>
        </w:rPr>
        <w:t>Vuosikertomuksen Riskit ja riskienhallinta -</w:t>
      </w:r>
      <w:r w:rsidRPr="0092227B">
        <w:rPr>
          <w:sz w:val="16"/>
          <w:szCs w:val="16"/>
        </w:rPr>
        <w:t>osio sisältää perusteellisemman kuvauksen Wärtsilän riskeistä ja riskienhallinnasta.</w:t>
      </w:r>
    </w:p>
    <w:p w:rsidR="00D54D56" w:rsidRPr="000816FE" w:rsidP="00FA4BEC">
      <w:pPr>
        <w:pStyle w:val="WHeading3"/>
        <w:pageBreakBefore/>
      </w:pPr>
      <w:r w:rsidRPr="000816FE">
        <mc:AlternateContent>
          <mc:Choice Requires="wps">
            <w:drawing>
              <wp:anchor distT="45720" distB="45720" distL="114300" distR="114300" simplePos="0" relativeHeight="251665408" behindDoc="0" locked="0" layoutInCell="1" allowOverlap="1">
                <wp:simplePos x="0" y="0"/>
                <wp:positionH relativeFrom="rightMargin">
                  <wp:posOffset>-6545580</wp:posOffset>
                </wp:positionH>
                <wp:positionV relativeFrom="topMargin">
                  <wp:posOffset>1111250</wp:posOffset>
                </wp:positionV>
                <wp:extent cx="6504940" cy="2419350"/>
                <wp:effectExtent l="0" t="0" r="0" b="0"/>
                <wp:wrapSquare wrapText="bothSides"/>
                <wp:docPr id="74266798" name="Text Box 217"/>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6504940" cy="2419350"/>
                        </a:xfrm>
                        <a:prstGeom prst="rect">
                          <a:avLst/>
                        </a:prstGeom>
                        <a:solidFill>
                          <a:srgbClr val="FFFFFF"/>
                        </a:solidFill>
                        <a:ln w="9525">
                          <a:noFill/>
                          <a:miter lim="800000"/>
                          <a:headEnd/>
                          <a:tailEnd/>
                        </a:ln>
                      </wps:spPr>
                      <wps:txbx>
                        <w:txbxContent>
                          <w:p w:rsidR="00542C05" w:rsidRPr="00261CDC" w:rsidP="00D245ED">
                            <w:pPr>
                              <w:pStyle w:val="Subtitle"/>
                              <w:rPr>
                                <w:color w:val="0F172B"/>
                                <w:sz w:val="16"/>
                                <w:szCs w:val="16"/>
                              </w:rPr>
                            </w:pPr>
                            <w:r w:rsidRPr="00261CDC">
                              <w:rPr>
                                <w:color w:val="0F172B"/>
                                <w:sz w:val="16"/>
                                <w:szCs w:val="16"/>
                              </w:rPr>
                              <w:t>Osakkeet Nasdaq Helsingissä</w:t>
                            </w:r>
                          </w:p>
                          <w:tbl>
                            <w:tblPr>
                              <w:tblStyle w:val="TableNormal"/>
                              <w:tblCaption w:val="Table_Shares_FI"/>
                              <w:tblW w:w="10125" w:type="dxa"/>
                              <w:tblLayout w:type="fixed"/>
                              <w:tblLook w:val="0600"/>
                            </w:tblPr>
                            <w:tblGrid>
                              <w:gridCol w:w="2820"/>
                              <w:gridCol w:w="1815"/>
                              <w:gridCol w:w="1830"/>
                              <w:gridCol w:w="1830"/>
                              <w:gridCol w:w="1830"/>
                            </w:tblGrid>
                            <w:tr>
                              <w:tblPrEx>
                                <w:tblW w:w="10125" w:type="dxa"/>
                                <w:tblLayout w:type="fixed"/>
                                <w:tblLook w:val="0600"/>
                              </w:tblPrEx>
                              <w:trPr>
                                <w:trHeight w:val="510"/>
                              </w:trPr>
                              <w:tc>
                                <w:tcPr>
                                  <w:tcW w:w="2820" w:type="dxa"/>
                                  <w:tcBorders>
                                    <w:top w:val="nil"/>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31.12.2021</w:t>
                                  </w:r>
                                </w:p>
                              </w:tc>
                              <w:tc>
                                <w:tcPr>
                                  <w:tcW w:w="1815" w:type="dxa"/>
                                  <w:tcBorders>
                                    <w:top w:val="nil"/>
                                    <w:left w:val="nil"/>
                                    <w:bottom w:val="single" w:sz="8" w:space="0" w:color="000000"/>
                                    <w:right w:val="nil"/>
                                    <w:tl2br w:val="nil"/>
                                    <w:tr2bl w:val="nil"/>
                                  </w:tcBorders>
                                  <w:shd w:val="clear" w:color="FFFFFF" w:fill="F0F4F6"/>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Ulkona olevien osakkeiden määrä</w:t>
                                  </w:r>
                                </w:p>
                              </w:tc>
                              <w:tc>
                                <w:tcPr>
                                  <w:tcW w:w="1830" w:type="dxa"/>
                                  <w:tcBorders>
                                    <w:top w:val="nil"/>
                                    <w:left w:val="nil"/>
                                    <w:bottom w:val="single" w:sz="8" w:space="0" w:color="000000"/>
                                    <w:right w:val="nil"/>
                                    <w:tl2br w:val="nil"/>
                                    <w:tr2bl w:val="nil"/>
                                  </w:tcBorders>
                                  <w:shd w:val="clear" w:color="FFFFFF" w:fill="F0F4F6"/>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Omien osakkeiden määrä</w:t>
                                  </w:r>
                                </w:p>
                              </w:tc>
                              <w:tc>
                                <w:tcPr>
                                  <w:tcW w:w="1830" w:type="dxa"/>
                                  <w:tcBorders>
                                    <w:top w:val="nil"/>
                                    <w:left w:val="nil"/>
                                    <w:bottom w:val="single" w:sz="8" w:space="0" w:color="000000"/>
                                    <w:right w:val="nil"/>
                                    <w:tl2br w:val="nil"/>
                                    <w:tr2bl w:val="nil"/>
                                  </w:tcBorders>
                                  <w:shd w:val="clear" w:color="FFFFFF" w:fill="F0F4F6"/>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Osakemäärä yhteensä</w:t>
                                  </w:r>
                                </w:p>
                              </w:tc>
                              <w:tc>
                                <w:tcPr>
                                  <w:tcW w:w="1830" w:type="dxa"/>
                                  <w:tcBorders>
                                    <w:top w:val="nil"/>
                                    <w:left w:val="nil"/>
                                    <w:bottom w:val="single" w:sz="8" w:space="0" w:color="000000"/>
                                    <w:right w:val="nil"/>
                                    <w:tl2br w:val="nil"/>
                                    <w:tr2bl w:val="nil"/>
                                  </w:tcBorders>
                                  <w:shd w:val="clear" w:color="FFFFFF" w:fill="F0F4F6"/>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Osakevaihto 1-12/2021</w:t>
                                  </w:r>
                                </w:p>
                              </w:tc>
                            </w:tr>
                            <w:tr>
                              <w:tblPrEx>
                                <w:tblW w:w="10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2820" w:type="dxa"/>
                                  <w:tcBorders>
                                    <w:top w:val="single" w:sz="8" w:space="0" w:color="000000"/>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WRT1V</w:t>
                                  </w:r>
                                </w:p>
                              </w:tc>
                              <w:tc>
                                <w:tcPr>
                                  <w:tcW w:w="1815" w:type="dxa"/>
                                  <w:tcBorders>
                                    <w:top w:val="single" w:sz="8" w:space="0" w:color="000000"/>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590 023 390</w:t>
                                  </w:r>
                                </w:p>
                              </w:tc>
                              <w:tc>
                                <w:tcPr>
                                  <w:tcW w:w="1830" w:type="dxa"/>
                                  <w:tcBorders>
                                    <w:top w:val="single" w:sz="8" w:space="0" w:color="000000"/>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1 700 000</w:t>
                                  </w:r>
                                </w:p>
                              </w:tc>
                              <w:tc>
                                <w:tcPr>
                                  <w:tcW w:w="1830" w:type="dxa"/>
                                  <w:tcBorders>
                                    <w:top w:val="single" w:sz="8" w:space="0" w:color="000000"/>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591 723 390</w:t>
                                  </w:r>
                                </w:p>
                              </w:tc>
                              <w:tc>
                                <w:tcPr>
                                  <w:tcW w:w="1830" w:type="dxa"/>
                                  <w:tcBorders>
                                    <w:top w:val="single" w:sz="8" w:space="0" w:color="000000"/>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433 886 295</w:t>
                                  </w:r>
                                </w:p>
                              </w:tc>
                            </w:tr>
                            <w:tr>
                              <w:tblPrEx>
                                <w:tblW w:w="10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2820"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p>
                              </w:tc>
                              <w:tc>
                                <w:tcPr>
                                  <w:tcW w:w="1815"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r>
                            <w:tr>
                              <w:tblPrEx>
                                <w:tblW w:w="10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2820" w:type="dxa"/>
                                  <w:tcBorders>
                                    <w:top w:val="single" w:sz="4" w:space="0" w:color="004B6B"/>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1.1.-31.12.2021</w:t>
                                  </w:r>
                                </w:p>
                              </w:tc>
                              <w:tc>
                                <w:tcPr>
                                  <w:tcW w:w="1815" w:type="dxa"/>
                                  <w:tcBorders>
                                    <w:top w:val="single" w:sz="4" w:space="0" w:color="004B6B"/>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Ylin</w:t>
                                  </w:r>
                                </w:p>
                              </w:tc>
                              <w:tc>
                                <w:tcPr>
                                  <w:tcW w:w="1830" w:type="dxa"/>
                                  <w:tcBorders>
                                    <w:top w:val="single" w:sz="4" w:space="0" w:color="004B6B"/>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Alin</w:t>
                                  </w:r>
                                </w:p>
                              </w:tc>
                              <w:tc>
                                <w:tcPr>
                                  <w:tcW w:w="1830" w:type="dxa"/>
                                  <w:tcBorders>
                                    <w:top w:val="single" w:sz="4" w:space="0" w:color="004B6B"/>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Keskikurssi*</w:t>
                                  </w:r>
                                </w:p>
                              </w:tc>
                              <w:tc>
                                <w:tcPr>
                                  <w:tcW w:w="1830" w:type="dxa"/>
                                  <w:tcBorders>
                                    <w:top w:val="single" w:sz="4" w:space="0" w:color="004B6B"/>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Päätöskurssi</w:t>
                                  </w:r>
                                </w:p>
                              </w:tc>
                            </w:tr>
                            <w:tr>
                              <w:tblPrEx>
                                <w:tblW w:w="10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2820" w:type="dxa"/>
                                  <w:tcBorders>
                                    <w:top w:val="single" w:sz="8" w:space="0" w:color="000000"/>
                                    <w:left w:val="nil"/>
                                    <w:bottom w:val="single" w:sz="4" w:space="0" w:color="004B6B"/>
                                    <w:right w:val="nil"/>
                                    <w:tl2br w:val="nil"/>
                                    <w:tr2bl w:val="nil"/>
                                  </w:tcBorders>
                                  <w:shd w:val="clear" w:color="FFFFFF" w:fill="FFFFFF"/>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Osakekurssi</w:t>
                                  </w:r>
                                </w:p>
                              </w:tc>
                              <w:tc>
                                <w:tcPr>
                                  <w:tcW w:w="1815" w:type="dxa"/>
                                  <w:tcBorders>
                                    <w:top w:val="single" w:sz="8" w:space="0" w:color="000000"/>
                                    <w:left w:val="nil"/>
                                    <w:bottom w:val="single" w:sz="4" w:space="0" w:color="004B6B"/>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13,87</w:t>
                                  </w:r>
                                </w:p>
                              </w:tc>
                              <w:tc>
                                <w:tcPr>
                                  <w:tcW w:w="1830" w:type="dxa"/>
                                  <w:tcBorders>
                                    <w:top w:val="single" w:sz="8" w:space="0" w:color="000000"/>
                                    <w:left w:val="nil"/>
                                    <w:bottom w:val="single" w:sz="4" w:space="0" w:color="004B6B"/>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7,78</w:t>
                                  </w:r>
                                </w:p>
                              </w:tc>
                              <w:tc>
                                <w:tcPr>
                                  <w:tcW w:w="1830" w:type="dxa"/>
                                  <w:tcBorders>
                                    <w:top w:val="single" w:sz="8" w:space="0" w:color="000000"/>
                                    <w:left w:val="nil"/>
                                    <w:bottom w:val="single" w:sz="4" w:space="0" w:color="004B6B"/>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10,51</w:t>
                                  </w:r>
                                </w:p>
                              </w:tc>
                              <w:tc>
                                <w:tcPr>
                                  <w:tcW w:w="1830" w:type="dxa"/>
                                  <w:tcBorders>
                                    <w:top w:val="single" w:sz="8" w:space="0" w:color="000000"/>
                                    <w:left w:val="nil"/>
                                    <w:bottom w:val="single" w:sz="4" w:space="0" w:color="004B6B"/>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12,36</w:t>
                                  </w:r>
                                </w:p>
                              </w:tc>
                            </w:tr>
                            <w:tr>
                              <w:tblPrEx>
                                <w:tblW w:w="10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635" w:type="dxa"/>
                                  <w:gridSpan w:val="2"/>
                                  <w:tcBorders>
                                    <w:top w:val="single" w:sz="4" w:space="0" w:color="004B6B"/>
                                    <w:left w:val="nil"/>
                                    <w:bottom w:val="single" w:sz="4" w:space="0" w:color="004B6B"/>
                                    <w:right w:val="nil"/>
                                    <w:tl2br w:val="nil"/>
                                    <w:tr2bl w:val="nil"/>
                                  </w:tcBorders>
                                  <w:shd w:val="clear" w:color="FFFFFF" w:fill="FFFFFF"/>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*Kaupankäyntimäärillä painotettu keskikurssi</w:t>
                                  </w:r>
                                </w:p>
                              </w:tc>
                              <w:tc>
                                <w:tcPr>
                                  <w:tcW w:w="1830" w:type="dxa"/>
                                  <w:tcBorders>
                                    <w:top w:val="single" w:sz="4" w:space="0" w:color="004B6B"/>
                                    <w:left w:val="nil"/>
                                    <w:bottom w:val="single" w:sz="4" w:space="0" w:color="004B6B"/>
                                    <w:right w:val="nil"/>
                                    <w:tl2br w:val="nil"/>
                                    <w:tr2bl w:val="nil"/>
                                  </w:tcBorders>
                                  <w:shd w:val="clear" w:color="FFFFFF" w:fill="FFFFFF"/>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r>
                            <w:tr>
                              <w:tblPrEx>
                                <w:tblW w:w="10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2820" w:type="dxa"/>
                                  <w:tcBorders>
                                    <w:top w:val="single" w:sz="4" w:space="0" w:color="004B6B"/>
                                    <w:left w:val="nil"/>
                                    <w:bottom w:val="single" w:sz="4" w:space="0" w:color="004B6B"/>
                                    <w:right w:val="nil"/>
                                    <w:tl2br w:val="nil"/>
                                    <w:tr2bl w:val="nil"/>
                                  </w:tcBorders>
                                  <w:shd w:val="clear" w:color="FFFFFF" w:fill="FFFFFF"/>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p>
                              </w:tc>
                              <w:tc>
                                <w:tcPr>
                                  <w:tcW w:w="1815" w:type="dxa"/>
                                  <w:tcBorders>
                                    <w:top w:val="single" w:sz="4" w:space="0" w:color="004B6B"/>
                                    <w:left w:val="nil"/>
                                    <w:bottom w:val="single" w:sz="4" w:space="0" w:color="004B6B"/>
                                    <w:right w:val="nil"/>
                                    <w:tl2br w:val="nil"/>
                                    <w:tr2bl w:val="nil"/>
                                  </w:tcBorders>
                                  <w:shd w:val="clear" w:color="FFFFFF" w:fill="FFFFFF"/>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4" w:space="0" w:color="004B6B"/>
                                    <w:left w:val="nil"/>
                                    <w:bottom w:val="single" w:sz="4" w:space="0" w:color="004B6B"/>
                                    <w:right w:val="nil"/>
                                    <w:tl2br w:val="nil"/>
                                    <w:tr2bl w:val="nil"/>
                                  </w:tcBorders>
                                  <w:shd w:val="clear" w:color="FFFFFF" w:fill="FFFFFF"/>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r>
                            <w:tr>
                              <w:tblPrEx>
                                <w:tblW w:w="10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2820" w:type="dxa"/>
                                  <w:tcBorders>
                                    <w:top w:val="single" w:sz="4" w:space="0" w:color="004B6B"/>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Markkina-arvo</w:t>
                                  </w:r>
                                </w:p>
                              </w:tc>
                              <w:tc>
                                <w:tcPr>
                                  <w:tcW w:w="1815" w:type="dxa"/>
                                  <w:tcBorders>
                                    <w:top w:val="single" w:sz="4" w:space="0" w:color="004B6B"/>
                                    <w:left w:val="nil"/>
                                    <w:bottom w:val="single" w:sz="8" w:space="0" w:color="000000"/>
                                    <w:right w:val="nil"/>
                                    <w:tl2br w:val="nil"/>
                                    <w:tr2bl w:val="nil"/>
                                  </w:tcBorders>
                                  <w:shd w:val="clear" w:color="FFFFFF" w:fill="F0F4F6"/>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p>
                              </w:tc>
                              <w:tc>
                                <w:tcPr>
                                  <w:tcW w:w="1830" w:type="dxa"/>
                                  <w:tcBorders>
                                    <w:top w:val="single" w:sz="4" w:space="0" w:color="004B6B"/>
                                    <w:left w:val="nil"/>
                                    <w:bottom w:val="single" w:sz="8" w:space="0" w:color="000000"/>
                                    <w:right w:val="nil"/>
                                    <w:tl2br w:val="nil"/>
                                    <w:tr2bl w:val="nil"/>
                                  </w:tcBorders>
                                  <w:shd w:val="clear" w:color="FFFFFF" w:fill="F0F4F6"/>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p>
                              </w:tc>
                              <w:tc>
                                <w:tcPr>
                                  <w:tcW w:w="1830" w:type="dxa"/>
                                  <w:tcBorders>
                                    <w:top w:val="single" w:sz="4" w:space="0" w:color="004B6B"/>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31.12.2021</w:t>
                                  </w:r>
                                </w:p>
                              </w:tc>
                              <w:tc>
                                <w:tcPr>
                                  <w:tcW w:w="1830" w:type="dxa"/>
                                  <w:tcBorders>
                                    <w:top w:val="single" w:sz="4" w:space="0" w:color="004B6B"/>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31.12.2020</w:t>
                                  </w:r>
                                </w:p>
                              </w:tc>
                            </w:tr>
                            <w:tr>
                              <w:tblPrEx>
                                <w:tblW w:w="10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2820" w:type="dxa"/>
                                  <w:tcBorders>
                                    <w:top w:val="single" w:sz="8" w:space="0" w:color="000000"/>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MEUR</w:t>
                                  </w:r>
                                </w:p>
                              </w:tc>
                              <w:tc>
                                <w:tcPr>
                                  <w:tcW w:w="1815" w:type="dxa"/>
                                  <w:tcBorders>
                                    <w:top w:val="single" w:sz="8" w:space="0" w:color="000000"/>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8" w:space="0" w:color="000000"/>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8" w:space="0" w:color="000000"/>
                                    <w:left w:val="nil"/>
                                    <w:bottom w:val="single" w:sz="4" w:space="0" w:color="004B6B"/>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7 314</w:t>
                                  </w:r>
                                </w:p>
                              </w:tc>
                              <w:tc>
                                <w:tcPr>
                                  <w:tcW w:w="1830" w:type="dxa"/>
                                  <w:tcBorders>
                                    <w:top w:val="single" w:sz="8" w:space="0" w:color="000000"/>
                                    <w:left w:val="nil"/>
                                    <w:bottom w:val="single" w:sz="4" w:space="0" w:color="004B6B"/>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4 823</w:t>
                                  </w:r>
                                </w:p>
                              </w:tc>
                            </w:tr>
                            <w:tr>
                              <w:tblPrEx>
                                <w:tblW w:w="10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2820"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p>
                              </w:tc>
                              <w:tc>
                                <w:tcPr>
                                  <w:tcW w:w="1815"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r>
                            <w:tr>
                              <w:tblPrEx>
                                <w:tblW w:w="10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2820" w:type="dxa"/>
                                  <w:tcBorders>
                                    <w:top w:val="single" w:sz="4" w:space="0" w:color="004B6B"/>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Ulkomaalaisomistus</w:t>
                                  </w:r>
                                </w:p>
                              </w:tc>
                              <w:tc>
                                <w:tcPr>
                                  <w:tcW w:w="1815" w:type="dxa"/>
                                  <w:tcBorders>
                                    <w:top w:val="single" w:sz="4" w:space="0" w:color="004B6B"/>
                                    <w:left w:val="nil"/>
                                    <w:bottom w:val="single" w:sz="8" w:space="0" w:color="000000"/>
                                    <w:right w:val="nil"/>
                                    <w:tl2br w:val="nil"/>
                                    <w:tr2bl w:val="nil"/>
                                  </w:tcBorders>
                                  <w:shd w:val="clear" w:color="FFFFFF" w:fill="F0F4F6"/>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p>
                              </w:tc>
                              <w:tc>
                                <w:tcPr>
                                  <w:tcW w:w="1830" w:type="dxa"/>
                                  <w:tcBorders>
                                    <w:top w:val="single" w:sz="4" w:space="0" w:color="004B6B"/>
                                    <w:left w:val="nil"/>
                                    <w:bottom w:val="single" w:sz="8" w:space="0" w:color="000000"/>
                                    <w:right w:val="nil"/>
                                    <w:tl2br w:val="nil"/>
                                    <w:tr2bl w:val="nil"/>
                                  </w:tcBorders>
                                  <w:shd w:val="clear" w:color="FFFFFF" w:fill="F0F4F6"/>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p>
                              </w:tc>
                              <w:tc>
                                <w:tcPr>
                                  <w:tcW w:w="1830" w:type="dxa"/>
                                  <w:tcBorders>
                                    <w:top w:val="single" w:sz="4" w:space="0" w:color="004B6B"/>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31.12.2021</w:t>
                                  </w:r>
                                </w:p>
                              </w:tc>
                              <w:tc>
                                <w:tcPr>
                                  <w:tcW w:w="1830" w:type="dxa"/>
                                  <w:tcBorders>
                                    <w:top w:val="single" w:sz="4" w:space="0" w:color="004B6B"/>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31.12.2020</w:t>
                                  </w:r>
                                </w:p>
                              </w:tc>
                            </w:tr>
                            <w:tr>
                              <w:tblPrEx>
                                <w:tblW w:w="10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2820" w:type="dxa"/>
                                  <w:tcBorders>
                                    <w:top w:val="single" w:sz="8" w:space="0" w:color="000000"/>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w:t>
                                  </w:r>
                                </w:p>
                              </w:tc>
                              <w:tc>
                                <w:tcPr>
                                  <w:tcW w:w="1815" w:type="dxa"/>
                                  <w:tcBorders>
                                    <w:top w:val="single" w:sz="8" w:space="0" w:color="000000"/>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8" w:space="0" w:color="000000"/>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8" w:space="0" w:color="000000"/>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52,7</w:t>
                                  </w:r>
                                </w:p>
                              </w:tc>
                              <w:tc>
                                <w:tcPr>
                                  <w:tcW w:w="1830" w:type="dxa"/>
                                  <w:tcBorders>
                                    <w:top w:val="single" w:sz="8" w:space="0" w:color="000000"/>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50,7</w:t>
                                  </w:r>
                                </w:p>
                              </w:tc>
                            </w:tr>
                          </w:tbl>
                          <w:p w:rsidR="00542C05" w:rsidRPr="009F48CB" w:rsidP="009F48CB">
                            <w:pPr>
                              <w:rPr>
                                <w:lang w:val="fi-FI"/>
                              </w:rPr>
                            </w:pP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 id="Text Box 217" o:spid="_x0000_s1029" type="#_x0000_t202" style="width:512.2pt;height:190.5pt;margin-top:87.5pt;margin-left:-515.4pt;mso-height-percent:0;mso-height-relative:margin;mso-position-horizontal-relative:right-margin-area;mso-position-vertical-relative:top-margin-area;mso-width-percent:0;mso-width-relative:margin;mso-wrap-distance-bottom:3.6pt;mso-wrap-distance-left:9pt;mso-wrap-distance-right:9pt;mso-wrap-distance-top:3.6pt;position:absolute;v-text-anchor:top;z-index:251664384" fillcolor="white" stroked="f" strokeweight="0.75pt">
                <v:textbox>
                  <w:txbxContent>
                    <w:p w:rsidR="00542C05" w:rsidRPr="00261CDC" w:rsidP="00D245ED">
                      <w:pPr>
                        <w:pStyle w:val="Subtitle"/>
                        <w:rPr>
                          <w:color w:val="0F172B"/>
                          <w:sz w:val="16"/>
                          <w:szCs w:val="16"/>
                        </w:rPr>
                      </w:pPr>
                      <w:r w:rsidRPr="00261CDC">
                        <w:rPr>
                          <w:color w:val="0F172B"/>
                          <w:sz w:val="16"/>
                          <w:szCs w:val="16"/>
                        </w:rPr>
                        <w:t>Osakkeet Nasdaq Helsingissä</w:t>
                      </w:r>
                    </w:p>
                    <w:tbl>
                      <w:tblPr>
                        <w:tblStyle w:val="TableNormal"/>
                        <w:tblCaption w:val="Table_Shares_FI"/>
                        <w:tblW w:w="10125" w:type="dxa"/>
                        <w:tblLayout w:type="fixed"/>
                        <w:tblLook w:val="0600"/>
                      </w:tblPr>
                      <w:tblGrid>
                        <w:gridCol w:w="2820"/>
                        <w:gridCol w:w="1815"/>
                        <w:gridCol w:w="1830"/>
                        <w:gridCol w:w="1830"/>
                        <w:gridCol w:w="1830"/>
                      </w:tblGrid>
                      <w:tr>
                        <w:tblPrEx>
                          <w:tblW w:w="10125" w:type="dxa"/>
                          <w:tblLayout w:type="fixed"/>
                          <w:tblLook w:val="0600"/>
                        </w:tblPrEx>
                        <w:trPr>
                          <w:trHeight w:val="510"/>
                        </w:trPr>
                        <w:tc>
                          <w:tcPr>
                            <w:tcW w:w="2820" w:type="dxa"/>
                            <w:tcBorders>
                              <w:top w:val="nil"/>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31.12.2021</w:t>
                            </w:r>
                          </w:p>
                        </w:tc>
                        <w:tc>
                          <w:tcPr>
                            <w:tcW w:w="1815" w:type="dxa"/>
                            <w:tcBorders>
                              <w:top w:val="nil"/>
                              <w:left w:val="nil"/>
                              <w:bottom w:val="single" w:sz="8" w:space="0" w:color="000000"/>
                              <w:right w:val="nil"/>
                              <w:tl2br w:val="nil"/>
                              <w:tr2bl w:val="nil"/>
                            </w:tcBorders>
                            <w:shd w:val="clear" w:color="FFFFFF" w:fill="F0F4F6"/>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Ulkona olevien osakkeiden määrä</w:t>
                            </w:r>
                          </w:p>
                        </w:tc>
                        <w:tc>
                          <w:tcPr>
                            <w:tcW w:w="1830" w:type="dxa"/>
                            <w:tcBorders>
                              <w:top w:val="nil"/>
                              <w:left w:val="nil"/>
                              <w:bottom w:val="single" w:sz="8" w:space="0" w:color="000000"/>
                              <w:right w:val="nil"/>
                              <w:tl2br w:val="nil"/>
                              <w:tr2bl w:val="nil"/>
                            </w:tcBorders>
                            <w:shd w:val="clear" w:color="FFFFFF" w:fill="F0F4F6"/>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Omien osakkeiden määrä</w:t>
                            </w:r>
                          </w:p>
                        </w:tc>
                        <w:tc>
                          <w:tcPr>
                            <w:tcW w:w="1830" w:type="dxa"/>
                            <w:tcBorders>
                              <w:top w:val="nil"/>
                              <w:left w:val="nil"/>
                              <w:bottom w:val="single" w:sz="8" w:space="0" w:color="000000"/>
                              <w:right w:val="nil"/>
                              <w:tl2br w:val="nil"/>
                              <w:tr2bl w:val="nil"/>
                            </w:tcBorders>
                            <w:shd w:val="clear" w:color="FFFFFF" w:fill="F0F4F6"/>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Osakemäärä yhteensä</w:t>
                            </w:r>
                          </w:p>
                        </w:tc>
                        <w:tc>
                          <w:tcPr>
                            <w:tcW w:w="1830" w:type="dxa"/>
                            <w:tcBorders>
                              <w:top w:val="nil"/>
                              <w:left w:val="nil"/>
                              <w:bottom w:val="single" w:sz="8" w:space="0" w:color="000000"/>
                              <w:right w:val="nil"/>
                              <w:tl2br w:val="nil"/>
                              <w:tr2bl w:val="nil"/>
                            </w:tcBorders>
                            <w:shd w:val="clear" w:color="FFFFFF" w:fill="F0F4F6"/>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Osakevaihto 1-12/2021</w:t>
                            </w:r>
                          </w:p>
                        </w:tc>
                      </w:tr>
                      <w:tr>
                        <w:tblPrEx>
                          <w:tblW w:w="10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2820" w:type="dxa"/>
                            <w:tcBorders>
                              <w:top w:val="single" w:sz="8" w:space="0" w:color="000000"/>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WRT1V</w:t>
                            </w:r>
                          </w:p>
                        </w:tc>
                        <w:tc>
                          <w:tcPr>
                            <w:tcW w:w="1815" w:type="dxa"/>
                            <w:tcBorders>
                              <w:top w:val="single" w:sz="8" w:space="0" w:color="000000"/>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590 023 390</w:t>
                            </w:r>
                          </w:p>
                        </w:tc>
                        <w:tc>
                          <w:tcPr>
                            <w:tcW w:w="1830" w:type="dxa"/>
                            <w:tcBorders>
                              <w:top w:val="single" w:sz="8" w:space="0" w:color="000000"/>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1 700 000</w:t>
                            </w:r>
                          </w:p>
                        </w:tc>
                        <w:tc>
                          <w:tcPr>
                            <w:tcW w:w="1830" w:type="dxa"/>
                            <w:tcBorders>
                              <w:top w:val="single" w:sz="8" w:space="0" w:color="000000"/>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591 723 390</w:t>
                            </w:r>
                          </w:p>
                        </w:tc>
                        <w:tc>
                          <w:tcPr>
                            <w:tcW w:w="1830" w:type="dxa"/>
                            <w:tcBorders>
                              <w:top w:val="single" w:sz="8" w:space="0" w:color="000000"/>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433 886 295</w:t>
                            </w:r>
                          </w:p>
                        </w:tc>
                      </w:tr>
                      <w:tr>
                        <w:tblPrEx>
                          <w:tblW w:w="10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2820"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p>
                        </w:tc>
                        <w:tc>
                          <w:tcPr>
                            <w:tcW w:w="1815"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r>
                      <w:tr>
                        <w:tblPrEx>
                          <w:tblW w:w="10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2820" w:type="dxa"/>
                            <w:tcBorders>
                              <w:top w:val="single" w:sz="4" w:space="0" w:color="004B6B"/>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1.1.-31.12.2021</w:t>
                            </w:r>
                          </w:p>
                        </w:tc>
                        <w:tc>
                          <w:tcPr>
                            <w:tcW w:w="1815" w:type="dxa"/>
                            <w:tcBorders>
                              <w:top w:val="single" w:sz="4" w:space="0" w:color="004B6B"/>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Ylin</w:t>
                            </w:r>
                          </w:p>
                        </w:tc>
                        <w:tc>
                          <w:tcPr>
                            <w:tcW w:w="1830" w:type="dxa"/>
                            <w:tcBorders>
                              <w:top w:val="single" w:sz="4" w:space="0" w:color="004B6B"/>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Alin</w:t>
                            </w:r>
                          </w:p>
                        </w:tc>
                        <w:tc>
                          <w:tcPr>
                            <w:tcW w:w="1830" w:type="dxa"/>
                            <w:tcBorders>
                              <w:top w:val="single" w:sz="4" w:space="0" w:color="004B6B"/>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Keskikurssi*</w:t>
                            </w:r>
                          </w:p>
                        </w:tc>
                        <w:tc>
                          <w:tcPr>
                            <w:tcW w:w="1830" w:type="dxa"/>
                            <w:tcBorders>
                              <w:top w:val="single" w:sz="4" w:space="0" w:color="004B6B"/>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Päätöskurssi</w:t>
                            </w:r>
                          </w:p>
                        </w:tc>
                      </w:tr>
                      <w:tr>
                        <w:tblPrEx>
                          <w:tblW w:w="10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2820" w:type="dxa"/>
                            <w:tcBorders>
                              <w:top w:val="single" w:sz="8" w:space="0" w:color="000000"/>
                              <w:left w:val="nil"/>
                              <w:bottom w:val="single" w:sz="4" w:space="0" w:color="004B6B"/>
                              <w:right w:val="nil"/>
                              <w:tl2br w:val="nil"/>
                              <w:tr2bl w:val="nil"/>
                            </w:tcBorders>
                            <w:shd w:val="clear" w:color="FFFFFF" w:fill="FFFFFF"/>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Osakekurssi</w:t>
                            </w:r>
                          </w:p>
                        </w:tc>
                        <w:tc>
                          <w:tcPr>
                            <w:tcW w:w="1815" w:type="dxa"/>
                            <w:tcBorders>
                              <w:top w:val="single" w:sz="8" w:space="0" w:color="000000"/>
                              <w:left w:val="nil"/>
                              <w:bottom w:val="single" w:sz="4" w:space="0" w:color="004B6B"/>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13,87</w:t>
                            </w:r>
                          </w:p>
                        </w:tc>
                        <w:tc>
                          <w:tcPr>
                            <w:tcW w:w="1830" w:type="dxa"/>
                            <w:tcBorders>
                              <w:top w:val="single" w:sz="8" w:space="0" w:color="000000"/>
                              <w:left w:val="nil"/>
                              <w:bottom w:val="single" w:sz="4" w:space="0" w:color="004B6B"/>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7,78</w:t>
                            </w:r>
                          </w:p>
                        </w:tc>
                        <w:tc>
                          <w:tcPr>
                            <w:tcW w:w="1830" w:type="dxa"/>
                            <w:tcBorders>
                              <w:top w:val="single" w:sz="8" w:space="0" w:color="000000"/>
                              <w:left w:val="nil"/>
                              <w:bottom w:val="single" w:sz="4" w:space="0" w:color="004B6B"/>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10,51</w:t>
                            </w:r>
                          </w:p>
                        </w:tc>
                        <w:tc>
                          <w:tcPr>
                            <w:tcW w:w="1830" w:type="dxa"/>
                            <w:tcBorders>
                              <w:top w:val="single" w:sz="8" w:space="0" w:color="000000"/>
                              <w:left w:val="nil"/>
                              <w:bottom w:val="single" w:sz="4" w:space="0" w:color="004B6B"/>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12,36</w:t>
                            </w:r>
                          </w:p>
                        </w:tc>
                      </w:tr>
                      <w:tr>
                        <w:tblPrEx>
                          <w:tblW w:w="10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635" w:type="dxa"/>
                            <w:gridSpan w:val="2"/>
                            <w:tcBorders>
                              <w:top w:val="single" w:sz="4" w:space="0" w:color="004B6B"/>
                              <w:left w:val="nil"/>
                              <w:bottom w:val="single" w:sz="4" w:space="0" w:color="004B6B"/>
                              <w:right w:val="nil"/>
                              <w:tl2br w:val="nil"/>
                              <w:tr2bl w:val="nil"/>
                            </w:tcBorders>
                            <w:shd w:val="clear" w:color="FFFFFF" w:fill="FFFFFF"/>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*Kaupankäyntimäärillä painotettu keskikurssi</w:t>
                            </w:r>
                          </w:p>
                        </w:tc>
                        <w:tc>
                          <w:tcPr>
                            <w:tcW w:w="1830" w:type="dxa"/>
                            <w:tcBorders>
                              <w:top w:val="single" w:sz="4" w:space="0" w:color="004B6B"/>
                              <w:left w:val="nil"/>
                              <w:bottom w:val="single" w:sz="4" w:space="0" w:color="004B6B"/>
                              <w:right w:val="nil"/>
                              <w:tl2br w:val="nil"/>
                              <w:tr2bl w:val="nil"/>
                            </w:tcBorders>
                            <w:shd w:val="clear" w:color="FFFFFF" w:fill="FFFFFF"/>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r>
                      <w:tr>
                        <w:tblPrEx>
                          <w:tblW w:w="10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2820" w:type="dxa"/>
                            <w:tcBorders>
                              <w:top w:val="single" w:sz="4" w:space="0" w:color="004B6B"/>
                              <w:left w:val="nil"/>
                              <w:bottom w:val="single" w:sz="4" w:space="0" w:color="004B6B"/>
                              <w:right w:val="nil"/>
                              <w:tl2br w:val="nil"/>
                              <w:tr2bl w:val="nil"/>
                            </w:tcBorders>
                            <w:shd w:val="clear" w:color="FFFFFF" w:fill="FFFFFF"/>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p>
                        </w:tc>
                        <w:tc>
                          <w:tcPr>
                            <w:tcW w:w="1815" w:type="dxa"/>
                            <w:tcBorders>
                              <w:top w:val="single" w:sz="4" w:space="0" w:color="004B6B"/>
                              <w:left w:val="nil"/>
                              <w:bottom w:val="single" w:sz="4" w:space="0" w:color="004B6B"/>
                              <w:right w:val="nil"/>
                              <w:tl2br w:val="nil"/>
                              <w:tr2bl w:val="nil"/>
                            </w:tcBorders>
                            <w:shd w:val="clear" w:color="FFFFFF" w:fill="FFFFFF"/>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4" w:space="0" w:color="004B6B"/>
                              <w:left w:val="nil"/>
                              <w:bottom w:val="single" w:sz="4" w:space="0" w:color="004B6B"/>
                              <w:right w:val="nil"/>
                              <w:tl2br w:val="nil"/>
                              <w:tr2bl w:val="nil"/>
                            </w:tcBorders>
                            <w:shd w:val="clear" w:color="FFFFFF" w:fill="FFFFFF"/>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r>
                      <w:tr>
                        <w:tblPrEx>
                          <w:tblW w:w="10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2820" w:type="dxa"/>
                            <w:tcBorders>
                              <w:top w:val="single" w:sz="4" w:space="0" w:color="004B6B"/>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Markkina-arvo</w:t>
                            </w:r>
                          </w:p>
                        </w:tc>
                        <w:tc>
                          <w:tcPr>
                            <w:tcW w:w="1815" w:type="dxa"/>
                            <w:tcBorders>
                              <w:top w:val="single" w:sz="4" w:space="0" w:color="004B6B"/>
                              <w:left w:val="nil"/>
                              <w:bottom w:val="single" w:sz="8" w:space="0" w:color="000000"/>
                              <w:right w:val="nil"/>
                              <w:tl2br w:val="nil"/>
                              <w:tr2bl w:val="nil"/>
                            </w:tcBorders>
                            <w:shd w:val="clear" w:color="FFFFFF" w:fill="F0F4F6"/>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p>
                        </w:tc>
                        <w:tc>
                          <w:tcPr>
                            <w:tcW w:w="1830" w:type="dxa"/>
                            <w:tcBorders>
                              <w:top w:val="single" w:sz="4" w:space="0" w:color="004B6B"/>
                              <w:left w:val="nil"/>
                              <w:bottom w:val="single" w:sz="8" w:space="0" w:color="000000"/>
                              <w:right w:val="nil"/>
                              <w:tl2br w:val="nil"/>
                              <w:tr2bl w:val="nil"/>
                            </w:tcBorders>
                            <w:shd w:val="clear" w:color="FFFFFF" w:fill="F0F4F6"/>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p>
                        </w:tc>
                        <w:tc>
                          <w:tcPr>
                            <w:tcW w:w="1830" w:type="dxa"/>
                            <w:tcBorders>
                              <w:top w:val="single" w:sz="4" w:space="0" w:color="004B6B"/>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31.12.2021</w:t>
                            </w:r>
                          </w:p>
                        </w:tc>
                        <w:tc>
                          <w:tcPr>
                            <w:tcW w:w="1830" w:type="dxa"/>
                            <w:tcBorders>
                              <w:top w:val="single" w:sz="4" w:space="0" w:color="004B6B"/>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31.12.2020</w:t>
                            </w:r>
                          </w:p>
                        </w:tc>
                      </w:tr>
                      <w:tr>
                        <w:tblPrEx>
                          <w:tblW w:w="10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2820" w:type="dxa"/>
                            <w:tcBorders>
                              <w:top w:val="single" w:sz="8" w:space="0" w:color="000000"/>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MEUR</w:t>
                            </w:r>
                          </w:p>
                        </w:tc>
                        <w:tc>
                          <w:tcPr>
                            <w:tcW w:w="1815" w:type="dxa"/>
                            <w:tcBorders>
                              <w:top w:val="single" w:sz="8" w:space="0" w:color="000000"/>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8" w:space="0" w:color="000000"/>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8" w:space="0" w:color="000000"/>
                              <w:left w:val="nil"/>
                              <w:bottom w:val="single" w:sz="4" w:space="0" w:color="004B6B"/>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7 314</w:t>
                            </w:r>
                          </w:p>
                        </w:tc>
                        <w:tc>
                          <w:tcPr>
                            <w:tcW w:w="1830" w:type="dxa"/>
                            <w:tcBorders>
                              <w:top w:val="single" w:sz="8" w:space="0" w:color="000000"/>
                              <w:left w:val="nil"/>
                              <w:bottom w:val="single" w:sz="4" w:space="0" w:color="004B6B"/>
                              <w:right w:val="nil"/>
                              <w:tl2br w:val="nil"/>
                              <w:tr2bl w:val="nil"/>
                            </w:tcBorders>
                            <w:shd w:val="clear" w:color="FFFFFF" w:fill="FFFFFF"/>
                            <w:noWrap/>
                            <w:tcMar>
                              <w:left w:w="40" w:type="dxa"/>
                              <w:right w:w="85"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4 823</w:t>
                            </w:r>
                          </w:p>
                        </w:tc>
                      </w:tr>
                      <w:tr>
                        <w:tblPrEx>
                          <w:tblW w:w="10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2820"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p>
                        </w:tc>
                        <w:tc>
                          <w:tcPr>
                            <w:tcW w:w="1815"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4" w:space="0" w:color="004B6B"/>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r>
                      <w:tr>
                        <w:tblPrEx>
                          <w:tblW w:w="10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2820" w:type="dxa"/>
                            <w:tcBorders>
                              <w:top w:val="single" w:sz="4" w:space="0" w:color="004B6B"/>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Ulkomaalaisomistus</w:t>
                            </w:r>
                          </w:p>
                        </w:tc>
                        <w:tc>
                          <w:tcPr>
                            <w:tcW w:w="1815" w:type="dxa"/>
                            <w:tcBorders>
                              <w:top w:val="single" w:sz="4" w:space="0" w:color="004B6B"/>
                              <w:left w:val="nil"/>
                              <w:bottom w:val="single" w:sz="8" w:space="0" w:color="000000"/>
                              <w:right w:val="nil"/>
                              <w:tl2br w:val="nil"/>
                              <w:tr2bl w:val="nil"/>
                            </w:tcBorders>
                            <w:shd w:val="clear" w:color="FFFFFF" w:fill="F0F4F6"/>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p>
                        </w:tc>
                        <w:tc>
                          <w:tcPr>
                            <w:tcW w:w="1830" w:type="dxa"/>
                            <w:tcBorders>
                              <w:top w:val="single" w:sz="4" w:space="0" w:color="004B6B"/>
                              <w:left w:val="nil"/>
                              <w:bottom w:val="single" w:sz="8" w:space="0" w:color="000000"/>
                              <w:right w:val="nil"/>
                              <w:tl2br w:val="nil"/>
                              <w:tr2bl w:val="nil"/>
                            </w:tcBorders>
                            <w:shd w:val="clear" w:color="FFFFFF" w:fill="F0F4F6"/>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p>
                        </w:tc>
                        <w:tc>
                          <w:tcPr>
                            <w:tcW w:w="1830" w:type="dxa"/>
                            <w:tcBorders>
                              <w:top w:val="single" w:sz="4" w:space="0" w:color="004B6B"/>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31.12.2021</w:t>
                            </w:r>
                          </w:p>
                        </w:tc>
                        <w:tc>
                          <w:tcPr>
                            <w:tcW w:w="1830" w:type="dxa"/>
                            <w:tcBorders>
                              <w:top w:val="single" w:sz="4" w:space="0" w:color="004B6B"/>
                              <w:left w:val="nil"/>
                              <w:bottom w:val="single" w:sz="8" w:space="0" w:color="000000"/>
                              <w:right w:val="nil"/>
                              <w:tl2br w:val="nil"/>
                              <w:tr2bl w:val="nil"/>
                            </w:tcBorders>
                            <w:shd w:val="clear" w:color="FFFFFF" w:fill="F0F4F6"/>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i w:val="0"/>
                                <w:strike w:val="0"/>
                                <w:color w:val="000000"/>
                                <w:sz w:val="14"/>
                                <w:u w:val="none"/>
                                <w:vertAlign w:val="baseline"/>
                              </w:rPr>
                            </w:pPr>
                            <w:r>
                              <w:rPr>
                                <w:rFonts w:ascii="Arial" w:eastAsia="Arial" w:hAnsi="Arial" w:cs="Arial"/>
                                <w:b/>
                                <w:i w:val="0"/>
                                <w:strike w:val="0"/>
                                <w:color w:val="000000"/>
                                <w:sz w:val="14"/>
                                <w:u w:val="none"/>
                                <w:vertAlign w:val="baseline"/>
                              </w:rPr>
                              <w:t>31.12.2020</w:t>
                            </w:r>
                          </w:p>
                        </w:tc>
                      </w:tr>
                      <w:tr>
                        <w:tblPrEx>
                          <w:tblW w:w="10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2820" w:type="dxa"/>
                            <w:tcBorders>
                              <w:top w:val="single" w:sz="8" w:space="0" w:color="000000"/>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lef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w:t>
                            </w:r>
                          </w:p>
                        </w:tc>
                        <w:tc>
                          <w:tcPr>
                            <w:tcW w:w="1815" w:type="dxa"/>
                            <w:tcBorders>
                              <w:top w:val="single" w:sz="8" w:space="0" w:color="000000"/>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8" w:space="0" w:color="000000"/>
                              <w:left w:val="nil"/>
                              <w:bottom w:val="single" w:sz="4" w:space="0" w:color="004B6B"/>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p>
                        </w:tc>
                        <w:tc>
                          <w:tcPr>
                            <w:tcW w:w="1830" w:type="dxa"/>
                            <w:tcBorders>
                              <w:top w:val="single" w:sz="8" w:space="0" w:color="000000"/>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52,7</w:t>
                            </w:r>
                          </w:p>
                        </w:tc>
                        <w:tc>
                          <w:tcPr>
                            <w:tcW w:w="1830" w:type="dxa"/>
                            <w:tcBorders>
                              <w:top w:val="single" w:sz="8" w:space="0" w:color="000000"/>
                              <w:left w:val="nil"/>
                              <w:bottom w:val="single" w:sz="4" w:space="0" w:color="004B6B"/>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w:eastAsia="Arial" w:hAnsi="Arial" w:cs="Arial"/>
                                <w:b w:val="0"/>
                                <w:i w:val="0"/>
                                <w:strike w:val="0"/>
                                <w:color w:val="111111"/>
                                <w:sz w:val="14"/>
                                <w:u w:val="none"/>
                                <w:vertAlign w:val="baseline"/>
                              </w:rPr>
                            </w:pPr>
                            <w:r>
                              <w:rPr>
                                <w:rFonts w:ascii="Arial" w:eastAsia="Arial" w:hAnsi="Arial" w:cs="Arial"/>
                                <w:b w:val="0"/>
                                <w:i w:val="0"/>
                                <w:strike w:val="0"/>
                                <w:color w:val="111111"/>
                                <w:sz w:val="14"/>
                                <w:u w:val="none"/>
                                <w:vertAlign w:val="baseline"/>
                              </w:rPr>
                              <w:t>50,7</w:t>
                            </w:r>
                          </w:p>
                        </w:tc>
                      </w:tr>
                    </w:tbl>
                    <w:p w:rsidR="00542C05" w:rsidRPr="009F48CB" w:rsidP="009F48CB">
                      <w:pPr>
                        <w:rPr>
                          <w:lang w:val="fi-FI"/>
                        </w:rPr>
                      </w:pPr>
                    </w:p>
                  </w:txbxContent>
                </v:textbox>
                <w10:wrap type="square"/>
              </v:shape>
            </w:pict>
          </mc:Fallback>
        </mc:AlternateContent>
      </w:r>
      <w:bookmarkStart w:id="22" w:name="RG_MARKER_7309"/>
      <w:r w:rsidRPr="000816FE" w:rsidR="000B36F1">
        <w:t>Osakkeet ja osakkeenomistajat</w:t>
      </w:r>
      <w:bookmarkEnd w:id="22"/>
    </w:p>
    <w:p w:rsidR="009E7660" w:rsidRPr="00261CDC" w:rsidP="003F3042">
      <w:pPr>
        <w:pStyle w:val="WNormal"/>
        <w:rPr>
          <w:sz w:val="16"/>
          <w:szCs w:val="14"/>
        </w:rPr>
      </w:pPr>
      <w:r w:rsidRPr="00261CDC">
        <w:rPr>
          <w:sz w:val="16"/>
          <w:szCs w:val="14"/>
        </w:rPr>
        <w:t xml:space="preserve">Vuonna </w:t>
      </w:r>
      <w:r w:rsidRPr="00261CDC">
        <w:rPr>
          <w:sz w:val="16"/>
          <w:szCs w:val="14"/>
        </w:rPr>
        <w:t>2021</w:t>
      </w:r>
      <w:r w:rsidRPr="00261CDC">
        <w:rPr>
          <w:sz w:val="16"/>
          <w:szCs w:val="14"/>
        </w:rPr>
        <w:t xml:space="preserve"> </w:t>
      </w:r>
      <w:r w:rsidRPr="00261CDC" w:rsidR="00351519">
        <w:rPr>
          <w:sz w:val="16"/>
          <w:szCs w:val="14"/>
        </w:rPr>
        <w:t xml:space="preserve">Wärtsilän osakkeita vaihdettiin Nasdaq Helsingissä </w:t>
      </w:r>
      <w:r w:rsidRPr="00261CDC" w:rsidR="00351519">
        <w:rPr>
          <w:sz w:val="16"/>
          <w:szCs w:val="14"/>
        </w:rPr>
        <w:t>433 886 295</w:t>
      </w:r>
      <w:r w:rsidRPr="00261CDC" w:rsidR="00351519">
        <w:rPr>
          <w:sz w:val="16"/>
          <w:szCs w:val="14"/>
        </w:rPr>
        <w:t xml:space="preserve"> kappaletta. Vaihdettujen osakkeiden arvo oli </w:t>
      </w:r>
      <w:r w:rsidRPr="00261CDC" w:rsidR="00351519">
        <w:rPr>
          <w:sz w:val="16"/>
          <w:szCs w:val="14"/>
        </w:rPr>
        <w:t>4 561</w:t>
      </w:r>
      <w:r w:rsidRPr="00261CDC" w:rsidR="00351519">
        <w:rPr>
          <w:sz w:val="16"/>
          <w:szCs w:val="14"/>
        </w:rPr>
        <w:t xml:space="preserve"> miljoonaa euroa. Wärtsilän osakkeilla käydään kauppaa myös vaihtoehtoisilla kaupankäyntipaikoilla kuten Turquoisessa, BATS CXE:ssä ja BATS BXE:ssä. Osakkeita vaihdettiin näillä vaihtoehtoisilla kaupankäyntipaikoilla yhteensä </w:t>
      </w:r>
      <w:r w:rsidRPr="00261CDC" w:rsidR="00351519">
        <w:rPr>
          <w:sz w:val="16"/>
          <w:szCs w:val="14"/>
        </w:rPr>
        <w:t>32 692 101</w:t>
      </w:r>
      <w:r w:rsidRPr="00261CDC" w:rsidR="00351519">
        <w:rPr>
          <w:sz w:val="16"/>
          <w:szCs w:val="14"/>
        </w:rPr>
        <w:t xml:space="preserve"> kappaletta.</w:t>
      </w:r>
    </w:p>
    <w:p w:rsidR="00EE52E0" w:rsidRPr="000816FE" w:rsidP="00EE52E0">
      <w:pPr>
        <w:pStyle w:val="WHeading3"/>
      </w:pPr>
      <w:r w:rsidRPr="000816FE">
        <w:t>Liputusilmoitukset</w:t>
      </w:r>
    </w:p>
    <w:p w:rsidR="00EE52E0" w:rsidRPr="00261CDC" w:rsidP="00EE52E0">
      <w:pPr>
        <w:pStyle w:val="WNormal"/>
        <w:rPr>
          <w:sz w:val="16"/>
          <w:szCs w:val="14"/>
        </w:rPr>
      </w:pPr>
      <w:r w:rsidRPr="00261CDC">
        <w:rPr>
          <w:sz w:val="16"/>
          <w:szCs w:val="14"/>
        </w:rPr>
        <w:t>Wärtsilä ei saanut tietoonsa omistuksessa tapahtuneita muutoksia vuonna 2021.</w:t>
      </w:r>
    </w:p>
    <w:p w:rsidR="00860837" w:rsidRPr="005D57B8" w:rsidP="00B72EAF">
      <w:pPr>
        <w:pStyle w:val="WHeadingException1"/>
        <w:spacing w:before="0"/>
        <w:rPr>
          <w:b/>
          <w:bCs/>
          <w:sz w:val="17"/>
          <w:szCs w:val="17"/>
        </w:rPr>
      </w:pPr>
      <w:bookmarkStart w:id="23" w:name="RG_MARKER_7488"/>
      <w:r w:rsidRPr="005D57B8">
        <w:rPr>
          <w:b/>
          <w:bCs/>
          <w:sz w:val="17"/>
          <w:szCs w:val="17"/>
        </w:rPr>
        <w:t>Varsinaisen yhtiökokouksen päätökset</w:t>
      </w:r>
      <w:bookmarkEnd w:id="23"/>
    </w:p>
    <w:p w:rsidR="00860837" w:rsidRPr="00CD27A9" w:rsidP="00464E69">
      <w:pPr>
        <w:pStyle w:val="WNormal"/>
        <w:rPr>
          <w:sz w:val="16"/>
          <w:szCs w:val="16"/>
        </w:rPr>
      </w:pPr>
      <w:r w:rsidRPr="00CD27A9">
        <w:rPr>
          <w:sz w:val="16"/>
          <w:szCs w:val="16"/>
        </w:rPr>
        <w:t xml:space="preserve">Wärtsilän </w:t>
      </w:r>
      <w:r w:rsidR="00B72EAF">
        <w:rPr>
          <w:sz w:val="16"/>
          <w:szCs w:val="16"/>
        </w:rPr>
        <w:t>4</w:t>
      </w:r>
      <w:r w:rsidRPr="00CD27A9">
        <w:rPr>
          <w:sz w:val="16"/>
          <w:szCs w:val="16"/>
        </w:rPr>
        <w:t>.3.20</w:t>
      </w:r>
      <w:r w:rsidRPr="00CD27A9" w:rsidR="00F93561">
        <w:rPr>
          <w:sz w:val="16"/>
          <w:szCs w:val="16"/>
        </w:rPr>
        <w:t>2</w:t>
      </w:r>
      <w:r w:rsidR="00B72EAF">
        <w:rPr>
          <w:sz w:val="16"/>
          <w:szCs w:val="16"/>
        </w:rPr>
        <w:t>1</w:t>
      </w:r>
      <w:r w:rsidRPr="00CD27A9">
        <w:rPr>
          <w:sz w:val="16"/>
          <w:szCs w:val="16"/>
        </w:rPr>
        <w:t xml:space="preserve"> pidetty varsinainen yhtiökokous </w:t>
      </w:r>
      <w:r w:rsidRPr="009A0F23">
        <w:rPr>
          <w:sz w:val="16"/>
          <w:szCs w:val="16"/>
        </w:rPr>
        <w:t xml:space="preserve">vahvisti tilinpäätöksen, käsitteli toimielinten palkitsemispolitiikan ja palkitsemisraportin 2020 sekä myönsi hallituksen jäsenille ja </w:t>
      </w:r>
      <w:r w:rsidRPr="009A0F23">
        <w:rPr>
          <w:sz w:val="16"/>
          <w:szCs w:val="16"/>
        </w:rPr>
        <w:t>toimitusjohtajalle vastuuvapauden tilivuodelta 2020</w:t>
      </w:r>
      <w:r w:rsidRPr="00CD27A9">
        <w:rPr>
          <w:sz w:val="16"/>
          <w:szCs w:val="16"/>
        </w:rPr>
        <w:t>.</w:t>
      </w:r>
    </w:p>
    <w:p w:rsidR="00860837" w:rsidRPr="00CD27A9" w:rsidP="00464E69">
      <w:pPr>
        <w:pStyle w:val="WNormal"/>
        <w:rPr>
          <w:sz w:val="16"/>
          <w:szCs w:val="16"/>
        </w:rPr>
      </w:pPr>
      <w:r w:rsidRPr="00CD27A9">
        <w:rPr>
          <w:sz w:val="16"/>
          <w:szCs w:val="16"/>
        </w:rPr>
        <w:t xml:space="preserve">Yhtiökokous päätti hallituksen jäsenmääräksi kahdeksan. Hallituksen jäseniksi valittiin </w:t>
      </w:r>
      <w:r w:rsidRPr="00CD27A9" w:rsidR="00F93561">
        <w:rPr>
          <w:sz w:val="16"/>
          <w:szCs w:val="16"/>
        </w:rPr>
        <w:t xml:space="preserve">Maarit Aarni-Sirviö, Karen Bomba, Karin Falk, Johan Forssell, Tom Johnstone, Risto Murto, Mats Rahmström ja </w:t>
      </w:r>
      <w:r w:rsidR="00B72EAF">
        <w:rPr>
          <w:sz w:val="16"/>
          <w:szCs w:val="16"/>
        </w:rPr>
        <w:t>Tiina Tuomela</w:t>
      </w:r>
      <w:r w:rsidRPr="00CD27A9" w:rsidR="00F93561">
        <w:rPr>
          <w:sz w:val="16"/>
          <w:szCs w:val="16"/>
        </w:rPr>
        <w:t>.</w:t>
      </w:r>
    </w:p>
    <w:p w:rsidR="00403AA6" w:rsidRPr="00CD27A9" w:rsidP="00464E69">
      <w:pPr>
        <w:pStyle w:val="WNormal"/>
        <w:rPr>
          <w:sz w:val="16"/>
          <w:szCs w:val="16"/>
        </w:rPr>
      </w:pPr>
      <w:r w:rsidRPr="00CD27A9">
        <w:rPr>
          <w:sz w:val="16"/>
          <w:szCs w:val="16"/>
        </w:rPr>
        <w:t>Tilintarkastajaksi vuodelle 20</w:t>
      </w:r>
      <w:r w:rsidRPr="00CD27A9" w:rsidR="00F93561">
        <w:rPr>
          <w:sz w:val="16"/>
          <w:szCs w:val="16"/>
        </w:rPr>
        <w:t>2</w:t>
      </w:r>
      <w:r w:rsidR="00B72EAF">
        <w:rPr>
          <w:sz w:val="16"/>
          <w:szCs w:val="16"/>
        </w:rPr>
        <w:t>1</w:t>
      </w:r>
      <w:r w:rsidRPr="00CD27A9">
        <w:rPr>
          <w:sz w:val="16"/>
          <w:szCs w:val="16"/>
        </w:rPr>
        <w:t xml:space="preserve"> valittiin tilintarkastusyhteisö PricewaterhouseCoopers Oy.</w:t>
      </w:r>
    </w:p>
    <w:p w:rsidR="001062DB" w:rsidRPr="00B72EAF" w:rsidP="00B72EAF">
      <w:pPr>
        <w:pStyle w:val="WHeadingException3"/>
        <w:spacing w:before="0"/>
        <w:rPr>
          <w:b/>
          <w:bCs/>
          <w:sz w:val="16"/>
          <w:szCs w:val="16"/>
        </w:rPr>
      </w:pPr>
      <w:r w:rsidRPr="00B72EAF">
        <w:rPr>
          <w:b/>
          <w:bCs/>
          <w:sz w:val="16"/>
          <w:szCs w:val="16"/>
        </w:rPr>
        <w:t>Osingonjako</w:t>
      </w:r>
    </w:p>
    <w:p w:rsidR="001062DB" w:rsidRPr="00CD27A9" w:rsidP="00464E69">
      <w:pPr>
        <w:pStyle w:val="WNormal"/>
        <w:rPr>
          <w:sz w:val="16"/>
          <w:szCs w:val="16"/>
        </w:rPr>
      </w:pPr>
      <w:r w:rsidRPr="00CD27A9">
        <w:rPr>
          <w:sz w:val="16"/>
          <w:szCs w:val="16"/>
        </w:rPr>
        <w:t>Yhtiökokous vahvisti hallituksen ehdotuksen, että osinkoa maksetaan kahdessa erässä yhteensä 0,</w:t>
      </w:r>
      <w:r w:rsidR="00B72EAF">
        <w:rPr>
          <w:sz w:val="16"/>
          <w:szCs w:val="16"/>
        </w:rPr>
        <w:t>20</w:t>
      </w:r>
      <w:r w:rsidRPr="00CD27A9">
        <w:rPr>
          <w:sz w:val="16"/>
          <w:szCs w:val="16"/>
        </w:rPr>
        <w:t xml:space="preserve"> euroa/osake. Osingon ensimmäinen erä 0,</w:t>
      </w:r>
      <w:r w:rsidR="00B72EAF">
        <w:rPr>
          <w:sz w:val="16"/>
          <w:szCs w:val="16"/>
        </w:rPr>
        <w:t>10</w:t>
      </w:r>
      <w:r w:rsidRPr="00CD27A9">
        <w:rPr>
          <w:sz w:val="16"/>
          <w:szCs w:val="16"/>
        </w:rPr>
        <w:t xml:space="preserve"> euro</w:t>
      </w:r>
      <w:r w:rsidRPr="00CD27A9">
        <w:rPr>
          <w:sz w:val="16"/>
          <w:szCs w:val="16"/>
        </w:rPr>
        <w:t>a/osake maksettiin 1</w:t>
      </w:r>
      <w:r w:rsidR="00B72EAF">
        <w:rPr>
          <w:sz w:val="16"/>
          <w:szCs w:val="16"/>
        </w:rPr>
        <w:t>5</w:t>
      </w:r>
      <w:r w:rsidRPr="00CD27A9">
        <w:rPr>
          <w:sz w:val="16"/>
          <w:szCs w:val="16"/>
        </w:rPr>
        <w:t>.3.202</w:t>
      </w:r>
      <w:r w:rsidR="00B72EAF">
        <w:rPr>
          <w:sz w:val="16"/>
          <w:szCs w:val="16"/>
        </w:rPr>
        <w:t>1</w:t>
      </w:r>
      <w:r w:rsidRPr="00CD27A9">
        <w:rPr>
          <w:sz w:val="16"/>
          <w:szCs w:val="16"/>
        </w:rPr>
        <w:t xml:space="preserve"> ja toinen erä 0,</w:t>
      </w:r>
      <w:r w:rsidR="00B72EAF">
        <w:rPr>
          <w:sz w:val="16"/>
          <w:szCs w:val="16"/>
        </w:rPr>
        <w:t>10</w:t>
      </w:r>
      <w:r w:rsidRPr="00CD27A9">
        <w:rPr>
          <w:sz w:val="16"/>
          <w:szCs w:val="16"/>
        </w:rPr>
        <w:t xml:space="preserve"> euroa/osake </w:t>
      </w:r>
      <w:r w:rsidR="00B72EAF">
        <w:rPr>
          <w:sz w:val="16"/>
          <w:szCs w:val="16"/>
        </w:rPr>
        <w:t>20</w:t>
      </w:r>
      <w:r w:rsidRPr="00CD27A9">
        <w:rPr>
          <w:sz w:val="16"/>
          <w:szCs w:val="16"/>
        </w:rPr>
        <w:t>.9.202</w:t>
      </w:r>
      <w:r w:rsidR="00B72EAF">
        <w:rPr>
          <w:sz w:val="16"/>
          <w:szCs w:val="16"/>
        </w:rPr>
        <w:t>1</w:t>
      </w:r>
      <w:r w:rsidRPr="00CD27A9">
        <w:rPr>
          <w:sz w:val="16"/>
          <w:szCs w:val="16"/>
        </w:rPr>
        <w:t>.</w:t>
      </w:r>
    </w:p>
    <w:p w:rsidR="001D0996" w:rsidRPr="00B72EAF" w:rsidP="00B72EAF">
      <w:pPr>
        <w:pStyle w:val="WHeadingException3"/>
        <w:spacing w:before="0"/>
        <w:rPr>
          <w:b/>
          <w:bCs/>
          <w:sz w:val="16"/>
          <w:szCs w:val="16"/>
        </w:rPr>
      </w:pPr>
      <w:r w:rsidRPr="00B72EAF">
        <w:rPr>
          <w:b/>
          <w:bCs/>
          <w:sz w:val="16"/>
          <w:szCs w:val="16"/>
        </w:rPr>
        <w:t>Valtuutus omien osakkeiden hankkimiseen</w:t>
      </w:r>
    </w:p>
    <w:p w:rsidR="001D0996" w:rsidRPr="00CD27A9" w:rsidP="00464E69">
      <w:pPr>
        <w:pStyle w:val="WNormal"/>
        <w:rPr>
          <w:sz w:val="16"/>
          <w:szCs w:val="16"/>
        </w:rPr>
      </w:pPr>
      <w:r w:rsidRPr="009A0F23">
        <w:rPr>
          <w:sz w:val="16"/>
          <w:szCs w:val="16"/>
        </w:rPr>
        <w:t>Hallitus valtuutettiin päättämään enintään 57 000 000 yhtiön oman osakkeen hankkimisesta. Hallitus voi valtuutuksen perusteella päättää omien osa</w:t>
      </w:r>
      <w:r w:rsidRPr="009A0F23">
        <w:rPr>
          <w:sz w:val="16"/>
          <w:szCs w:val="16"/>
        </w:rPr>
        <w:t>kkeiden hankkimisesta muutoinkin kuin osakkeenomistajien omistamien osakkeiden suhteessa. Hankkimisvaltuutus on voimassa seuraavan varsinaisen yhtiökokouksen päättymiseen asti, kuitenkin enintään 18 kuukautta yhtiökokouksen päätöksestä.</w:t>
      </w:r>
    </w:p>
    <w:p w:rsidR="001D0996" w:rsidRPr="00B72EAF" w:rsidP="00B72EAF">
      <w:pPr>
        <w:pStyle w:val="WHeadingException3"/>
        <w:spacing w:before="0"/>
        <w:rPr>
          <w:b/>
          <w:bCs/>
          <w:sz w:val="16"/>
          <w:szCs w:val="16"/>
        </w:rPr>
      </w:pPr>
      <w:r>
        <w:rPr>
          <w:b/>
          <w:bCs/>
          <w:sz w:val="16"/>
          <w:szCs w:val="16"/>
        </w:rPr>
        <w:br w:type="column"/>
      </w:r>
      <w:r w:rsidRPr="00B72EAF">
        <w:rPr>
          <w:b/>
          <w:bCs/>
          <w:sz w:val="16"/>
          <w:szCs w:val="16"/>
        </w:rPr>
        <w:t>Osakeantivaltuutus</w:t>
      </w:r>
    </w:p>
    <w:p w:rsidR="001D0996" w:rsidRPr="00CD27A9" w:rsidP="006E3465">
      <w:pPr>
        <w:pStyle w:val="WNormal"/>
        <w:rPr>
          <w:sz w:val="16"/>
          <w:szCs w:val="16"/>
        </w:rPr>
      </w:pPr>
      <w:r w:rsidRPr="009A0F23">
        <w:rPr>
          <w:sz w:val="16"/>
          <w:szCs w:val="16"/>
        </w:rPr>
        <w:t>Hallitus valtuutettiin päättämään enintään 57 000 000 osakkeen suuruisesta osakeannista. Osakkeita voidaan laskea liikkeelle maksua vastaan tai maksutta. Osakkeita voidaan laskea liikkeelle suunnatulla annilla myös muutoin kuin siinä suhteessa, jossa osakk</w:t>
      </w:r>
      <w:r w:rsidRPr="009A0F23">
        <w:rPr>
          <w:sz w:val="16"/>
          <w:szCs w:val="16"/>
        </w:rPr>
        <w:t>eenomistajalla on etuoikeus hankkia yhtiön omia osakkeita, jos siihen on yhtiön kannalta painava taloudellinen syy. Suunnatusta osakeannista voidaan päättää yhtiön pääomarakenteen kehittämiseksi tai yrityskauppojen tai liiketoimintajärjestelyjen rahoittami</w:t>
      </w:r>
      <w:r w:rsidRPr="009A0F23">
        <w:rPr>
          <w:sz w:val="16"/>
          <w:szCs w:val="16"/>
        </w:rPr>
        <w:t>seksi tai toteuttamiseksi. Lisäksi valtuutusta voidaan käyttää osana yhtiön kannustinjärjestelmiä enintään 10 000 000 osakkeeseen asti, mikä vastaa 1,69% yhtiön kaikista osakkeista. Hallituksen osakeantivaltuutus on voimassa 18 kuukautta yhtiökokouksen pää</w:t>
      </w:r>
      <w:r w:rsidRPr="009A0F23">
        <w:rPr>
          <w:sz w:val="16"/>
          <w:szCs w:val="16"/>
        </w:rPr>
        <w:t>töksestä. Kannustinjärjestelmiä koskeva valtuutus on kuitenkin voimassa viisi vuotta yhtiökokouksen päätöksestä. Tämä valtuutus kumoaa varsinaisen yhtiökokouksen 5.3.2020 antaman valtuutuksen.</w:t>
      </w:r>
    </w:p>
    <w:p w:rsidR="00497D7A" w:rsidRPr="00B72EAF" w:rsidP="00B72EAF">
      <w:pPr>
        <w:pStyle w:val="WHeadingException3"/>
        <w:spacing w:before="0"/>
        <w:rPr>
          <w:b/>
          <w:bCs/>
          <w:sz w:val="16"/>
          <w:szCs w:val="16"/>
        </w:rPr>
      </w:pPr>
      <w:r w:rsidRPr="00B72EAF">
        <w:rPr>
          <w:b/>
          <w:bCs/>
          <w:sz w:val="16"/>
          <w:szCs w:val="16"/>
        </w:rPr>
        <w:t>Hallituksen järjestäytyminen</w:t>
      </w:r>
    </w:p>
    <w:p w:rsidR="00497D7A" w:rsidRPr="00CD27A9" w:rsidP="00464E69">
      <w:pPr>
        <w:pStyle w:val="WNormal"/>
        <w:rPr>
          <w:sz w:val="16"/>
          <w:szCs w:val="16"/>
        </w:rPr>
      </w:pPr>
      <w:r w:rsidRPr="00CD27A9">
        <w:rPr>
          <w:sz w:val="16"/>
          <w:szCs w:val="16"/>
        </w:rPr>
        <w:t>Hallitus valitsi yhtiökokouksen jä</w:t>
      </w:r>
      <w:r w:rsidRPr="00CD27A9">
        <w:rPr>
          <w:sz w:val="16"/>
          <w:szCs w:val="16"/>
        </w:rPr>
        <w:t xml:space="preserve">lkeen pitämässään järjestäytymiskokouksessa puheenjohtajaksi Tom Johnstonen ja varapuheenjohtajaksi </w:t>
      </w:r>
      <w:r>
        <w:rPr>
          <w:sz w:val="16"/>
          <w:szCs w:val="16"/>
        </w:rPr>
        <w:t>Risto Murron</w:t>
      </w:r>
      <w:r w:rsidRPr="00CD27A9">
        <w:rPr>
          <w:sz w:val="16"/>
          <w:szCs w:val="16"/>
        </w:rPr>
        <w:t xml:space="preserve">. Hallitus päätti perustaa tarkastusvaliokunnan ja </w:t>
      </w:r>
      <w:r w:rsidRPr="00CD27A9" w:rsidR="00140E6B">
        <w:rPr>
          <w:sz w:val="16"/>
          <w:szCs w:val="16"/>
        </w:rPr>
        <w:t>henkilöstö</w:t>
      </w:r>
      <w:r w:rsidRPr="00CD27A9">
        <w:rPr>
          <w:sz w:val="16"/>
          <w:szCs w:val="16"/>
        </w:rPr>
        <w:t>valiokunnan. Hallitus valitsi keskuudestaan valiokuntiin seuraavat jäsenet:</w:t>
      </w:r>
    </w:p>
    <w:p w:rsidR="00497D7A" w:rsidRPr="00CD27A9" w:rsidP="00464E69">
      <w:pPr>
        <w:pStyle w:val="WNormal"/>
        <w:rPr>
          <w:sz w:val="16"/>
          <w:szCs w:val="16"/>
        </w:rPr>
      </w:pPr>
      <w:r w:rsidRPr="00CD27A9">
        <w:rPr>
          <w:b/>
          <w:bCs/>
          <w:sz w:val="16"/>
          <w:szCs w:val="16"/>
        </w:rPr>
        <w:t>Tarkast</w:t>
      </w:r>
      <w:r w:rsidRPr="00CD27A9">
        <w:rPr>
          <w:b/>
          <w:bCs/>
          <w:sz w:val="16"/>
          <w:szCs w:val="16"/>
        </w:rPr>
        <w:t xml:space="preserve">usvaliokunta: </w:t>
      </w:r>
      <w:r w:rsidRPr="00CD27A9">
        <w:rPr>
          <w:sz w:val="16"/>
          <w:szCs w:val="16"/>
        </w:rPr>
        <w:t xml:space="preserve">puheenjohtaja </w:t>
      </w:r>
      <w:r>
        <w:rPr>
          <w:sz w:val="16"/>
          <w:szCs w:val="16"/>
        </w:rPr>
        <w:t>Tiina Tuomela</w:t>
      </w:r>
      <w:r w:rsidRPr="00CD27A9">
        <w:rPr>
          <w:sz w:val="16"/>
          <w:szCs w:val="16"/>
        </w:rPr>
        <w:t>, Maarit Aarni-Sirviö, Risto Murto</w:t>
      </w:r>
    </w:p>
    <w:p w:rsidR="001062DB" w:rsidRPr="00CD27A9" w:rsidP="00464E69">
      <w:pPr>
        <w:pStyle w:val="WNormal"/>
        <w:rPr>
          <w:sz w:val="16"/>
          <w:szCs w:val="16"/>
        </w:rPr>
      </w:pPr>
      <w:r w:rsidRPr="00CD27A9">
        <w:rPr>
          <w:b/>
          <w:bCs/>
          <w:sz w:val="16"/>
          <w:szCs w:val="16"/>
        </w:rPr>
        <w:t>Henkilöstövaliokunta:</w:t>
      </w:r>
      <w:r w:rsidRPr="00CD27A9">
        <w:rPr>
          <w:sz w:val="16"/>
          <w:szCs w:val="16"/>
        </w:rPr>
        <w:t xml:space="preserve"> puheenjohtaja Maarit Aarni-Sirviö, Johan Forssell, Tom Johnstone</w:t>
      </w:r>
    </w:p>
    <w:p w:rsidR="00532155" w:rsidRPr="00B579EE" w:rsidP="0071700E">
      <w:pPr>
        <w:pStyle w:val="WHeading20"/>
        <w:rPr>
          <w:b/>
          <w:bCs/>
          <w:sz w:val="20"/>
          <w:szCs w:val="20"/>
        </w:rPr>
      </w:pPr>
      <w:bookmarkStart w:id="24" w:name="RG_MARKER_7490"/>
      <w:r w:rsidRPr="00B579EE">
        <w:rPr>
          <w:b/>
          <w:bCs/>
          <w:sz w:val="20"/>
          <w:szCs w:val="20"/>
        </w:rPr>
        <w:t>WÄRTSILÄN NÄKYMÄT VUODELLE 202</w:t>
      </w:r>
      <w:bookmarkEnd w:id="24"/>
      <w:r>
        <w:rPr>
          <w:b/>
          <w:bCs/>
          <w:sz w:val="20"/>
          <w:szCs w:val="20"/>
        </w:rPr>
        <w:t>2</w:t>
      </w:r>
    </w:p>
    <w:p w:rsidR="00624C3F" w:rsidRPr="00B579EE" w:rsidP="00574AED">
      <w:pPr>
        <w:pStyle w:val="WNormal"/>
        <w:rPr>
          <w:sz w:val="16"/>
          <w:szCs w:val="16"/>
        </w:rPr>
      </w:pPr>
      <w:r w:rsidRPr="00AD6911">
        <w:rPr>
          <w:sz w:val="16"/>
          <w:szCs w:val="16"/>
        </w:rPr>
        <w:t>Wärtsilä ennakoi kysyntäympäristön olevan ensimmäisellä vuosineljänneksellä parempi kuin viime vuoden vastaavalla ajanjaksolla. Vallitsevat markkinaolosuhteet tekevät näkymästä kuitenkin epävarman.</w:t>
      </w:r>
    </w:p>
    <w:p w:rsidR="004C30D4" w:rsidRPr="00B06D2A" w:rsidP="00E62995">
      <w:pPr>
        <w:pStyle w:val="WHeading20"/>
        <w:rPr>
          <w:rFonts w:cstheme="minorHAnsi"/>
          <w:b/>
          <w:bCs/>
          <w:sz w:val="20"/>
          <w:szCs w:val="20"/>
        </w:rPr>
      </w:pPr>
      <w:bookmarkStart w:id="25" w:name="RG_MARKER_7492"/>
      <w:r w:rsidRPr="00B06D2A">
        <w:rPr>
          <w:rFonts w:cstheme="minorHAnsi"/>
          <w:b/>
          <w:bCs/>
          <w:sz w:val="20"/>
          <w:szCs w:val="20"/>
        </w:rPr>
        <w:t>HALLITUKSEN VOITONJAKOEHDOTUS</w:t>
      </w:r>
      <w:bookmarkEnd w:id="25"/>
    </w:p>
    <w:p w:rsidR="00636960" w:rsidRPr="00A2407A" w:rsidP="000623F5">
      <w:pPr>
        <w:pStyle w:val="WNormal"/>
        <w:rPr>
          <w:sz w:val="16"/>
          <w:szCs w:val="16"/>
        </w:rPr>
      </w:pPr>
      <w:r w:rsidRPr="00A2407A">
        <w:rPr>
          <w:sz w:val="16"/>
          <w:szCs w:val="16"/>
        </w:rPr>
        <w:t xml:space="preserve">Hallitus ehdottaa, että tilivuodelta </w:t>
      </w:r>
      <w:r w:rsidRPr="00A2407A">
        <w:rPr>
          <w:sz w:val="16"/>
          <w:szCs w:val="16"/>
        </w:rPr>
        <w:t>2021</w:t>
      </w:r>
      <w:r w:rsidRPr="00A2407A">
        <w:rPr>
          <w:sz w:val="16"/>
          <w:szCs w:val="16"/>
        </w:rPr>
        <w:t xml:space="preserve"> maksetaan osinkoa </w:t>
      </w:r>
      <w:r w:rsidRPr="00A2407A">
        <w:rPr>
          <w:sz w:val="16"/>
          <w:szCs w:val="16"/>
        </w:rPr>
        <w:t>0,24</w:t>
      </w:r>
      <w:r w:rsidRPr="00A2407A">
        <w:rPr>
          <w:color w:val="FF0000"/>
          <w:sz w:val="16"/>
          <w:szCs w:val="16"/>
        </w:rPr>
        <w:t> </w:t>
      </w:r>
      <w:r w:rsidRPr="00A2407A">
        <w:rPr>
          <w:sz w:val="16"/>
          <w:szCs w:val="16"/>
        </w:rPr>
        <w:t>euroa/osake. Emoyhtiön voitonjakokelpoiset varat ovat </w:t>
      </w:r>
      <w:r w:rsidRPr="00994247">
        <w:rPr>
          <w:sz w:val="16"/>
          <w:szCs w:val="16"/>
        </w:rPr>
        <w:t>1</w:t>
      </w:r>
      <w:r>
        <w:rPr>
          <w:sz w:val="16"/>
          <w:szCs w:val="16"/>
        </w:rPr>
        <w:t xml:space="preserve"> </w:t>
      </w:r>
      <w:r w:rsidRPr="00994247">
        <w:rPr>
          <w:sz w:val="16"/>
          <w:szCs w:val="16"/>
        </w:rPr>
        <w:t>025</w:t>
      </w:r>
      <w:r>
        <w:rPr>
          <w:sz w:val="16"/>
          <w:szCs w:val="16"/>
        </w:rPr>
        <w:t xml:space="preserve"> </w:t>
      </w:r>
      <w:r w:rsidRPr="00994247">
        <w:rPr>
          <w:sz w:val="16"/>
          <w:szCs w:val="16"/>
        </w:rPr>
        <w:t>711</w:t>
      </w:r>
      <w:r>
        <w:rPr>
          <w:sz w:val="16"/>
          <w:szCs w:val="16"/>
        </w:rPr>
        <w:t xml:space="preserve"> </w:t>
      </w:r>
      <w:r w:rsidRPr="00994247">
        <w:rPr>
          <w:sz w:val="16"/>
          <w:szCs w:val="16"/>
        </w:rPr>
        <w:t>618,25</w:t>
      </w:r>
      <w:r>
        <w:rPr>
          <w:sz w:val="16"/>
          <w:szCs w:val="16"/>
        </w:rPr>
        <w:t xml:space="preserve"> </w:t>
      </w:r>
      <w:r w:rsidRPr="00A2407A">
        <w:rPr>
          <w:sz w:val="16"/>
          <w:szCs w:val="16"/>
        </w:rPr>
        <w:t xml:space="preserve">euroa, josta tilikauden voitto on </w:t>
      </w:r>
      <w:r w:rsidRPr="00994247">
        <w:rPr>
          <w:sz w:val="16"/>
          <w:szCs w:val="16"/>
        </w:rPr>
        <w:t>188</w:t>
      </w:r>
      <w:r>
        <w:rPr>
          <w:sz w:val="16"/>
          <w:szCs w:val="16"/>
        </w:rPr>
        <w:t xml:space="preserve"> </w:t>
      </w:r>
      <w:r w:rsidRPr="00994247">
        <w:rPr>
          <w:sz w:val="16"/>
          <w:szCs w:val="16"/>
        </w:rPr>
        <w:t>242</w:t>
      </w:r>
      <w:r>
        <w:rPr>
          <w:sz w:val="16"/>
          <w:szCs w:val="16"/>
        </w:rPr>
        <w:t xml:space="preserve"> </w:t>
      </w:r>
      <w:r w:rsidRPr="00994247">
        <w:rPr>
          <w:sz w:val="16"/>
          <w:szCs w:val="16"/>
        </w:rPr>
        <w:t>150</w:t>
      </w:r>
      <w:r>
        <w:rPr>
          <w:sz w:val="16"/>
          <w:szCs w:val="16"/>
        </w:rPr>
        <w:t>,</w:t>
      </w:r>
      <w:r w:rsidRPr="00994247">
        <w:rPr>
          <w:sz w:val="16"/>
          <w:szCs w:val="16"/>
        </w:rPr>
        <w:t>86</w:t>
      </w:r>
      <w:r>
        <w:rPr>
          <w:sz w:val="16"/>
          <w:szCs w:val="16"/>
        </w:rPr>
        <w:t xml:space="preserve"> </w:t>
      </w:r>
      <w:r w:rsidRPr="00A2407A">
        <w:rPr>
          <w:sz w:val="16"/>
          <w:szCs w:val="16"/>
        </w:rPr>
        <w:t>euroa. Osinkoon oikeuttavia osakkeita on 59</w:t>
      </w:r>
      <w:r>
        <w:rPr>
          <w:sz w:val="16"/>
          <w:szCs w:val="16"/>
        </w:rPr>
        <w:t>0</w:t>
      </w:r>
      <w:r w:rsidRPr="00A2407A" w:rsidR="005977FF">
        <w:rPr>
          <w:sz w:val="16"/>
          <w:szCs w:val="16"/>
        </w:rPr>
        <w:t> </w:t>
      </w:r>
      <w:r>
        <w:rPr>
          <w:sz w:val="16"/>
          <w:szCs w:val="16"/>
        </w:rPr>
        <w:t>0</w:t>
      </w:r>
      <w:r w:rsidRPr="00A2407A">
        <w:rPr>
          <w:sz w:val="16"/>
          <w:szCs w:val="16"/>
        </w:rPr>
        <w:t>23</w:t>
      </w:r>
      <w:r w:rsidRPr="00A2407A" w:rsidR="005977FF">
        <w:rPr>
          <w:sz w:val="16"/>
          <w:szCs w:val="16"/>
        </w:rPr>
        <w:t xml:space="preserve"> </w:t>
      </w:r>
      <w:r w:rsidRPr="00A2407A">
        <w:rPr>
          <w:sz w:val="16"/>
          <w:szCs w:val="16"/>
        </w:rPr>
        <w:t>390 kappaletta. Osinko maksetaan kahdessa erässä.</w:t>
      </w:r>
    </w:p>
    <w:p w:rsidR="00636960" w:rsidRPr="00A2407A" w:rsidP="000623F5">
      <w:pPr>
        <w:pStyle w:val="WNormal"/>
        <w:rPr>
          <w:sz w:val="16"/>
          <w:szCs w:val="16"/>
        </w:rPr>
      </w:pPr>
      <w:r w:rsidRPr="00A2407A">
        <w:rPr>
          <w:sz w:val="16"/>
          <w:szCs w:val="16"/>
        </w:rPr>
        <w:t xml:space="preserve">Ensimmäinen erä </w:t>
      </w:r>
      <w:r>
        <w:rPr>
          <w:sz w:val="16"/>
          <w:szCs w:val="16"/>
        </w:rPr>
        <w:t>0,12</w:t>
      </w:r>
      <w:r w:rsidRPr="00A2407A">
        <w:rPr>
          <w:sz w:val="16"/>
          <w:szCs w:val="16"/>
        </w:rPr>
        <w:t xml:space="preserve"> euroa/osake </w:t>
      </w:r>
      <w:r w:rsidRPr="00495B9E">
        <w:rPr>
          <w:sz w:val="16"/>
          <w:szCs w:val="16"/>
        </w:rPr>
        <w:t>maksetaan osakkeenomistajalle, joka on osin</w:t>
      </w:r>
      <w:r w:rsidRPr="00495B9E">
        <w:rPr>
          <w:sz w:val="16"/>
          <w:szCs w:val="16"/>
        </w:rPr>
        <w:t>gonmaksun täsmäytyspäivänä 7.3.2022 merkitty Euroclear Finland Oy:n pitämään osakasluetteloon. Hallitus esittää, että tämän erän osinko maksetaan 14.3.2022.</w:t>
      </w:r>
    </w:p>
    <w:p w:rsidR="00B4426B" w:rsidRPr="00A2407A" w:rsidP="00B222CF">
      <w:pPr>
        <w:pStyle w:val="WNormal"/>
        <w:rPr>
          <w:sz w:val="16"/>
          <w:szCs w:val="16"/>
        </w:rPr>
      </w:pPr>
      <w:r w:rsidRPr="00A2407A">
        <w:rPr>
          <w:sz w:val="16"/>
          <w:szCs w:val="16"/>
        </w:rPr>
        <w:t xml:space="preserve">Osingon toinen erä </w:t>
      </w:r>
      <w:r>
        <w:rPr>
          <w:sz w:val="16"/>
          <w:szCs w:val="16"/>
        </w:rPr>
        <w:t>0,12</w:t>
      </w:r>
      <w:r w:rsidRPr="00A2407A">
        <w:rPr>
          <w:sz w:val="16"/>
          <w:szCs w:val="16"/>
        </w:rPr>
        <w:t xml:space="preserve"> euroa/osake </w:t>
      </w:r>
      <w:r w:rsidRPr="00495B9E">
        <w:rPr>
          <w:sz w:val="16"/>
          <w:szCs w:val="16"/>
        </w:rPr>
        <w:t>maksetaan lokakuussa 2022. Osin</w:t>
      </w:r>
      <w:r w:rsidRPr="00495B9E">
        <w:rPr>
          <w:sz w:val="16"/>
          <w:szCs w:val="16"/>
        </w:rPr>
        <w:t xml:space="preserve">gon toinen erä maksetaan osakkeenomistajalle, joka on osingonmaksun täsmäytyspäivänä merkitty Euroclear Finland Oy:n pitämään osakasluetteloon. Hallitus päättää 27.9.2022 pidettäväksi sovitussa kokouksessaan toisen osinkoerän osingonmaksun täsmäytyspäivän </w:t>
      </w:r>
      <w:r w:rsidRPr="00495B9E">
        <w:rPr>
          <w:sz w:val="16"/>
          <w:szCs w:val="16"/>
        </w:rPr>
        <w:t>ja osingonmaksupäivän. Suomalaisen arvo-osuusjärjestelmän nykyisten sääntöjen mukaisesti osingon täsmäytyspäivä olisi silloin 29.9.2022 ja osingon maksupäivä 6.10.2022.</w:t>
      </w:r>
    </w:p>
    <w:p w:rsidR="006779C0" w:rsidRPr="000D6EC7" w:rsidP="00356656">
      <w:pPr>
        <w:pStyle w:val="Wnormal0"/>
        <w:spacing w:after="20" w:line="20" w:lineRule="exact"/>
        <w:rPr>
          <w:lang w:val="en-GB"/>
        </w:rPr>
        <w:sectPr w:rsidSect="00B8775C">
          <w:headerReference w:type="even" r:id="rId20"/>
          <w:headerReference w:type="default" r:id="rId21"/>
          <w:footerReference w:type="even" r:id="rId22"/>
          <w:footerReference w:type="default" r:id="rId23"/>
          <w:headerReference w:type="first" r:id="rId24"/>
          <w:footerReference w:type="first" r:id="rId25"/>
          <w:type w:val="continuous"/>
          <w:pgSz w:w="16838" w:h="11906" w:orient="landscape"/>
          <w:pgMar w:top="1814" w:right="737" w:bottom="1247" w:left="737" w:header="720" w:footer="720" w:gutter="0"/>
          <w:pgBorders w:zOrder="front" w:display="allPages" w:offsetFrom="text">
            <w:top w:val="nil"/>
            <w:left w:val="nil"/>
            <w:bottom w:val="nil"/>
            <w:right w:val="nil"/>
          </w:pgBorders>
          <w:cols w:num="3" w:space="510"/>
          <w:vAlign w:val="top"/>
          <w:titlePg w:val="0"/>
          <w:rtlGutter w:val="0"/>
          <w:docGrid w:linePitch="360"/>
        </w:sectPr>
      </w:pPr>
      <w:bookmarkStart w:id="26" w:name="RG_MARKER_7521"/>
      <w:r w:rsidRPr="00224CB7">
        <w:rPr>
          <w:noProof/>
          <w:lang w:val="en-GB"/>
        </w:rPr>
        <mc:AlternateContent>
          <mc:Choice Requires="wps">
            <w:drawing>
              <wp:anchor distT="45720" distB="45720" distL="114300" distR="114300" simplePos="0" relativeHeight="251667456" behindDoc="0" locked="0" layoutInCell="1" allowOverlap="1">
                <wp:simplePos x="0" y="0"/>
                <wp:positionH relativeFrom="margin">
                  <wp:align>right</wp:align>
                </wp:positionH>
                <wp:positionV relativeFrom="page">
                  <wp:posOffset>1778635</wp:posOffset>
                </wp:positionV>
                <wp:extent cx="3099435" cy="2784475"/>
                <wp:effectExtent l="0" t="0" r="5715" b="0"/>
                <wp:wrapTopAndBottom/>
                <wp:docPr id="1224691737" name="Text Box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3099435" cy="2784475"/>
                        </a:xfrm>
                        <a:prstGeom prst="rect">
                          <a:avLst/>
                        </a:prstGeom>
                        <a:solidFill>
                          <a:srgbClr val="FFFFFF"/>
                        </a:solidFill>
                        <a:ln w="9525">
                          <a:noFill/>
                          <a:miter lim="800000"/>
                          <a:headEnd/>
                          <a:tailEnd/>
                        </a:ln>
                      </wps:spPr>
                      <wps:txbx>
                        <w:txbxContent>
                          <w:p w:rsidR="00224CB7" w:rsidRPr="000331A0" w:rsidP="00224CB7">
                            <w:pPr>
                              <w:pStyle w:val="Subtitle"/>
                              <w:rPr>
                                <w:rStyle w:val="SubtitleChar"/>
                                <w:color w:val="0F162B"/>
                                <w:sz w:val="16"/>
                                <w:szCs w:val="16"/>
                              </w:rPr>
                            </w:pPr>
                            <w:r w:rsidRPr="000331A0">
                              <w:rPr>
                                <w:rStyle w:val="SubtitleChar"/>
                                <w:b/>
                                <w:color w:val="0F162B"/>
                                <w:sz w:val="16"/>
                                <w:szCs w:val="16"/>
                              </w:rPr>
                              <w:t>Osinko</w:t>
                            </w:r>
                          </w:p>
                          <w:p w:rsidR="00224CB7" w:rsidRPr="008C033D" w:rsidP="00224CB7">
                            <w:pPr>
                              <w:spacing w:line="120" w:lineRule="auto"/>
                              <w:rPr>
                                <w:sz w:val="10"/>
                                <w:szCs w:val="10"/>
                                <w:lang w:val="fi-FI"/>
                              </w:rPr>
                            </w:pPr>
                          </w:p>
                          <w:p w:rsidR="00224CB7" w:rsidRPr="008C033D" w:rsidP="00224CB7">
                            <w:pPr>
                              <w:spacing w:before="0" w:beforeAutospacing="0" w:after="0" w:afterAutospacing="0"/>
                              <w:rPr>
                                <w:rStyle w:val="Hyperlink"/>
                                <w:lang w:val="fi-FI"/>
                              </w:rPr>
                            </w:pPr>
                            <w:r w:rsidRPr="008C033D">
                              <w:rPr>
                                <w:lang w:val="fi-FI"/>
                              </w:rPr>
                              <w:t xml:space="preserve"> </w:t>
                            </w:r>
                            <w:r>
                              <w:drawing>
                                <wp:inline>
                                  <wp:extent cx="3025688" cy="1980000"/>
                                  <wp:docPr id="9" name="Chart_Dividend_FI"/>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862CFB" w:rsidRPr="008C033D" w:rsidP="00614AB1">
                            <w:pPr>
                              <w:pStyle w:val="WChartText"/>
                              <w:spacing w:after="0"/>
                            </w:pPr>
                          </w:p>
                          <w:p w:rsidR="00DB554F" w:rsidRPr="008E7F32" w:rsidP="00614AB1">
                            <w:pPr>
                              <w:pStyle w:val="WChartText"/>
                              <w:spacing w:after="0"/>
                            </w:pPr>
                            <w:r w:rsidRPr="0037202A">
                              <w:t>Yhtiökokouksen 8.3.2018 hyväksymä maksuton osakeanti nosti</w:t>
                            </w:r>
                            <w:r>
                              <w:t xml:space="preserve"> osakkeiden</w:t>
                            </w:r>
                            <w:r w:rsidRPr="0037202A">
                              <w:t xml:space="preserve"> kokonaismäärän 591</w:t>
                            </w:r>
                            <w:r>
                              <w:t xml:space="preserve"> </w:t>
                            </w:r>
                            <w:r w:rsidRPr="0037202A">
                              <w:t>723</w:t>
                            </w:r>
                            <w:r>
                              <w:t xml:space="preserve"> </w:t>
                            </w:r>
                            <w:r w:rsidRPr="0037202A">
                              <w:t>390</w:t>
                            </w:r>
                            <w:r>
                              <w:t xml:space="preserve"> osakkeeseen. Vertailukausien 2011-2017 luvut on oikaistu vastaamaan uutta osakemäärää.</w:t>
                            </w:r>
                          </w:p>
                        </w:txbxContent>
                      </wps:txbx>
                      <wps:bodyPr rot="0" vert="horz" wrap="square" lIns="0" tIns="0" rIns="0" bIns="0" anchor="t" anchorCtr="0"/>
                    </wps:wsp>
                  </a:graphicData>
                </a:graphic>
                <wp14:sizeRelH relativeFrom="margin">
                  <wp14:pctWidth>0</wp14:pctWidth>
                </wp14:sizeRelH>
                <wp14:sizeRelV relativeFrom="margin">
                  <wp14:pctHeight>0</wp14:pctHeight>
                </wp14:sizeRelV>
              </wp:anchor>
            </w:drawing>
          </mc:Choice>
          <mc:Fallback>
            <w:pict>
              <v:shape id="Text Box 2" o:spid="_x0000_s1030" type="#_x0000_t202" style="width:244.05pt;height:219.25pt;margin-top:140.05pt;margin-left:0;mso-height-percent:0;mso-height-relative:margin;mso-position-horizontal:right;mso-position-horizontal-relative:margin;mso-position-vertical-relative:page;mso-width-percent:0;mso-width-relative:margin;mso-wrap-distance-bottom:3.6pt;mso-wrap-distance-left:9pt;mso-wrap-distance-right:9pt;mso-wrap-distance-top:3.6pt;position:absolute;v-text-anchor:top;z-index:251666432" fillcolor="white" stroked="f" strokeweight="0.75pt">
                <v:textbox inset="0,0,0,0">
                  <w:txbxContent>
                    <w:p w:rsidR="00224CB7" w:rsidRPr="000331A0" w:rsidP="00224CB7">
                      <w:pPr>
                        <w:pStyle w:val="Subtitle"/>
                        <w:rPr>
                          <w:rStyle w:val="SubtitleChar"/>
                          <w:color w:val="0F162B"/>
                          <w:sz w:val="16"/>
                          <w:szCs w:val="16"/>
                        </w:rPr>
                      </w:pPr>
                      <w:r w:rsidRPr="000331A0">
                        <w:rPr>
                          <w:rStyle w:val="SubtitleChar"/>
                          <w:b/>
                          <w:color w:val="0F162B"/>
                          <w:sz w:val="16"/>
                          <w:szCs w:val="16"/>
                        </w:rPr>
                        <w:t>Osinko</w:t>
                      </w:r>
                    </w:p>
                    <w:p w:rsidR="00224CB7" w:rsidRPr="008C033D" w:rsidP="00224CB7">
                      <w:pPr>
                        <w:spacing w:line="120" w:lineRule="auto"/>
                        <w:rPr>
                          <w:sz w:val="10"/>
                          <w:szCs w:val="10"/>
                          <w:lang w:val="fi-FI"/>
                        </w:rPr>
                      </w:pPr>
                    </w:p>
                    <w:p w:rsidR="00224CB7" w:rsidRPr="008C033D" w:rsidP="00224CB7">
                      <w:pPr>
                        <w:spacing w:before="0" w:beforeAutospacing="0" w:after="0" w:afterAutospacing="0"/>
                        <w:rPr>
                          <w:rStyle w:val="Hyperlink"/>
                          <w:lang w:val="fi-FI"/>
                        </w:rPr>
                      </w:pPr>
                      <w:r w:rsidRPr="008C033D">
                        <w:rPr>
                          <w:lang w:val="fi-FI"/>
                        </w:rPr>
                        <w:t xml:space="preserve"> </w:t>
                      </w:r>
                      <w:drawing>
                        <wp:inline>
                          <wp:extent cx="3025688" cy="1980000"/>
                          <wp:docPr id="809845697" name="[PlaceholderChartForReportGeneration-97465910-6cdc-49bc-9f5f-11519db6d6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213884" name=""/>
                                  <pic:cNvPicPr>
                                    <a:picLocks noChangeAspect="1"/>
                                  </pic:cNvPicPr>
                                </pic:nvPicPr>
                                <pic:blipFill>
                                  <a:blip xmlns:r="http://schemas.openxmlformats.org/officeDocument/2006/relationships" r:embed="rId27"/>
                                  <a:stretch>
                                    <a:fillRect/>
                                  </a:stretch>
                                </pic:blipFill>
                                <pic:spPr>
                                  <a:xfrm>
                                    <a:off x="0" y="0"/>
                                    <a:ext cx="3025688" cy="1980000"/>
                                  </a:xfrm>
                                  <a:prstGeom prst="rect">
                                    <a:avLst/>
                                  </a:prstGeom>
                                </pic:spPr>
                              </pic:pic>
                            </a:graphicData>
                          </a:graphic>
                        </wp:inline>
                      </w:drawing>
                    </w:p>
                    <w:p w:rsidR="00862CFB" w:rsidRPr="008C033D" w:rsidP="00614AB1">
                      <w:pPr>
                        <w:pStyle w:val="WChartText"/>
                        <w:spacing w:after="0"/>
                      </w:pPr>
                    </w:p>
                    <w:p w:rsidR="00DB554F" w:rsidRPr="008E7F32" w:rsidP="00614AB1">
                      <w:pPr>
                        <w:pStyle w:val="WChartText"/>
                        <w:spacing w:after="0"/>
                      </w:pPr>
                      <w:r w:rsidRPr="0037202A">
                        <w:t>Yhtiökokouksen 8.3.2018 hyväksymä maksuton osakeanti nosti</w:t>
                      </w:r>
                      <w:r>
                        <w:t xml:space="preserve"> osakkeiden</w:t>
                      </w:r>
                      <w:r w:rsidRPr="0037202A">
                        <w:t xml:space="preserve"> kokonaismäärän 591</w:t>
                      </w:r>
                      <w:r>
                        <w:t xml:space="preserve"> </w:t>
                      </w:r>
                      <w:r w:rsidRPr="0037202A">
                        <w:t>723</w:t>
                      </w:r>
                      <w:r>
                        <w:t xml:space="preserve"> </w:t>
                      </w:r>
                      <w:r w:rsidRPr="0037202A">
                        <w:t>390</w:t>
                      </w:r>
                      <w:r>
                        <w:t xml:space="preserve"> osakkeeseen. Vertailukausien 2011-2017 luvut on oikaistu vastaamaan uutta osakemäärää.</w:t>
                      </w:r>
                    </w:p>
                  </w:txbxContent>
                </v:textbox>
                <w10:wrap type="topAndBottom"/>
              </v:shape>
            </w:pict>
          </mc:Fallback>
        </mc:AlternateContent>
      </w:r>
      <w:bookmarkEnd w:id="26"/>
      <w:r>
        <w:t xml:space="preserve"> </w:t>
      </w:r>
    </w:p>
    <w:p w:rsidR="002642EE" w:rsidRPr="00C54FC6" w:rsidP="002642EE" w14:paraId="217C5495" w14:textId="5CE191C3">
      <w:pPr>
        <w:pStyle w:val="Heading10"/>
        <w:pageBreakBefore/>
        <w:rPr>
          <w:lang w:val="fi-FI"/>
        </w:rPr>
      </w:pPr>
      <w:bookmarkStart w:id="27" w:name="RG_MARKER_7466"/>
      <w:r w:rsidRPr="00C54FC6">
        <w:rPr>
          <w:lang w:val="fi-FI"/>
        </w:rPr>
        <w:t>VIISIVUOTISKATSAUS</w:t>
      </w:r>
      <w:bookmarkEnd w:id="27"/>
    </w:p>
    <w:p w:rsidR="00EB0F80" w:rsidRPr="00C54FC6" w:rsidP="00EB0F80" w14:paraId="1DC9871C" w14:textId="77777777">
      <w:pPr>
        <w:pStyle w:val="Bodytext2"/>
        <w:rPr>
          <w:lang w:val="fi-FI"/>
        </w:rPr>
      </w:pPr>
      <w:r w:rsidRPr="00EB0F80">
        <w:rPr>
          <w:lang w:val="fi-FI"/>
        </w:rPr>
        <w:t xml:space="preserve">Wärtsilä esittää tiettyjä taloudellisia tunnuslukuja, joita ei ole määritelty IFRS-standardissa. </w:t>
      </w:r>
      <w:r w:rsidRPr="00C54FC6">
        <w:rPr>
          <w:lang w:val="fi-FI"/>
        </w:rPr>
        <w:t>Vaihtoehtoiset tunnusluvut, kuten vertailukelpoinen liiketulos, vertailukelpoinen oikaistu EBITA, liiketoiminnan rahavirta ja nettovelkaantumisaste, ovat johdon seuraamia ja käyttämiä tunnuslukuja heidän arvioidessaan yhtiön liiketoiminnan kehitystä ja tal</w:t>
      </w:r>
      <w:r w:rsidRPr="00C54FC6">
        <w:rPr>
          <w:lang w:val="fi-FI"/>
        </w:rPr>
        <w:t>oudellisesta tilannetta. Tietyt vaihtoehtoiset tunnusluvut, kuten vertailukelpoinen liiketulos ja nettovelkaantumisaste, ovat myös Wärtsilän taloudellisen tuloksen tavoitteita. Vaihtoehtoiset tunnusluvut antavat hyödyllistä tietoa pääomamarkkinoille.</w:t>
      </w:r>
    </w:p>
    <w:p w:rsidR="00EB0F80" w:rsidRPr="00C54FC6" w:rsidP="00EB0F80" w14:paraId="57510687" w14:textId="77777777">
      <w:pPr>
        <w:pStyle w:val="Bodytext2"/>
        <w:rPr>
          <w:lang w:val="fi-FI"/>
        </w:rPr>
      </w:pPr>
    </w:p>
    <w:p w:rsidR="00EB0F80" w:rsidRPr="00C54FC6" w:rsidP="00EB0F80" w14:paraId="19BA6D60" w14:textId="54A1CF1D">
      <w:pPr>
        <w:pStyle w:val="Bodytext2"/>
        <w:rPr>
          <w:lang w:val="fi-FI"/>
        </w:rPr>
      </w:pPr>
      <w:r w:rsidRPr="00C54FC6">
        <w:rPr>
          <w:lang w:val="fi-FI"/>
        </w:rPr>
        <w:t>Wärt</w:t>
      </w:r>
      <w:r w:rsidRPr="00C54FC6">
        <w:rPr>
          <w:lang w:val="fi-FI"/>
        </w:rPr>
        <w:t>silän esittämiä vaihtoehtoisia tunnuslukuja ei pidä tarkastella erillään IFRS-tunnusluvuista. Tunnuslukujen laskentakaavat ovat luettavissa osiossa Tunnuslukujen laskentakaavat.</w:t>
      </w:r>
    </w:p>
    <w:p w:rsidR="00EB0F80" w:rsidRPr="00C54FC6" w:rsidP="00EB0F80" w14:paraId="5E936D3D" w14:textId="58D2B7F7">
      <w:pPr>
        <w:pStyle w:val="Bodytext2"/>
        <w:rPr>
          <w:lang w:val="fi-FI"/>
        </w:rPr>
      </w:pPr>
    </w:p>
    <w:tbl>
      <w:tblPr>
        <w:tblStyle w:val="TableNormal"/>
        <w:tblCaption w:val="Table_five_years_in_figures"/>
        <w:tblW w:w="7275" w:type="dxa"/>
        <w:tblLayout w:type="fixed"/>
        <w:tblLook w:val="0600"/>
      </w:tblPr>
      <w:tblGrid>
        <w:gridCol w:w="3225"/>
        <w:gridCol w:w="375"/>
        <w:gridCol w:w="735"/>
        <w:gridCol w:w="735"/>
        <w:gridCol w:w="735"/>
        <w:gridCol w:w="735"/>
        <w:gridCol w:w="735"/>
      </w:tblGrid>
      <w:tr>
        <w:tblPrEx>
          <w:tblW w:w="7275" w:type="dxa"/>
          <w:tblLayout w:type="fixed"/>
          <w:tblLook w:val="0600"/>
        </w:tblPrEx>
        <w:trPr>
          <w:trHeight w:hRule="exact" w:val="240"/>
        </w:trPr>
        <w:tc>
          <w:tcPr>
            <w:tcW w:w="3225"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375" w:type="dxa"/>
            <w:tcBorders>
              <w:top w:val="nil"/>
              <w:left w:val="nil"/>
              <w:bottom w:val="nil"/>
              <w:right w:val="nil"/>
              <w:tl2br w:val="nil"/>
              <w:tr2bl w:val="nil"/>
            </w:tcBorders>
            <w:shd w:val="clear" w:color="FFFFFF" w:fill="EFEFEF"/>
            <w:noWrap/>
            <w:tcMar>
              <w:left w:w="0" w:type="dxa"/>
              <w:right w:w="0" w:type="dxa"/>
            </w:tcMar>
            <w:textDirection w:val="lrTb"/>
            <w:tcFitText w:val="0"/>
            <w:vAlign w:val="top"/>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735" w:type="dxa"/>
            <w:tcBorders>
              <w:top w:val="nil"/>
              <w:left w:val="nil"/>
              <w:bottom w:val="nil"/>
              <w:right w:val="nil"/>
              <w:tl2br w:val="nil"/>
              <w:tr2bl w:val="nil"/>
            </w:tcBorders>
            <w:shd w:val="clear" w:color="FFFFFF" w:fill="EFEFEF"/>
            <w:noWrap/>
            <w:tcMar>
              <w:left w:w="0" w:type="dxa"/>
              <w:right w:w="0" w:type="dxa"/>
            </w:tcMar>
            <w:textDirection w:val="lrTb"/>
            <w:tcFitText w:val="0"/>
            <w:vAlign w:val="top"/>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735"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35" w:type="dxa"/>
            <w:tcBorders>
              <w:top w:val="nil"/>
              <w:left w:val="nil"/>
              <w:bottom w:val="nil"/>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Oikaistu</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22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375"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73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73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c>
          <w:tcPr>
            <w:tcW w:w="73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2019</w:t>
            </w:r>
          </w:p>
        </w:tc>
        <w:tc>
          <w:tcPr>
            <w:tcW w:w="73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2018</w:t>
            </w:r>
          </w:p>
        </w:tc>
        <w:tc>
          <w:tcPr>
            <w:tcW w:w="73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2017*</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Liikevaihto</w:t>
            </w:r>
          </w:p>
        </w:tc>
        <w:tc>
          <w:tcPr>
            <w:tcW w:w="37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4 778</w:t>
            </w:r>
          </w:p>
        </w:tc>
        <w:tc>
          <w:tcPr>
            <w:tcW w:w="73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4 604</w:t>
            </w:r>
          </w:p>
        </w:tc>
        <w:tc>
          <w:tcPr>
            <w:tcW w:w="73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5 170</w:t>
            </w:r>
          </w:p>
        </w:tc>
        <w:tc>
          <w:tcPr>
            <w:tcW w:w="73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5 174</w:t>
            </w:r>
          </w:p>
        </w:tc>
        <w:tc>
          <w:tcPr>
            <w:tcW w:w="73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4 911</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225"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josta Suomen ulkopuolella</w:t>
            </w:r>
          </w:p>
        </w:tc>
        <w:tc>
          <w:tcPr>
            <w:tcW w:w="37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98,5</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97,9</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98,5</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98,9</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97,7</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2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Vienti Suomesta</w:t>
            </w:r>
          </w:p>
        </w:tc>
        <w:tc>
          <w:tcPr>
            <w:tcW w:w="37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1 845</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1 702</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1 933</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2 145</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1 953</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Henkilöstö keskimäärin</w:t>
            </w:r>
          </w:p>
        </w:tc>
        <w:tc>
          <w:tcPr>
            <w:tcW w:w="37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17 461</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18 307</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19 110</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18 899</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17 866</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225"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josta Suomessa</w:t>
            </w:r>
          </w:p>
        </w:tc>
        <w:tc>
          <w:tcPr>
            <w:tcW w:w="37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3 687</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3 706</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3 868</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3 766</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3 521</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Tilauskanta</w:t>
            </w:r>
          </w:p>
        </w:tc>
        <w:tc>
          <w:tcPr>
            <w:tcW w:w="375"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5 859</w:t>
            </w:r>
          </w:p>
        </w:tc>
        <w:tc>
          <w:tcPr>
            <w:tcW w:w="73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5 057</w:t>
            </w:r>
          </w:p>
        </w:tc>
        <w:tc>
          <w:tcPr>
            <w:tcW w:w="73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5 878</w:t>
            </w:r>
          </w:p>
        </w:tc>
        <w:tc>
          <w:tcPr>
            <w:tcW w:w="73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6 166</w:t>
            </w:r>
          </w:p>
        </w:tc>
        <w:tc>
          <w:tcPr>
            <w:tcW w:w="73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5 100</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Tietoja konsernin tuloslaskelmasta</w:t>
            </w:r>
          </w:p>
        </w:tc>
        <w:tc>
          <w:tcPr>
            <w:tcW w:w="375"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735" w:type="dxa"/>
            <w:tcBorders>
              <w:top w:val="single" w:sz="8" w:space="0" w:color="0F172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35"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Poistot ja arvonalentumiset</w:t>
            </w:r>
          </w:p>
        </w:tc>
        <w:tc>
          <w:tcPr>
            <w:tcW w:w="37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162</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174</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180</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130</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134</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Osuus osakkuus- ja yhteisyritysten tuloksista</w:t>
            </w:r>
          </w:p>
        </w:tc>
        <w:tc>
          <w:tcPr>
            <w:tcW w:w="37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Vertailukelpoinen liiketulos</w:t>
            </w:r>
          </w:p>
        </w:tc>
        <w:tc>
          <w:tcPr>
            <w:tcW w:w="37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357</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275</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457</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577</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576</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225"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prosentteina liikevaihdosta</w:t>
            </w:r>
          </w:p>
        </w:tc>
        <w:tc>
          <w:tcPr>
            <w:tcW w:w="37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7,5</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6,0</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8,8</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11,2</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11,7</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Liiketulos</w:t>
            </w:r>
          </w:p>
        </w:tc>
        <w:tc>
          <w:tcPr>
            <w:tcW w:w="37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314</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234</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362</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543</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538</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225"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prosentteina liikevaihdosta</w:t>
            </w:r>
          </w:p>
        </w:tc>
        <w:tc>
          <w:tcPr>
            <w:tcW w:w="37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6,6</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5,1</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7,0</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10,5</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11,0</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2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Vertailukelpoinen oikaistu EBITA</w:t>
            </w:r>
          </w:p>
        </w:tc>
        <w:tc>
          <w:tcPr>
            <w:tcW w:w="37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388</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308</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498</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621</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612</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225"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prosentteina liikevaihdosta</w:t>
            </w:r>
          </w:p>
        </w:tc>
        <w:tc>
          <w:tcPr>
            <w:tcW w:w="37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8,1</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6,7</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9,6</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12,0</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12,5</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Rahoitustuotot ja -kulut</w:t>
            </w:r>
          </w:p>
        </w:tc>
        <w:tc>
          <w:tcPr>
            <w:tcW w:w="37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-43</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-47</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-40</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-47</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nil"/>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Tulos ennen veroja</w:t>
            </w:r>
          </w:p>
        </w:tc>
        <w:tc>
          <w:tcPr>
            <w:tcW w:w="375" w:type="dxa"/>
            <w:tcBorders>
              <w:top w:val="nil"/>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296</w:t>
            </w:r>
          </w:p>
        </w:tc>
        <w:tc>
          <w:tcPr>
            <w:tcW w:w="735"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191</w:t>
            </w:r>
          </w:p>
        </w:tc>
        <w:tc>
          <w:tcPr>
            <w:tcW w:w="735"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315</w:t>
            </w:r>
          </w:p>
        </w:tc>
        <w:tc>
          <w:tcPr>
            <w:tcW w:w="735"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502</w:t>
            </w:r>
          </w:p>
        </w:tc>
        <w:tc>
          <w:tcPr>
            <w:tcW w:w="735"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491</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225"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prosentteina liikevaihdosta</w:t>
            </w:r>
          </w:p>
        </w:tc>
        <w:tc>
          <w:tcPr>
            <w:tcW w:w="37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6,2</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4,2</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6,1</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9,7</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Tilikauden tulos</w:t>
            </w:r>
          </w:p>
        </w:tc>
        <w:tc>
          <w:tcPr>
            <w:tcW w:w="37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193</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133</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218</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386</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375</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225" w:type="dxa"/>
            <w:tcBorders>
              <w:top w:val="single" w:sz="4" w:space="0" w:color="004A6B"/>
              <w:left w:val="nil"/>
              <w:bottom w:val="single" w:sz="8" w:space="0" w:color="0F172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prosentteina liikevaihdosta</w:t>
            </w:r>
          </w:p>
        </w:tc>
        <w:tc>
          <w:tcPr>
            <w:tcW w:w="37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c>
          <w:tcPr>
            <w:tcW w:w="73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4,0</w:t>
            </w:r>
          </w:p>
        </w:tc>
        <w:tc>
          <w:tcPr>
            <w:tcW w:w="73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2,9</w:t>
            </w:r>
          </w:p>
        </w:tc>
        <w:tc>
          <w:tcPr>
            <w:tcW w:w="73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4,2</w:t>
            </w:r>
          </w:p>
        </w:tc>
        <w:tc>
          <w:tcPr>
            <w:tcW w:w="73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7,5</w:t>
            </w:r>
          </w:p>
        </w:tc>
        <w:tc>
          <w:tcPr>
            <w:tcW w:w="73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7,6</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Tietoja konsernin taseesta</w:t>
            </w:r>
          </w:p>
        </w:tc>
        <w:tc>
          <w:tcPr>
            <w:tcW w:w="37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3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Pitkäaikaiset varat</w:t>
            </w:r>
          </w:p>
        </w:tc>
        <w:tc>
          <w:tcPr>
            <w:tcW w:w="37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2 539</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2 427</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2 518</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2 369</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2 285</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Lyhytaikaiset varat</w:t>
            </w:r>
          </w:p>
        </w:tc>
        <w:tc>
          <w:tcPr>
            <w:tcW w:w="37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3 982</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3 706</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3 797</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3 690</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3 363</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Myytävänä olevat omaisuuserät</w:t>
            </w:r>
          </w:p>
        </w:tc>
        <w:tc>
          <w:tcPr>
            <w:tcW w:w="37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99</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82</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Emoyhtiön omistajille kuuluva oma pääoma</w:t>
            </w:r>
          </w:p>
        </w:tc>
        <w:tc>
          <w:tcPr>
            <w:tcW w:w="37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2 315</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2 177</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2 396</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2 418</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2 352</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Määräysvallattomien omistajien osuus</w:t>
            </w:r>
          </w:p>
        </w:tc>
        <w:tc>
          <w:tcPr>
            <w:tcW w:w="37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24</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Korolliset velat</w:t>
            </w:r>
          </w:p>
        </w:tc>
        <w:tc>
          <w:tcPr>
            <w:tcW w:w="37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973</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1 327</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1 096</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823</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619</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Korottomat velat</w:t>
            </w:r>
          </w:p>
        </w:tc>
        <w:tc>
          <w:tcPr>
            <w:tcW w:w="37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3 227</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2 648</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2 824</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2 804</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2 653</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Myytävänä oleviin omaisuuseriin liittyvät velat</w:t>
            </w:r>
          </w:p>
        </w:tc>
        <w:tc>
          <w:tcPr>
            <w:tcW w:w="37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68</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68</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Oma pääoma ja velat yhteensä</w:t>
            </w:r>
          </w:p>
        </w:tc>
        <w:tc>
          <w:tcPr>
            <w:tcW w:w="375"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6 523</w:t>
            </w:r>
          </w:p>
        </w:tc>
        <w:tc>
          <w:tcPr>
            <w:tcW w:w="73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6 232</w:t>
            </w:r>
          </w:p>
        </w:tc>
        <w:tc>
          <w:tcPr>
            <w:tcW w:w="73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6 398</w:t>
            </w:r>
          </w:p>
        </w:tc>
        <w:tc>
          <w:tcPr>
            <w:tcW w:w="73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6 059</w:t>
            </w:r>
          </w:p>
        </w:tc>
        <w:tc>
          <w:tcPr>
            <w:tcW w:w="73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5 648</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Tietoja konsernin rahavirtalaskelmasta</w:t>
            </w:r>
          </w:p>
        </w:tc>
        <w:tc>
          <w:tcPr>
            <w:tcW w:w="37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3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Liiketoiminnan rahavirta</w:t>
            </w:r>
          </w:p>
        </w:tc>
        <w:tc>
          <w:tcPr>
            <w:tcW w:w="37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731</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681</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232</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470</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430</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Investointien rahavirta</w:t>
            </w:r>
          </w:p>
        </w:tc>
        <w:tc>
          <w:tcPr>
            <w:tcW w:w="37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-128</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-55</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-95</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-240</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-235</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Rahoituksen rahavirta</w:t>
            </w:r>
          </w:p>
        </w:tc>
        <w:tc>
          <w:tcPr>
            <w:tcW w:w="375"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-580</w:t>
            </w:r>
          </w:p>
        </w:tc>
        <w:tc>
          <w:tcPr>
            <w:tcW w:w="73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-44</w:t>
            </w:r>
          </w:p>
        </w:tc>
        <w:tc>
          <w:tcPr>
            <w:tcW w:w="73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-256</w:t>
            </w:r>
          </w:p>
        </w:tc>
        <w:tc>
          <w:tcPr>
            <w:tcW w:w="73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-118</w:t>
            </w:r>
          </w:p>
        </w:tc>
        <w:tc>
          <w:tcPr>
            <w:tcW w:w="73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-278</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Bruttoinvestoinnit</w:t>
            </w:r>
          </w:p>
        </w:tc>
        <w:tc>
          <w:tcPr>
            <w:tcW w:w="37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143</w:t>
            </w:r>
          </w:p>
        </w:tc>
        <w:tc>
          <w:tcPr>
            <w:tcW w:w="73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117</w:t>
            </w:r>
          </w:p>
        </w:tc>
        <w:tc>
          <w:tcPr>
            <w:tcW w:w="73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122</w:t>
            </w:r>
          </w:p>
        </w:tc>
        <w:tc>
          <w:tcPr>
            <w:tcW w:w="73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306</w:t>
            </w:r>
          </w:p>
        </w:tc>
        <w:tc>
          <w:tcPr>
            <w:tcW w:w="73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255</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225"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prosentteina liikevaihdosta</w:t>
            </w:r>
          </w:p>
        </w:tc>
        <w:tc>
          <w:tcPr>
            <w:tcW w:w="37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3,0</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2,4</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5,9</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5,2</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Tutkimus- ja kehitysmenot</w:t>
            </w:r>
          </w:p>
        </w:tc>
        <w:tc>
          <w:tcPr>
            <w:tcW w:w="37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175</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153</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164</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165</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141</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225"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prosentteina liikevaihdosta</w:t>
            </w:r>
          </w:p>
        </w:tc>
        <w:tc>
          <w:tcPr>
            <w:tcW w:w="37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3,7</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3,3</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3,2</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3,2</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2,9</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Osingonjako</w:t>
            </w:r>
          </w:p>
        </w:tc>
        <w:tc>
          <w:tcPr>
            <w:tcW w:w="375"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142**</w:t>
            </w:r>
          </w:p>
        </w:tc>
        <w:tc>
          <w:tcPr>
            <w:tcW w:w="73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118</w:t>
            </w:r>
          </w:p>
        </w:tc>
        <w:tc>
          <w:tcPr>
            <w:tcW w:w="73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284</w:t>
            </w:r>
          </w:p>
        </w:tc>
        <w:tc>
          <w:tcPr>
            <w:tcW w:w="73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284</w:t>
            </w:r>
          </w:p>
        </w:tc>
        <w:tc>
          <w:tcPr>
            <w:tcW w:w="73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272</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Tunnuslukuja</w:t>
            </w:r>
          </w:p>
        </w:tc>
        <w:tc>
          <w:tcPr>
            <w:tcW w:w="37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3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3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3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3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Tulos/osake (EPS), laimentamaton***</w:t>
            </w:r>
          </w:p>
        </w:tc>
        <w:tc>
          <w:tcPr>
            <w:tcW w:w="37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EUR</w:t>
            </w: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0,33</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0,23</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0,37</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0,65</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0,63</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Tulos/osake (EPS), laimennettu***</w:t>
            </w:r>
          </w:p>
        </w:tc>
        <w:tc>
          <w:tcPr>
            <w:tcW w:w="37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EUR</w:t>
            </w: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0,33</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Osinko/osake***</w:t>
            </w:r>
          </w:p>
        </w:tc>
        <w:tc>
          <w:tcPr>
            <w:tcW w:w="37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EUR</w:t>
            </w: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0,24**</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0,20</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0,48</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0,48</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0,46</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Osinko/tulos</w:t>
            </w:r>
          </w:p>
        </w:tc>
        <w:tc>
          <w:tcPr>
            <w:tcW w:w="37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73,2**</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88,2</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130,8</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73,7</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70,8</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Korkokate</w:t>
            </w:r>
          </w:p>
        </w:tc>
        <w:tc>
          <w:tcPr>
            <w:tcW w:w="37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15,0</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7,1</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7,7</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10,8</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11,8</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Sijoitetun pääoman tuotto (ROI)</w:t>
            </w:r>
          </w:p>
        </w:tc>
        <w:tc>
          <w:tcPr>
            <w:tcW w:w="37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9,7</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7,1</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11,5</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18,1</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18,5</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Oman pääoman tuotto (ROE)</w:t>
            </w:r>
          </w:p>
        </w:tc>
        <w:tc>
          <w:tcPr>
            <w:tcW w:w="37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8,6</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5,8</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9,0</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16,1</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16,0</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Omavaraisuusaste</w:t>
            </w:r>
          </w:p>
        </w:tc>
        <w:tc>
          <w:tcPr>
            <w:tcW w:w="37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38,6</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38,1</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40,8</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44,4</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46,3</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Nettovelkaantumisaste</w:t>
            </w:r>
          </w:p>
        </w:tc>
        <w:tc>
          <w:tcPr>
            <w:tcW w:w="37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0,00</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0,18</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0,30</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0,14</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0,10</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Oma pääoma/osake***</w:t>
            </w:r>
          </w:p>
        </w:tc>
        <w:tc>
          <w:tcPr>
            <w:tcW w:w="37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EUR</w:t>
            </w: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3,92</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3,68</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4,05</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4,09</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3,97</w:t>
            </w:r>
          </w:p>
        </w:tc>
      </w:tr>
      <w:tr>
        <w:tblPrEx>
          <w:tblW w:w="7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2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Nettokäyttöpääoma (WCAP)</w:t>
            </w:r>
          </w:p>
        </w:tc>
        <w:tc>
          <w:tcPr>
            <w:tcW w:w="37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EUR</w:t>
            </w:r>
          </w:p>
        </w:tc>
        <w:tc>
          <w:tcPr>
            <w:tcW w:w="73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-100</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257</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732</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581</w:t>
            </w:r>
          </w:p>
        </w:tc>
        <w:tc>
          <w:tcPr>
            <w:tcW w:w="73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563</w:t>
            </w:r>
          </w:p>
        </w:tc>
      </w:tr>
    </w:tbl>
    <w:p w:rsidR="00EB0F80" w:rsidRPr="005E1EB3" w:rsidP="00EB0F80" w14:paraId="68816A06" w14:textId="28BA88EF">
      <w:pPr>
        <w:pStyle w:val="Bodytext2"/>
        <w:rPr>
          <w:lang w:val="fi-FI"/>
        </w:rPr>
      </w:pPr>
    </w:p>
    <w:p w:rsidR="00C54FC6" w:rsidRPr="00C54FC6" w:rsidP="00EB0F80" w14:paraId="1723F54B" w14:textId="18EA0095">
      <w:pPr>
        <w:pStyle w:val="Bodytext2"/>
        <w:rPr>
          <w:lang w:val="fi-FI"/>
        </w:rPr>
      </w:pPr>
      <w:r>
        <w:rPr>
          <w:lang w:val="fi-FI"/>
        </w:rPr>
        <w:t>Tunnusluvut sisältävät myytävänä oleviin om</w:t>
      </w:r>
      <w:r>
        <w:rPr>
          <w:lang w:val="fi-FI"/>
        </w:rPr>
        <w:t>aisuuseriin liittyvät varat ja velat.</w:t>
      </w:r>
    </w:p>
    <w:p w:rsidR="00EB0F80" w:rsidRPr="00EB0F80" w:rsidP="00EB0F80" w14:paraId="3767A28D" w14:textId="77777777">
      <w:pPr>
        <w:pStyle w:val="Bodytext2"/>
        <w:rPr>
          <w:lang w:val="fi-FI"/>
        </w:rPr>
      </w:pPr>
      <w:r w:rsidRPr="00EB0F80">
        <w:rPr>
          <w:lang w:val="fi-FI"/>
        </w:rPr>
        <w:t>* Vertailukauden 2017 luvut on oikaistu IFRS 15:n käyttöönoton seurauksena.</w:t>
      </w:r>
    </w:p>
    <w:p w:rsidR="00EB0F80" w:rsidRPr="00EB0F80" w:rsidP="00EB0F80" w14:paraId="1DD3BF1C" w14:textId="77777777">
      <w:pPr>
        <w:pStyle w:val="Bodytext2"/>
        <w:rPr>
          <w:lang w:val="fi-FI"/>
        </w:rPr>
      </w:pPr>
      <w:r w:rsidRPr="00EB0F80">
        <w:rPr>
          <w:lang w:val="fi-FI"/>
        </w:rPr>
        <w:t>** Hallituksen esitys.</w:t>
      </w:r>
    </w:p>
    <w:p w:rsidR="00EB0F80" w:rsidRPr="00C54FC6" w:rsidP="00EB0F80" w14:paraId="28C96739" w14:textId="40918387">
      <w:pPr>
        <w:pStyle w:val="Bodytext2"/>
        <w:rPr>
          <w:lang w:val="fi-FI"/>
        </w:rPr>
        <w:sectPr w:rsidSect="00FB76CE">
          <w:headerReference w:type="even" r:id="rId28"/>
          <w:headerReference w:type="default" r:id="rId29"/>
          <w:footerReference w:type="even" r:id="rId30"/>
          <w:footerReference w:type="default" r:id="rId31"/>
          <w:headerReference w:type="first" r:id="rId32"/>
          <w:footerReference w:type="first" r:id="rId33"/>
          <w:type w:val="continuous"/>
          <w:pgSz w:w="16838" w:h="11906" w:orient="landscape"/>
          <w:pgMar w:top="1814" w:right="737" w:bottom="1247" w:left="737" w:header="720" w:footer="720" w:gutter="0"/>
          <w:pgBorders w:zOrder="front" w:display="allPages" w:offsetFrom="text">
            <w:top w:val="nil"/>
            <w:left w:val="nil"/>
            <w:bottom w:val="nil"/>
            <w:right w:val="nil"/>
          </w:pgBorders>
          <w:cols w:num="2" w:space="624"/>
          <w:vAlign w:val="top"/>
          <w:titlePg w:val="0"/>
          <w:rtlGutter w:val="0"/>
          <w:docGrid w:linePitch="360"/>
        </w:sectPr>
      </w:pPr>
      <w:r w:rsidRPr="00EB0F80">
        <w:rPr>
          <w:lang w:val="fi-FI"/>
        </w:rPr>
        <w:t>*** Yhtiökokouksen 8.3.2018 hyväksymä maksuton osakeanti (osakkeiden splittaus) nosti osakkeiden kokonaismäärän 591.723</w:t>
      </w:r>
      <w:r w:rsidRPr="00EB0F80">
        <w:rPr>
          <w:lang w:val="fi-FI"/>
        </w:rPr>
        <w:t>.390:een. Vertailukausien luvut on oikaistu tämän mukaisesti.</w:t>
      </w:r>
    </w:p>
    <w:p w:rsidR="002642EE" w:rsidRPr="00A46417" w:rsidP="002642EE" w14:textId="3596973C">
      <w:pPr>
        <w:pStyle w:val="Heading10"/>
        <w:pageBreakBefore/>
        <w:rPr>
          <w:lang w:val="fi-FI"/>
        </w:rPr>
      </w:pPr>
      <w:bookmarkStart w:id="28" w:name="RG_MARKER_7465"/>
      <w:r w:rsidRPr="00A46417">
        <w:rPr>
          <w:lang w:val="fi-FI"/>
        </w:rPr>
        <w:t>KVARTAALITUNNUSLUKUJA</w:t>
      </w:r>
      <w:bookmarkEnd w:id="28"/>
    </w:p>
    <w:tbl>
      <w:tblPr>
        <w:tblStyle w:val="TableNormal"/>
        <w:tblCaption w:val="Table_quarterly_figures"/>
        <w:tblW w:w="15405" w:type="dxa"/>
        <w:tblLayout w:type="fixed"/>
        <w:tblLook w:val="0600"/>
      </w:tblPr>
      <w:tblGrid>
        <w:gridCol w:w="5280"/>
        <w:gridCol w:w="1125"/>
        <w:gridCol w:w="1125"/>
        <w:gridCol w:w="1125"/>
        <w:gridCol w:w="1125"/>
        <w:gridCol w:w="1125"/>
        <w:gridCol w:w="1125"/>
        <w:gridCol w:w="1125"/>
        <w:gridCol w:w="1125"/>
        <w:gridCol w:w="1125"/>
      </w:tblGrid>
      <w:tr>
        <w:tblPrEx>
          <w:tblW w:w="15405" w:type="dxa"/>
          <w:tblLayout w:type="fixed"/>
          <w:tblLook w:val="0600"/>
        </w:tblPrEx>
        <w:trPr>
          <w:trHeight w:hRule="exact" w:val="240"/>
        </w:trPr>
        <w:tc>
          <w:tcPr>
            <w:tcW w:w="528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12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10–12/2021</w:t>
            </w:r>
          </w:p>
        </w:tc>
        <w:tc>
          <w:tcPr>
            <w:tcW w:w="112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7–9/2021</w:t>
            </w:r>
          </w:p>
        </w:tc>
        <w:tc>
          <w:tcPr>
            <w:tcW w:w="112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4–6/2021</w:t>
            </w:r>
          </w:p>
        </w:tc>
        <w:tc>
          <w:tcPr>
            <w:tcW w:w="112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1–3/2021</w:t>
            </w:r>
          </w:p>
        </w:tc>
        <w:tc>
          <w:tcPr>
            <w:tcW w:w="112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10–12/2020</w:t>
            </w:r>
          </w:p>
        </w:tc>
        <w:tc>
          <w:tcPr>
            <w:tcW w:w="112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7–9/2020</w:t>
            </w:r>
          </w:p>
        </w:tc>
        <w:tc>
          <w:tcPr>
            <w:tcW w:w="112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4–6/2020</w:t>
            </w:r>
          </w:p>
        </w:tc>
        <w:tc>
          <w:tcPr>
            <w:tcW w:w="112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1–3/2020</w:t>
            </w:r>
          </w:p>
        </w:tc>
        <w:tc>
          <w:tcPr>
            <w:tcW w:w="112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10–12/2019</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Tilauskertymä</w:t>
            </w:r>
          </w:p>
        </w:tc>
        <w:tc>
          <w:tcPr>
            <w:tcW w:w="112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Marine Power*</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659</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443</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463</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446</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440</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410</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391</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496</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656</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Marine Systems*</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308</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191</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183</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153</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133</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174</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113</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147</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Voyage*</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93</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53</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60</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86</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55</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44</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56</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107</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93</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Energy*</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1 031</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486</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433</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493</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469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319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390</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475</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585</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8" w:space="0" w:color="0F172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Portfolio Business*</w:t>
            </w:r>
          </w:p>
        </w:tc>
        <w:tc>
          <w:tcPr>
            <w:tcW w:w="112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59</w:t>
            </w:r>
          </w:p>
        </w:tc>
        <w:tc>
          <w:tcPr>
            <w:tcW w:w="112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w:t>
            </w:r>
          </w:p>
        </w:tc>
        <w:tc>
          <w:tcPr>
            <w:tcW w:w="112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w:t>
            </w:r>
          </w:p>
        </w:tc>
        <w:tc>
          <w:tcPr>
            <w:tcW w:w="112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66</w:t>
            </w:r>
          </w:p>
        </w:tc>
        <w:tc>
          <w:tcPr>
            <w:tcW w:w="11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21</w:t>
            </w:r>
          </w:p>
        </w:tc>
        <w:tc>
          <w:tcPr>
            <w:tcW w:w="11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34</w:t>
            </w:r>
          </w:p>
        </w:tc>
        <w:tc>
          <w:tcPr>
            <w:tcW w:w="11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55</w:t>
            </w:r>
          </w:p>
        </w:tc>
        <w:tc>
          <w:tcPr>
            <w:tcW w:w="11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57</w:t>
            </w:r>
          </w:p>
        </w:tc>
        <w:tc>
          <w:tcPr>
            <w:tcW w:w="11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74</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12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2 150</w:t>
            </w:r>
          </w:p>
        </w:tc>
        <w:tc>
          <w:tcPr>
            <w:tcW w:w="112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1 186</w:t>
            </w:r>
          </w:p>
        </w:tc>
        <w:tc>
          <w:tcPr>
            <w:tcW w:w="112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1 154</w:t>
            </w:r>
          </w:p>
        </w:tc>
        <w:tc>
          <w:tcPr>
            <w:tcW w:w="112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1 244</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1 118</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981</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1 011</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1 247</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1 555</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Tilauskanta tilikauden lopussa</w:t>
            </w: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Marine Power*</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1 994</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1 930</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1 860</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1 882</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1 839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1 908</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1 913</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1 967</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2 019</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Marine Systems*</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1 042</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944</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912</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887</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857</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872</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902</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1 051</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1 232</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Voyage*</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288</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280</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295</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305</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275</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289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305</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304</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274</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Energy*</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2 393</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2 056</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2 035</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2 029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1 830</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1 865</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1 939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2 087</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2 014</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8" w:space="0" w:color="0F172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Portfolio Business*</w:t>
            </w:r>
          </w:p>
        </w:tc>
        <w:tc>
          <w:tcPr>
            <w:tcW w:w="112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142</w:t>
            </w:r>
          </w:p>
        </w:tc>
        <w:tc>
          <w:tcPr>
            <w:tcW w:w="112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115</w:t>
            </w:r>
          </w:p>
        </w:tc>
        <w:tc>
          <w:tcPr>
            <w:tcW w:w="112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135</w:t>
            </w:r>
          </w:p>
        </w:tc>
        <w:tc>
          <w:tcPr>
            <w:tcW w:w="112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297</w:t>
            </w:r>
          </w:p>
        </w:tc>
        <w:tc>
          <w:tcPr>
            <w:tcW w:w="11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257</w:t>
            </w:r>
          </w:p>
        </w:tc>
        <w:tc>
          <w:tcPr>
            <w:tcW w:w="11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331</w:t>
            </w:r>
          </w:p>
        </w:tc>
        <w:tc>
          <w:tcPr>
            <w:tcW w:w="11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341</w:t>
            </w:r>
          </w:p>
        </w:tc>
        <w:tc>
          <w:tcPr>
            <w:tcW w:w="11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336</w:t>
            </w:r>
          </w:p>
        </w:tc>
        <w:tc>
          <w:tcPr>
            <w:tcW w:w="11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338</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12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5 859</w:t>
            </w:r>
          </w:p>
        </w:tc>
        <w:tc>
          <w:tcPr>
            <w:tcW w:w="112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5 325</w:t>
            </w:r>
          </w:p>
        </w:tc>
        <w:tc>
          <w:tcPr>
            <w:tcW w:w="112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5 238</w:t>
            </w:r>
          </w:p>
        </w:tc>
        <w:tc>
          <w:tcPr>
            <w:tcW w:w="112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5 399</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5 057</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5 265</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5 401</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5 745</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5 878</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528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Liikevaihto</w:t>
            </w: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Marine Power*</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589</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382</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466</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426</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489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382</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420</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457</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603</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Marine Systems*</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221</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142</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150</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142</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167</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238</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234</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279</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Voyage*</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84</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68</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68</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68</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54</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56</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82</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Energy*</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670</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487</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416</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288</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465</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347</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457</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351</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648</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8" w:space="0" w:color="0F172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Portfolio Business*</w:t>
            </w:r>
          </w:p>
        </w:tc>
        <w:tc>
          <w:tcPr>
            <w:tcW w:w="112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32</w:t>
            </w:r>
          </w:p>
        </w:tc>
        <w:tc>
          <w:tcPr>
            <w:tcW w:w="112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25</w:t>
            </w:r>
          </w:p>
        </w:tc>
        <w:tc>
          <w:tcPr>
            <w:tcW w:w="112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w:t>
            </w:r>
          </w:p>
        </w:tc>
        <w:tc>
          <w:tcPr>
            <w:tcW w:w="112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33</w:t>
            </w:r>
          </w:p>
        </w:tc>
        <w:tc>
          <w:tcPr>
            <w:tcW w:w="11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30</w:t>
            </w:r>
          </w:p>
        </w:tc>
        <w:tc>
          <w:tcPr>
            <w:tcW w:w="11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43</w:t>
            </w:r>
          </w:p>
        </w:tc>
        <w:tc>
          <w:tcPr>
            <w:tcW w:w="11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48</w:t>
            </w:r>
          </w:p>
        </w:tc>
        <w:tc>
          <w:tcPr>
            <w:tcW w:w="11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59</w:t>
            </w:r>
          </w:p>
        </w:tc>
        <w:tc>
          <w:tcPr>
            <w:tcW w:w="11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71</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528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12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1 597</w:t>
            </w:r>
          </w:p>
        </w:tc>
        <w:tc>
          <w:tcPr>
            <w:tcW w:w="112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1 103</w:t>
            </w:r>
          </w:p>
        </w:tc>
        <w:tc>
          <w:tcPr>
            <w:tcW w:w="112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1 131</w:t>
            </w:r>
          </w:p>
        </w:tc>
        <w:tc>
          <w:tcPr>
            <w:tcW w:w="112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946</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1 220</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995</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1 220</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1 170</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1 684</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528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Osuus osakkuus- ja yhteisyritysten tuloksista</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Vertailukelpoinen oikaistu EBITA</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165</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95</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79</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111</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63</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65</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213</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prosentteina liikevaihdosta</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10,4</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8,6</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7,0</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5,1</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9,1</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7,0</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5,2</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5,6</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12,6</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528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Poistot ja arvonalentumiset</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-40</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-41</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-42</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-47</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-38</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-39</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hankintamenojen allokointeihin liittyvät poistot</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528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Vertailukelpoinen liiketulos</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158</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87</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71</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41</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103</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61</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55</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56</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202</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prosentteina liikevaihdosta</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9,9</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7,9</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6,3</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4,3</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8,4</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6,1</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4,5</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4,8</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12,0</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Vertailukelpoisuuteen vaikuttavat erät yhteensä</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-39</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Liiketulos</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144</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75</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58</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36</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90</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43</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52</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164</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prosentteina liikevaihdosta</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9,0</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6,8</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5,1</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3,8</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7,4</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4,3</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4,0</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4,5</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9,7</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Rahoitustuotot ja -kulut</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Tulos ennen veroja</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134</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74</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53</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35</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78</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34</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36</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43</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153</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Tuloverot</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-49</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-25</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-23</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-51</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Tilikauden tulos</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85</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50</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35</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24</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55</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23</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102</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Tulos/osake (EPS), laimentamaton, euroa</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0,14</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0,08</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0,06</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0,04</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0,10</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0,04</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0,04</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0,05</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0,17</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Tulos/osake (EPS), laimennettu, euroa</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0,14</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0,08</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0,06</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Bruttoinvestoinnit</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45</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35</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34</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38</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44</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osakkeet ja yrityshankinnat</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Liiketoiminnan rahavirta</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370</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49</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245</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67</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274</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114</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252</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42</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295</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528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Nettokäyttöpääoma (WCAP) tilikauden lopussa</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-100</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107</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73</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243</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257</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431</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492</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660</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732</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Henkilöstö tilikauden lopussa**</w:t>
            </w: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Marine Power*</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8 224</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8 157</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8 131</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8 317</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8 355</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8 412</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8 674</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8 934</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8 820</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Marine Systems*</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1 894</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1 891</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1 882</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1 864</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1 897</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1 891</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1 846</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1 862</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1 870</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Voyage*</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1 725</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1 799</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1 865</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1 925</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1 915</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1 946</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1 917</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1 939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1 889</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Energy*</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4 980</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4 975</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4 953</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4 905</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4 888</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4 837</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4 799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4 819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5 137</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4" w:space="0" w:color="004A6B"/>
              <w:left w:val="nil"/>
              <w:bottom w:val="single" w:sz="8" w:space="0" w:color="0F172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Portfolio Business*</w:t>
            </w:r>
          </w:p>
        </w:tc>
        <w:tc>
          <w:tcPr>
            <w:tcW w:w="112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482</w:t>
            </w:r>
          </w:p>
        </w:tc>
        <w:tc>
          <w:tcPr>
            <w:tcW w:w="112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481</w:t>
            </w:r>
          </w:p>
        </w:tc>
        <w:tc>
          <w:tcPr>
            <w:tcW w:w="112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555</w:t>
            </w:r>
          </w:p>
        </w:tc>
        <w:tc>
          <w:tcPr>
            <w:tcW w:w="112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732</w:t>
            </w:r>
          </w:p>
        </w:tc>
        <w:tc>
          <w:tcPr>
            <w:tcW w:w="11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737</w:t>
            </w:r>
          </w:p>
        </w:tc>
        <w:tc>
          <w:tcPr>
            <w:tcW w:w="11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1 097</w:t>
            </w:r>
          </w:p>
        </w:tc>
        <w:tc>
          <w:tcPr>
            <w:tcW w:w="11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1 098</w:t>
            </w:r>
          </w:p>
        </w:tc>
        <w:tc>
          <w:tcPr>
            <w:tcW w:w="11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1 088</w:t>
            </w:r>
          </w:p>
        </w:tc>
        <w:tc>
          <w:tcPr>
            <w:tcW w:w="11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1 080</w:t>
            </w:r>
          </w:p>
        </w:tc>
      </w:tr>
      <w:tr>
        <w:tblPrEx>
          <w:tblW w:w="15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528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12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17 305</w:t>
            </w:r>
          </w:p>
        </w:tc>
        <w:tc>
          <w:tcPr>
            <w:tcW w:w="112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17 303</w:t>
            </w:r>
          </w:p>
        </w:tc>
        <w:tc>
          <w:tcPr>
            <w:tcW w:w="112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17 386</w:t>
            </w:r>
          </w:p>
        </w:tc>
        <w:tc>
          <w:tcPr>
            <w:tcW w:w="112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17 742</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17 792</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18 183</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18 334</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18 642</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18 795</w:t>
            </w:r>
          </w:p>
        </w:tc>
      </w:tr>
    </w:tbl>
    <w:p w:rsidR="002A4EF3" w:rsidRPr="00A46417" w:rsidP="002A4EF3" w14:paraId="1609F32E" w14:textId="16C2E3AF">
      <w:pPr>
        <w:pStyle w:val="Bodytext2"/>
        <w:rPr>
          <w:lang w:val="fi-FI"/>
        </w:rPr>
      </w:pPr>
    </w:p>
    <w:p w:rsidR="002A4EF3" w:rsidP="002A4EF3" w14:paraId="0AB49EDC" w14:textId="2D5B399C">
      <w:pPr>
        <w:pStyle w:val="Bodytext2"/>
        <w:rPr>
          <w:lang w:val="fi-FI"/>
        </w:rPr>
      </w:pPr>
      <w:r w:rsidRPr="002A4EF3">
        <w:rPr>
          <w:lang w:val="fi-FI"/>
        </w:rPr>
        <w:t>* Vertailukausien 2019 ja 1–3/2020 segmenttiluvut on oikaistu vastaamaan uutta organisaatiorakennetta</w:t>
      </w:r>
      <w:r>
        <w:rPr>
          <w:lang w:val="fi-FI"/>
        </w:rPr>
        <w:t>, joka tuli voimaan 1.7.2020</w:t>
      </w:r>
      <w:r w:rsidRPr="002A4EF3">
        <w:rPr>
          <w:lang w:val="fi-FI"/>
        </w:rPr>
        <w:t xml:space="preserve">. </w:t>
      </w:r>
    </w:p>
    <w:p w:rsidR="002A4EF3" w:rsidP="002A4EF3" w14:paraId="04A61DB4" w14:textId="280987F4">
      <w:pPr>
        <w:pStyle w:val="Bodytext2"/>
        <w:rPr>
          <w:lang w:val="fi-FI"/>
        </w:rPr>
        <w:sectPr w:rsidSect="00686BCB">
          <w:headerReference w:type="even" r:id="rId34"/>
          <w:headerReference w:type="default" r:id="rId35"/>
          <w:footerReference w:type="even" r:id="rId36"/>
          <w:footerReference w:type="default" r:id="rId37"/>
          <w:headerReference w:type="first" r:id="rId38"/>
          <w:footerReference w:type="first" r:id="rId39"/>
          <w:type w:val="continuous"/>
          <w:pgSz w:w="16838" w:h="11906" w:orient="landscape"/>
          <w:pgMar w:top="1814" w:right="737" w:bottom="1247" w:left="737" w:header="720" w:footer="720" w:gutter="0"/>
          <w:pgBorders w:zOrder="front" w:display="allPages" w:offsetFrom="text">
            <w:top w:val="nil"/>
            <w:left w:val="nil"/>
            <w:bottom w:val="nil"/>
            <w:right w:val="nil"/>
          </w:pgBorders>
          <w:cols w:space="720"/>
          <w:vAlign w:val="top"/>
          <w:titlePg w:val="0"/>
          <w:rtlGutter w:val="0"/>
          <w:docGrid w:linePitch="360"/>
        </w:sectPr>
      </w:pPr>
      <w:r w:rsidRPr="002A4EF3">
        <w:rPr>
          <w:lang w:val="fi-FI"/>
        </w:rPr>
        <w:t>** Vertailuluvut on oikaistu vastaamaan Portfolio Businessin kokoonpanoa ja muutosta allokointiperiaatteissa.</w:t>
      </w:r>
    </w:p>
    <w:p w:rsidR="002A4EF3" w:rsidRPr="002A4EF3" w:rsidP="002A4EF3" w14:paraId="4DA57E59" w14:textId="1CAF1ADC">
      <w:pPr>
        <w:pStyle w:val="Bodytext2"/>
        <w:rPr>
          <w:lang w:val="fi-FI"/>
        </w:rPr>
        <w:sectPr w:rsidSect="002A4EF3">
          <w:headerReference w:type="even" r:id="rId40"/>
          <w:headerReference w:type="default" r:id="rId41"/>
          <w:footerReference w:type="even" r:id="rId42"/>
          <w:footerReference w:type="default" r:id="rId43"/>
          <w:headerReference w:type="first" r:id="rId44"/>
          <w:footerReference w:type="first" r:id="rId45"/>
          <w:type w:val="continuous"/>
          <w:pgSz w:w="16838" w:h="11906" w:orient="landscape"/>
          <w:pgMar w:top="1814" w:right="737" w:bottom="1247" w:left="737" w:header="720" w:footer="720" w:gutter="0"/>
          <w:pgBorders w:zOrder="front" w:display="allPages" w:offsetFrom="text">
            <w:top w:val="nil"/>
            <w:left w:val="nil"/>
            <w:bottom w:val="nil"/>
            <w:right w:val="nil"/>
          </w:pgBorders>
          <w:cols w:space="720"/>
          <w:vAlign w:val="top"/>
          <w:titlePg w:val="0"/>
          <w:rtlGutter w:val="0"/>
          <w:docGrid w:linePitch="360"/>
        </w:sectPr>
      </w:pPr>
      <w:r>
        <w:t xml:space="preserve"> </w:t>
      </w:r>
    </w:p>
    <w:p w:rsidR="00514B1C" w:rsidRPr="00514B1C" w:rsidP="00514B1C" w14:paraId="572155D5" w14:textId="7A629822">
      <w:pPr>
        <w:pStyle w:val="Heading10"/>
        <w:pageBreakBefore/>
        <w:rPr>
          <w:lang w:val="fi-FI"/>
        </w:rPr>
      </w:pPr>
      <w:bookmarkStart w:id="29" w:name="_Hlk42850006"/>
      <w:bookmarkStart w:id="30" w:name="RG_MARKER_7464"/>
      <w:r w:rsidRPr="00514B1C">
        <w:rPr>
          <w:lang w:val="fi-FI"/>
        </w:rPr>
        <w:t>TUNNUSLUKUJEN LASKENTAKAAVAT</w:t>
      </w:r>
      <w:bookmarkEnd w:id="30"/>
    </w:p>
    <w:p w:rsidR="00514B1C" w:rsidRPr="00514B1C" w:rsidP="00514B1C" w14:paraId="34E6A4CC" w14:textId="575EE602">
      <w:pPr>
        <w:pStyle w:val="Heading13"/>
        <w:rPr>
          <w:lang w:val="fi-FI"/>
        </w:rPr>
      </w:pPr>
      <w:bookmarkEnd w:id="29"/>
      <w:r w:rsidRPr="00514B1C">
        <w:rPr>
          <w:lang w:val="fi-FI"/>
        </w:rPr>
        <w:t>Liiketulos</w:t>
      </w:r>
    </w:p>
    <w:p w:rsidR="00514B1C" w:rsidP="00514B1C" w14:paraId="742F6093" w14:textId="77777777">
      <w:pPr>
        <w:pStyle w:val="Bodytext2"/>
        <w:rPr>
          <w:lang w:val="fi-FI"/>
        </w:rPr>
      </w:pPr>
      <w:r w:rsidRPr="00514B1C">
        <w:rPr>
          <w:lang w:val="fi-FI"/>
        </w:rPr>
        <w:t>Liikevaihto + liiketoiminnan muut tuotot – kulut – poistot ja arvonalentumiset +/– osuus osakkuus- ja yhteisyritysten tuloksista</w:t>
      </w:r>
    </w:p>
    <w:p w:rsidR="00514B1C" w:rsidRPr="00CF7968" w:rsidP="00514B1C" w14:paraId="14328AEC" w14:textId="77777777">
      <w:pPr>
        <w:pStyle w:val="Bodytext2"/>
        <w:rPr>
          <w:lang w:val="fi-FI"/>
        </w:rPr>
      </w:pPr>
    </w:p>
    <w:p w:rsidR="00514B1C" w:rsidRPr="00CF7968" w:rsidP="00514B1C" w14:paraId="720846D7" w14:textId="0364CCC2">
      <w:pPr>
        <w:pStyle w:val="Heading13"/>
        <w:rPr>
          <w:lang w:val="fi-FI"/>
        </w:rPr>
      </w:pPr>
      <w:r w:rsidRPr="00CF7968">
        <w:rPr>
          <w:lang w:val="fi-FI"/>
        </w:rPr>
        <w:t>Tulos/osake (EPS), laimentamaton</w:t>
      </w:r>
    </w:p>
    <w:tbl>
      <w:tblPr>
        <w:tblStyle w:val="TableGrid0"/>
        <w:tblW w:w="0" w:type="auto"/>
        <w:tblInd w:w="5" w:type="dxa"/>
        <w:tblLook w:val="04A0"/>
      </w:tblPr>
      <w:tblGrid>
        <w:gridCol w:w="7345"/>
        <w:gridCol w:w="20"/>
      </w:tblGrid>
      <w:tr w14:paraId="15F480C8" w14:textId="77777777" w:rsidTr="0029566B">
        <w:tblPrEx>
          <w:tblW w:w="0" w:type="auto"/>
          <w:tblInd w:w="5" w:type="dxa"/>
          <w:tblLook w:val="04A0"/>
        </w:tblPrEx>
        <w:tc>
          <w:tcPr>
            <w:tcW w:w="7345" w:type="dxa"/>
            <w:tcBorders>
              <w:top w:val="nil"/>
              <w:left w:val="nil"/>
              <w:bottom w:val="single" w:sz="4" w:space="0" w:color="auto"/>
              <w:right w:val="nil"/>
            </w:tcBorders>
            <w:hideMark/>
          </w:tcPr>
          <w:p w:rsidR="00514B1C" w:rsidRPr="00CF7968" w14:paraId="42928E68" w14:textId="51E261DF">
            <w:pPr>
              <w:pStyle w:val="Bodytext2"/>
            </w:pPr>
            <w:r w:rsidRPr="00CF7968">
              <w:t xml:space="preserve">emoyhtiön osakkeenomistajille kuuluva </w:t>
            </w:r>
            <w:r w:rsidRPr="00CF7968">
              <w:t>tilikauden tulos</w:t>
            </w:r>
          </w:p>
        </w:tc>
        <w:tc>
          <w:tcPr>
            <w:tcW w:w="20" w:type="dxa"/>
            <w:vMerge w:val="restart"/>
            <w:vAlign w:val="center"/>
          </w:tcPr>
          <w:p w:rsidR="00514B1C" w:rsidRPr="00CF7968" w14:paraId="0B6DFFA1" w14:textId="77777777">
            <w:pPr>
              <w:pStyle w:val="Bodytext2"/>
            </w:pPr>
          </w:p>
        </w:tc>
      </w:tr>
      <w:tr w14:paraId="128690FD" w14:textId="77777777" w:rsidTr="0029566B">
        <w:tblPrEx>
          <w:tblW w:w="0" w:type="auto"/>
          <w:tblInd w:w="5" w:type="dxa"/>
          <w:tblLook w:val="04A0"/>
        </w:tblPrEx>
        <w:tc>
          <w:tcPr>
            <w:tcW w:w="7345" w:type="dxa"/>
            <w:tcBorders>
              <w:top w:val="single" w:sz="4" w:space="0" w:color="auto"/>
              <w:left w:val="nil"/>
              <w:bottom w:val="nil"/>
              <w:right w:val="nil"/>
            </w:tcBorders>
            <w:hideMark/>
          </w:tcPr>
          <w:p w:rsidR="00514B1C" w:rsidRPr="00CF7968" w14:paraId="5FFD4276" w14:textId="2C28BABD">
            <w:pPr>
              <w:pStyle w:val="Bodytext2"/>
            </w:pPr>
            <w:r>
              <w:t xml:space="preserve">ulkona olevien </w:t>
            </w:r>
            <w:r w:rsidRPr="00CF7968">
              <w:t xml:space="preserve">osakkeiden lukumäärä keskimäärin </w:t>
            </w:r>
            <w:r>
              <w:t>tili</w:t>
            </w:r>
            <w:r w:rsidRPr="00CF7968">
              <w:t>kauden aikana</w:t>
            </w:r>
          </w:p>
        </w:tc>
        <w:tc>
          <w:tcPr>
            <w:tcW w:w="0" w:type="auto"/>
            <w:vMerge/>
            <w:vAlign w:val="center"/>
            <w:hideMark/>
          </w:tcPr>
          <w:p w:rsidR="00514B1C" w:rsidRPr="00CF7968" w14:paraId="11EB7F7D" w14:textId="77777777">
            <w:pPr>
              <w:spacing w:line="240" w:lineRule="auto"/>
              <w:rPr>
                <w:rFonts w:ascii="Arial" w:hAnsi="Arial" w:cs="Arial"/>
                <w:color w:val="111111"/>
                <w:sz w:val="15"/>
                <w:szCs w:val="17"/>
              </w:rPr>
            </w:pPr>
          </w:p>
        </w:tc>
      </w:tr>
    </w:tbl>
    <w:p w:rsidR="0029566B" w:rsidP="0029566B" w14:paraId="26867C12" w14:textId="77777777">
      <w:pPr>
        <w:pStyle w:val="Heading13"/>
        <w:rPr>
          <w:lang w:val="fi-FI"/>
        </w:rPr>
      </w:pPr>
    </w:p>
    <w:p w:rsidR="0029566B" w:rsidRPr="00CF7968" w:rsidP="0029566B" w14:paraId="31ECC8E4" w14:textId="444DF8DA">
      <w:pPr>
        <w:pStyle w:val="Heading13"/>
        <w:rPr>
          <w:lang w:val="fi-FI"/>
        </w:rPr>
      </w:pPr>
      <w:r w:rsidRPr="00CF7968">
        <w:rPr>
          <w:lang w:val="fi-FI"/>
        </w:rPr>
        <w:t>Tulos/osake (EPS), laimennettu</w:t>
      </w:r>
    </w:p>
    <w:tbl>
      <w:tblPr>
        <w:tblStyle w:val="TableGrid0"/>
        <w:tblW w:w="0" w:type="auto"/>
        <w:tblInd w:w="5" w:type="dxa"/>
        <w:tblLook w:val="04A0"/>
      </w:tblPr>
      <w:tblGrid>
        <w:gridCol w:w="7345"/>
        <w:gridCol w:w="20"/>
      </w:tblGrid>
      <w:tr w14:paraId="77370494" w14:textId="77777777" w:rsidTr="00AE4A48">
        <w:tblPrEx>
          <w:tblW w:w="0" w:type="auto"/>
          <w:tblInd w:w="5" w:type="dxa"/>
          <w:tblLook w:val="04A0"/>
        </w:tblPrEx>
        <w:tc>
          <w:tcPr>
            <w:tcW w:w="7361" w:type="dxa"/>
            <w:tcBorders>
              <w:top w:val="nil"/>
              <w:left w:val="nil"/>
              <w:bottom w:val="single" w:sz="4" w:space="0" w:color="auto"/>
              <w:right w:val="nil"/>
            </w:tcBorders>
            <w:hideMark/>
          </w:tcPr>
          <w:p w:rsidR="0029566B" w:rsidRPr="00CF7968" w:rsidP="00AE4A48" w14:paraId="63E39EA7" w14:textId="77777777">
            <w:pPr>
              <w:pStyle w:val="Bodytext2"/>
            </w:pPr>
            <w:r w:rsidRPr="00CF7968">
              <w:t>emoyhtiön osakkeenomistajille kuuluva tilikauden tulos</w:t>
            </w:r>
          </w:p>
        </w:tc>
        <w:tc>
          <w:tcPr>
            <w:tcW w:w="20" w:type="dxa"/>
            <w:vMerge w:val="restart"/>
            <w:vAlign w:val="center"/>
          </w:tcPr>
          <w:p w:rsidR="0029566B" w:rsidRPr="00CF7968" w:rsidP="00AE4A48" w14:paraId="2E4A65FA" w14:textId="77777777">
            <w:pPr>
              <w:pStyle w:val="Bodytext2"/>
            </w:pPr>
          </w:p>
        </w:tc>
      </w:tr>
      <w:tr w14:paraId="6E7A63AD" w14:textId="77777777" w:rsidTr="00AE4A48">
        <w:tblPrEx>
          <w:tblW w:w="0" w:type="auto"/>
          <w:tblInd w:w="5" w:type="dxa"/>
          <w:tblLook w:val="04A0"/>
        </w:tblPrEx>
        <w:tc>
          <w:tcPr>
            <w:tcW w:w="7361" w:type="dxa"/>
            <w:tcBorders>
              <w:top w:val="single" w:sz="4" w:space="0" w:color="auto"/>
              <w:left w:val="nil"/>
              <w:bottom w:val="nil"/>
              <w:right w:val="nil"/>
            </w:tcBorders>
            <w:hideMark/>
          </w:tcPr>
          <w:p w:rsidR="0029566B" w:rsidP="0029566B" w14:paraId="52B39D4B" w14:textId="77777777">
            <w:pPr>
              <w:pStyle w:val="Bodytext2"/>
            </w:pPr>
            <w:r>
              <w:t xml:space="preserve">ulkona olevien </w:t>
            </w:r>
            <w:r w:rsidRPr="00CF7968">
              <w:t>osakkeiden lukumäärä keskimäärin tilikauden aikana</w:t>
            </w:r>
            <w:r>
              <w:t xml:space="preserve"> + </w:t>
            </w:r>
            <w:r>
              <w:t>laimennusvaikutteisten potentiaalisten</w:t>
            </w:r>
          </w:p>
          <w:p w:rsidR="0029566B" w:rsidRPr="00CF7968" w:rsidP="0029566B" w14:paraId="14B79D07" w14:textId="4FA62781">
            <w:pPr>
              <w:pStyle w:val="Bodytext2"/>
            </w:pPr>
            <w:r>
              <w:t>kantaosakkeiden lukumäärä</w:t>
            </w:r>
          </w:p>
        </w:tc>
        <w:tc>
          <w:tcPr>
            <w:tcW w:w="0" w:type="auto"/>
            <w:vMerge/>
            <w:vAlign w:val="center"/>
            <w:hideMark/>
          </w:tcPr>
          <w:p w:rsidR="0029566B" w:rsidRPr="00CF7968" w:rsidP="00AE4A48" w14:paraId="630FC160" w14:textId="77777777">
            <w:pPr>
              <w:spacing w:line="240" w:lineRule="auto"/>
              <w:rPr>
                <w:rFonts w:ascii="Arial" w:hAnsi="Arial" w:cs="Arial"/>
                <w:color w:val="111111"/>
                <w:sz w:val="15"/>
                <w:szCs w:val="17"/>
              </w:rPr>
            </w:pPr>
          </w:p>
        </w:tc>
      </w:tr>
    </w:tbl>
    <w:p w:rsidR="00514B1C" w:rsidP="00514B1C" w14:paraId="4F7504B0" w14:textId="06BE5F1D">
      <w:pPr>
        <w:pStyle w:val="Bodytext2"/>
        <w:rPr>
          <w:rFonts w:asciiTheme="minorHAnsi" w:hAnsiTheme="minorHAnsi" w:cstheme="minorHAnsi"/>
          <w:lang w:val="fi-FI" w:eastAsia="fi-FI"/>
        </w:rPr>
      </w:pPr>
    </w:p>
    <w:p w:rsidR="00514B1C" w:rsidRPr="00514B1C" w:rsidP="00514B1C" w14:paraId="5741B86A" w14:textId="57C31B6F">
      <w:pPr>
        <w:pStyle w:val="Heading13"/>
        <w:rPr>
          <w:rFonts w:cstheme="minorBidi"/>
          <w:lang w:val="fi-FI"/>
        </w:rPr>
      </w:pPr>
      <w:r w:rsidRPr="00514B1C">
        <w:rPr>
          <w:lang w:val="fi-FI"/>
        </w:rPr>
        <w:t>Vertailukelpoisuuteen vaikuttavat erät</w:t>
      </w:r>
    </w:p>
    <w:p w:rsidR="00514B1C" w:rsidRPr="00514B1C" w:rsidP="00514B1C" w14:paraId="0F4CAA9B" w14:textId="3460737C">
      <w:pPr>
        <w:pStyle w:val="Bodytext2"/>
        <w:rPr>
          <w:lang w:val="fi-FI"/>
        </w:rPr>
      </w:pPr>
      <w:r>
        <w:rPr>
          <w:lang w:val="fi-FI"/>
        </w:rPr>
        <w:t xml:space="preserve">Tietyt </w:t>
      </w:r>
      <w:r w:rsidRPr="00514B1C">
        <w:rPr>
          <w:lang w:val="fi-FI"/>
        </w:rPr>
        <w:t>tuotot ja kulut esitetään vertailukelpoisuuteen vaikuttavina erinä kun niillä on merkittävä vaikutus konsernin tuloslaskelmaan. Vertailukelpoisuuteen vaikuttavat erät muodostuvat uudelleenjärjestelyistä johtuvista tuotoista ja kuluista, jotka tähtäävät kon</w:t>
      </w:r>
      <w:r w:rsidRPr="00514B1C">
        <w:rPr>
          <w:lang w:val="fi-FI"/>
        </w:rPr>
        <w:t>sernin toiminnan kapasiteetin sopeuttamiseen. Niihin voi sisältyä myös muita tavanomaisen liiketoiminnan ulkopuolella syntyneitä tuottoja ja kuluja, kuten arvonalentumisia, yrityshankintaan liittyviä kustannuksia, kolmansien osapuolten oikeudenkäynteihin l</w:t>
      </w:r>
      <w:r w:rsidRPr="00514B1C">
        <w:rPr>
          <w:lang w:val="fi-FI"/>
        </w:rPr>
        <w:t>iittyviä kirjattuja suorituksia tai aikaisemmin lopetettuihin liiketoimintoihin liittyviä ennakoimattomia velvoitteita</w:t>
      </w:r>
      <w:r>
        <w:rPr>
          <w:lang w:val="fi-FI"/>
        </w:rPr>
        <w:t>.</w:t>
      </w:r>
    </w:p>
    <w:p w:rsidR="00514B1C" w:rsidRPr="00514B1C" w:rsidP="00514B1C" w14:paraId="0B39A599" w14:textId="77777777">
      <w:pPr>
        <w:pStyle w:val="Bodytext2"/>
        <w:rPr>
          <w:lang w:val="fi-FI"/>
        </w:rPr>
      </w:pPr>
    </w:p>
    <w:p w:rsidR="00514B1C" w:rsidRPr="00CF7968" w:rsidP="00514B1C" w14:paraId="311ED6E9" w14:textId="77777777">
      <w:pPr>
        <w:pStyle w:val="Heading13"/>
        <w:rPr>
          <w:lang w:val="fi-FI"/>
        </w:rPr>
      </w:pPr>
      <w:r w:rsidRPr="00CF7968">
        <w:rPr>
          <w:lang w:val="fi-FI"/>
        </w:rPr>
        <w:t>Vertailukelpoinen liiketulos</w:t>
      </w:r>
    </w:p>
    <w:p w:rsidR="00514B1C" w:rsidRPr="00CF7968" w:rsidP="00514B1C" w14:paraId="3B75B590" w14:textId="08958EFD">
      <w:pPr>
        <w:pStyle w:val="Bodytext2"/>
        <w:rPr>
          <w:lang w:val="fi-FI"/>
        </w:rPr>
      </w:pPr>
      <w:r w:rsidRPr="00CF7968">
        <w:rPr>
          <w:lang w:val="fi-FI"/>
        </w:rPr>
        <w:t>liiketulos – vertailukelpoisuuteen vaikuttavat erät</w:t>
      </w:r>
    </w:p>
    <w:p w:rsidR="00514B1C" w:rsidRPr="00CF7968" w:rsidP="00514B1C" w14:paraId="2DC316F3" w14:textId="77777777">
      <w:pPr>
        <w:pStyle w:val="Bodytext2"/>
        <w:rPr>
          <w:lang w:val="fi-FI"/>
        </w:rPr>
      </w:pPr>
    </w:p>
    <w:p w:rsidR="00514B1C" w:rsidRPr="00514B1C" w:rsidP="00514B1C" w14:paraId="3054469D" w14:textId="6E4ED379">
      <w:pPr>
        <w:pStyle w:val="Heading13"/>
        <w:rPr>
          <w:lang w:val="fi-FI"/>
        </w:rPr>
      </w:pPr>
      <w:r w:rsidRPr="00514B1C">
        <w:rPr>
          <w:lang w:val="fi-FI"/>
        </w:rPr>
        <w:t>Vertailukelpoinen oikaistu EBITA</w:t>
      </w:r>
    </w:p>
    <w:p w:rsidR="00514B1C" w:rsidP="00514B1C" w14:paraId="3FAF6DDE" w14:textId="32D9D0D0">
      <w:pPr>
        <w:pStyle w:val="Bodytext2"/>
        <w:rPr>
          <w:lang w:val="fi-FI"/>
        </w:rPr>
      </w:pPr>
      <w:r w:rsidRPr="00514B1C">
        <w:rPr>
          <w:lang w:val="fi-FI"/>
        </w:rPr>
        <w:t>liiketulos – vertail</w:t>
      </w:r>
      <w:r w:rsidRPr="00514B1C">
        <w:rPr>
          <w:lang w:val="fi-FI"/>
        </w:rPr>
        <w:t>ukelpoisuuteen vaikuttavat erät – hankintamenojen allokointeihin liittyvät poistot</w:t>
      </w:r>
    </w:p>
    <w:p w:rsidR="00514B1C" w:rsidRPr="00514B1C" w:rsidP="00514B1C" w14:paraId="692C861D" w14:textId="77777777">
      <w:pPr>
        <w:pStyle w:val="Bodytext2"/>
        <w:rPr>
          <w:lang w:val="fi-FI"/>
        </w:rPr>
      </w:pPr>
    </w:p>
    <w:p w:rsidR="00514B1C" w:rsidRPr="0072798D" w:rsidP="00514B1C" w14:paraId="4816C25A" w14:textId="351AD78C">
      <w:pPr>
        <w:pStyle w:val="Heading13"/>
        <w:rPr>
          <w:lang w:val="fi-FI"/>
        </w:rPr>
      </w:pPr>
      <w:r w:rsidRPr="0072798D">
        <w:rPr>
          <w:lang w:val="fi-FI"/>
        </w:rPr>
        <w:t>Bruttoinvestoinnit</w:t>
      </w:r>
    </w:p>
    <w:p w:rsidR="00514B1C" w:rsidRPr="0072798D" w:rsidP="00514B1C" w14:paraId="2C2AD555" w14:textId="5199FACC">
      <w:pPr>
        <w:pStyle w:val="Bodytext2"/>
        <w:rPr>
          <w:lang w:val="fi-FI"/>
        </w:rPr>
      </w:pPr>
      <w:r>
        <w:rPr>
          <w:lang w:val="fi-FI"/>
        </w:rPr>
        <w:t>s</w:t>
      </w:r>
      <w:r w:rsidRPr="0072798D">
        <w:rPr>
          <w:lang w:val="fi-FI"/>
        </w:rPr>
        <w:t>ijoitukset osakkeisiin ja yrityshankintoihin + sijoitukset aineettomiin ja aineellisiin hyödykkeisiin</w:t>
      </w:r>
    </w:p>
    <w:p w:rsidR="00514B1C" w:rsidRPr="0072798D" w:rsidP="00514B1C" w14:paraId="0246E12B" w14:textId="77777777">
      <w:pPr>
        <w:pStyle w:val="Bodytext2"/>
        <w:rPr>
          <w:lang w:val="fi-FI"/>
        </w:rPr>
      </w:pPr>
    </w:p>
    <w:p w:rsidR="00514B1C" w:rsidRPr="0072798D" w:rsidP="00514B1C" w14:paraId="7438E671" w14:textId="7DA900F1">
      <w:pPr>
        <w:pStyle w:val="Heading13"/>
        <w:rPr>
          <w:lang w:val="fi-FI"/>
        </w:rPr>
      </w:pPr>
      <w:r w:rsidRPr="0072798D">
        <w:rPr>
          <w:lang w:val="fi-FI"/>
        </w:rPr>
        <w:t>Korolliset nettovelat</w:t>
      </w:r>
    </w:p>
    <w:p w:rsidR="00514B1C" w:rsidRPr="0072798D" w:rsidP="00514B1C" w14:paraId="45ED6341" w14:textId="54193D00">
      <w:pPr>
        <w:pStyle w:val="Bodytext2"/>
        <w:rPr>
          <w:lang w:val="fi-FI"/>
        </w:rPr>
      </w:pPr>
      <w:r>
        <w:rPr>
          <w:lang w:val="fi-FI"/>
        </w:rPr>
        <w:t>p</w:t>
      </w:r>
      <w:r w:rsidRPr="0072798D">
        <w:rPr>
          <w:lang w:val="fi-FI"/>
        </w:rPr>
        <w:t>itkä- ja lyhytaikaiset kor</w:t>
      </w:r>
      <w:r w:rsidRPr="0072798D">
        <w:rPr>
          <w:lang w:val="fi-FI"/>
        </w:rPr>
        <w:t>olliset velat + pitkä- ja lyhytaikaiset vuokrasopimusvelat – korolliset saamiset – rahavarat</w:t>
      </w:r>
    </w:p>
    <w:p w:rsidR="00514B1C" w:rsidRPr="0072798D" w:rsidP="00514B1C" w14:paraId="3F059C3D" w14:textId="77777777">
      <w:pPr>
        <w:pStyle w:val="Bodytext2"/>
        <w:rPr>
          <w:lang w:val="fi-FI"/>
        </w:rPr>
      </w:pPr>
    </w:p>
    <w:p w:rsidR="00514B1C" w:rsidRPr="0072798D" w:rsidP="00514B1C" w14:paraId="5547B204" w14:textId="273628F3">
      <w:pPr>
        <w:pStyle w:val="Heading13"/>
        <w:rPr>
          <w:lang w:val="fi-FI"/>
        </w:rPr>
      </w:pPr>
      <w:r w:rsidRPr="00CF7968">
        <w:rPr>
          <w:lang w:val="fi-FI"/>
        </w:rPr>
        <w:t>Oma pääoma/osake</w:t>
      </w:r>
    </w:p>
    <w:tbl>
      <w:tblPr>
        <w:tblStyle w:val="TableGrid0"/>
        <w:tblW w:w="0" w:type="auto"/>
        <w:tblInd w:w="5" w:type="dxa"/>
        <w:tblLook w:val="04A0"/>
      </w:tblPr>
      <w:tblGrid>
        <w:gridCol w:w="7345"/>
        <w:gridCol w:w="20"/>
      </w:tblGrid>
      <w:tr w14:paraId="7C49134B" w14:textId="77777777" w:rsidTr="00514B1C">
        <w:tblPrEx>
          <w:tblW w:w="0" w:type="auto"/>
          <w:tblInd w:w="5" w:type="dxa"/>
          <w:tblLook w:val="04A0"/>
        </w:tblPrEx>
        <w:tc>
          <w:tcPr>
            <w:tcW w:w="7361" w:type="dxa"/>
            <w:tcBorders>
              <w:top w:val="nil"/>
              <w:left w:val="nil"/>
              <w:bottom w:val="single" w:sz="4" w:space="0" w:color="auto"/>
              <w:right w:val="nil"/>
            </w:tcBorders>
            <w:hideMark/>
          </w:tcPr>
          <w:p w:rsidR="00514B1C" w:rsidRPr="00CF7968" w14:paraId="3A8525D6" w14:textId="55F9DB0B">
            <w:pPr>
              <w:pStyle w:val="Bodytext2"/>
            </w:pPr>
            <w:r w:rsidRPr="00CF7968">
              <w:t>emoyhtiön osakkeenomistajille kuuluva oma pääoma</w:t>
            </w:r>
          </w:p>
        </w:tc>
        <w:tc>
          <w:tcPr>
            <w:tcW w:w="20" w:type="dxa"/>
            <w:vMerge w:val="restart"/>
            <w:vAlign w:val="center"/>
          </w:tcPr>
          <w:p w:rsidR="00514B1C" w:rsidRPr="00CF7968" w14:paraId="2109492D" w14:textId="77777777">
            <w:pPr>
              <w:pStyle w:val="Bodytext2"/>
            </w:pPr>
          </w:p>
        </w:tc>
      </w:tr>
      <w:tr w14:paraId="7DA4B283" w14:textId="77777777" w:rsidTr="00514B1C">
        <w:tblPrEx>
          <w:tblW w:w="0" w:type="auto"/>
          <w:tblInd w:w="5" w:type="dxa"/>
          <w:tblLook w:val="04A0"/>
        </w:tblPrEx>
        <w:tc>
          <w:tcPr>
            <w:tcW w:w="7361" w:type="dxa"/>
            <w:tcBorders>
              <w:top w:val="single" w:sz="4" w:space="0" w:color="auto"/>
              <w:left w:val="nil"/>
              <w:bottom w:val="nil"/>
              <w:right w:val="nil"/>
            </w:tcBorders>
            <w:hideMark/>
          </w:tcPr>
          <w:p w:rsidR="00514B1C" w:rsidRPr="00CF7968" w14:paraId="1A761D2F" w14:textId="67B9781C">
            <w:pPr>
              <w:pStyle w:val="Bodytext2"/>
            </w:pPr>
            <w:r>
              <w:t xml:space="preserve">ulkona olevien </w:t>
            </w:r>
            <w:r w:rsidRPr="00CF7968">
              <w:t>osakkeiden lukumäärä tilikauden lopussa</w:t>
            </w:r>
          </w:p>
        </w:tc>
        <w:tc>
          <w:tcPr>
            <w:tcW w:w="0" w:type="auto"/>
            <w:vMerge/>
            <w:vAlign w:val="center"/>
            <w:hideMark/>
          </w:tcPr>
          <w:p w:rsidR="00514B1C" w:rsidRPr="00CF7968" w14:paraId="404A4E25" w14:textId="77777777">
            <w:pPr>
              <w:spacing w:line="240" w:lineRule="auto"/>
              <w:rPr>
                <w:rFonts w:ascii="Arial" w:hAnsi="Arial" w:cs="Arial"/>
                <w:color w:val="111111"/>
                <w:sz w:val="15"/>
                <w:szCs w:val="17"/>
              </w:rPr>
            </w:pPr>
          </w:p>
        </w:tc>
      </w:tr>
    </w:tbl>
    <w:p w:rsidR="00514B1C" w:rsidRPr="00CF7968" w:rsidP="00514B1C" w14:paraId="326139F6" w14:textId="77777777">
      <w:pPr>
        <w:pStyle w:val="Bodytext2"/>
        <w:rPr>
          <w:rFonts w:asciiTheme="minorHAnsi" w:hAnsiTheme="minorHAnsi" w:cstheme="minorHAnsi"/>
          <w:lang w:val="fi-FI" w:eastAsia="fi-FI"/>
        </w:rPr>
      </w:pPr>
    </w:p>
    <w:p w:rsidR="00514B1C" w:rsidP="00514B1C" w14:paraId="56F95B45" w14:textId="1FAF87B1">
      <w:pPr>
        <w:pStyle w:val="Heading13"/>
        <w:rPr>
          <w:rFonts w:cstheme="minorBidi"/>
        </w:rPr>
      </w:pPr>
      <w:r>
        <w:t>Omavaraisuusaste</w:t>
      </w:r>
    </w:p>
    <w:tbl>
      <w:tblPr>
        <w:tblStyle w:val="TableGrid0"/>
        <w:tblW w:w="0" w:type="auto"/>
        <w:tblInd w:w="5" w:type="dxa"/>
        <w:tblLook w:val="04A0"/>
      </w:tblPr>
      <w:tblGrid>
        <w:gridCol w:w="6799"/>
        <w:gridCol w:w="562"/>
      </w:tblGrid>
      <w:tr w14:paraId="27E5F2D0" w14:textId="77777777" w:rsidTr="00514B1C">
        <w:tblPrEx>
          <w:tblW w:w="0" w:type="auto"/>
          <w:tblInd w:w="5" w:type="dxa"/>
          <w:tblLook w:val="04A0"/>
        </w:tblPrEx>
        <w:tc>
          <w:tcPr>
            <w:tcW w:w="6799" w:type="dxa"/>
            <w:tcBorders>
              <w:top w:val="nil"/>
              <w:left w:val="nil"/>
              <w:bottom w:val="single" w:sz="4" w:space="0" w:color="auto"/>
              <w:right w:val="nil"/>
            </w:tcBorders>
            <w:hideMark/>
          </w:tcPr>
          <w:p w:rsidR="00514B1C" w14:paraId="372F5C27" w14:textId="2893E085">
            <w:pPr>
              <w:pStyle w:val="Bodytext2"/>
            </w:pPr>
            <w:r>
              <w:t>oma pääoma</w:t>
            </w:r>
          </w:p>
        </w:tc>
        <w:tc>
          <w:tcPr>
            <w:tcW w:w="562" w:type="dxa"/>
            <w:vMerge w:val="restart"/>
            <w:vAlign w:val="center"/>
            <w:hideMark/>
          </w:tcPr>
          <w:p w:rsidR="00514B1C" w14:paraId="2EEF2833" w14:textId="77777777">
            <w:pPr>
              <w:pStyle w:val="Bodytext2"/>
            </w:pPr>
            <w:r>
              <w:t xml:space="preserve">   x 100</w:t>
            </w:r>
          </w:p>
        </w:tc>
      </w:tr>
      <w:tr w14:paraId="1D510684" w14:textId="77777777" w:rsidTr="00514B1C">
        <w:tblPrEx>
          <w:tblW w:w="0" w:type="auto"/>
          <w:tblInd w:w="5" w:type="dxa"/>
          <w:tblLook w:val="04A0"/>
        </w:tblPrEx>
        <w:tc>
          <w:tcPr>
            <w:tcW w:w="6799" w:type="dxa"/>
            <w:tcBorders>
              <w:top w:val="single" w:sz="4" w:space="0" w:color="auto"/>
              <w:left w:val="nil"/>
              <w:bottom w:val="nil"/>
              <w:right w:val="nil"/>
            </w:tcBorders>
            <w:hideMark/>
          </w:tcPr>
          <w:p w:rsidR="00514B1C" w:rsidRPr="0072798D" w14:paraId="3BA0D793" w14:textId="3FB02CD7">
            <w:pPr>
              <w:pStyle w:val="Bodytext2"/>
            </w:pPr>
            <w:r w:rsidRPr="0072798D">
              <w:t>oma pääoma ja velat – saadut ennakkomaksut</w:t>
            </w:r>
          </w:p>
        </w:tc>
        <w:tc>
          <w:tcPr>
            <w:tcW w:w="0" w:type="auto"/>
            <w:vMerge/>
            <w:vAlign w:val="center"/>
            <w:hideMark/>
          </w:tcPr>
          <w:p w:rsidR="00514B1C" w:rsidRPr="0072798D" w14:paraId="247AFD38" w14:textId="77777777">
            <w:pPr>
              <w:spacing w:line="240" w:lineRule="auto"/>
              <w:rPr>
                <w:rFonts w:ascii="Arial" w:hAnsi="Arial" w:cs="Arial"/>
                <w:color w:val="111111"/>
                <w:sz w:val="15"/>
                <w:szCs w:val="17"/>
              </w:rPr>
            </w:pPr>
          </w:p>
        </w:tc>
      </w:tr>
    </w:tbl>
    <w:p w:rsidR="00514B1C" w:rsidRPr="0072798D" w:rsidP="00514B1C" w14:paraId="4873C022" w14:textId="77777777">
      <w:pPr>
        <w:pStyle w:val="Bodytext2"/>
        <w:rPr>
          <w:rFonts w:asciiTheme="minorHAnsi" w:hAnsiTheme="minorHAnsi" w:cstheme="minorHAnsi"/>
          <w:lang w:val="fi-FI" w:eastAsia="fi-FI"/>
        </w:rPr>
      </w:pPr>
    </w:p>
    <w:p w:rsidR="00514B1C" w:rsidP="00514B1C" w14:paraId="1B9EAB73" w14:textId="0E9D99C0">
      <w:pPr>
        <w:pStyle w:val="Heading13"/>
        <w:rPr>
          <w:rFonts w:cstheme="minorBidi"/>
        </w:rPr>
      </w:pPr>
      <w:r>
        <w:t>Nettovelkaantumisaste</w:t>
      </w:r>
    </w:p>
    <w:tbl>
      <w:tblPr>
        <w:tblStyle w:val="TableGrid0"/>
        <w:tblW w:w="0" w:type="auto"/>
        <w:tblInd w:w="5" w:type="dxa"/>
        <w:tblLook w:val="04A0"/>
      </w:tblPr>
      <w:tblGrid>
        <w:gridCol w:w="7345"/>
        <w:gridCol w:w="20"/>
      </w:tblGrid>
      <w:tr w14:paraId="5D0BCC4F" w14:textId="77777777" w:rsidTr="00514B1C">
        <w:tblPrEx>
          <w:tblW w:w="0" w:type="auto"/>
          <w:tblInd w:w="5" w:type="dxa"/>
          <w:tblLook w:val="04A0"/>
        </w:tblPrEx>
        <w:tc>
          <w:tcPr>
            <w:tcW w:w="7361" w:type="dxa"/>
            <w:tcBorders>
              <w:top w:val="nil"/>
              <w:left w:val="nil"/>
              <w:bottom w:val="single" w:sz="4" w:space="0" w:color="auto"/>
              <w:right w:val="nil"/>
            </w:tcBorders>
            <w:hideMark/>
          </w:tcPr>
          <w:p w:rsidR="00514B1C" w14:paraId="31241F1D" w14:textId="170A95CA">
            <w:pPr>
              <w:pStyle w:val="Bodytext2"/>
              <w:rPr>
                <w:lang w:val="en-GB"/>
              </w:rPr>
            </w:pPr>
            <w:r w:rsidRPr="0072798D">
              <w:rPr>
                <w:lang w:val="en-GB"/>
              </w:rPr>
              <w:t>korolliset velat – rahavarat</w:t>
            </w:r>
          </w:p>
        </w:tc>
        <w:tc>
          <w:tcPr>
            <w:tcW w:w="20" w:type="dxa"/>
            <w:vMerge w:val="restart"/>
            <w:vAlign w:val="center"/>
          </w:tcPr>
          <w:p w:rsidR="00514B1C" w14:paraId="51CA6830" w14:textId="77777777">
            <w:pPr>
              <w:pStyle w:val="Bodytext2"/>
              <w:rPr>
                <w:lang w:val="en-GB"/>
              </w:rPr>
            </w:pPr>
          </w:p>
        </w:tc>
      </w:tr>
      <w:tr w14:paraId="2943B122" w14:textId="77777777" w:rsidTr="00514B1C">
        <w:tblPrEx>
          <w:tblW w:w="0" w:type="auto"/>
          <w:tblInd w:w="5" w:type="dxa"/>
          <w:tblLook w:val="04A0"/>
        </w:tblPrEx>
        <w:tc>
          <w:tcPr>
            <w:tcW w:w="7361" w:type="dxa"/>
            <w:tcBorders>
              <w:top w:val="single" w:sz="4" w:space="0" w:color="auto"/>
              <w:left w:val="nil"/>
              <w:bottom w:val="nil"/>
              <w:right w:val="nil"/>
            </w:tcBorders>
            <w:hideMark/>
          </w:tcPr>
          <w:p w:rsidR="00514B1C" w14:paraId="28A9C87E" w14:textId="7514A211">
            <w:pPr>
              <w:pStyle w:val="Bodytext2"/>
            </w:pPr>
            <w:r w:rsidRPr="00D12CB9">
              <w:t>oma pääoma</w:t>
            </w:r>
          </w:p>
        </w:tc>
        <w:tc>
          <w:tcPr>
            <w:tcW w:w="0" w:type="auto"/>
            <w:vMerge/>
            <w:vAlign w:val="center"/>
            <w:hideMark/>
          </w:tcPr>
          <w:p w:rsidR="00514B1C" w14:paraId="147D62CB" w14:textId="77777777">
            <w:pPr>
              <w:spacing w:line="240" w:lineRule="auto"/>
              <w:rPr>
                <w:rFonts w:ascii="Arial" w:hAnsi="Arial" w:cs="Arial"/>
                <w:color w:val="111111"/>
                <w:sz w:val="15"/>
                <w:szCs w:val="17"/>
                <w:lang w:val="en-GB"/>
              </w:rPr>
            </w:pPr>
          </w:p>
        </w:tc>
      </w:tr>
    </w:tbl>
    <w:p w:rsidR="00514B1C" w:rsidP="00514B1C" w14:paraId="24EF1F59" w14:textId="77777777">
      <w:pPr>
        <w:pStyle w:val="Heading13"/>
        <w:rPr>
          <w:rFonts w:cstheme="minorBidi"/>
        </w:rPr>
      </w:pPr>
    </w:p>
    <w:p w:rsidR="00514B1C" w:rsidP="00514B1C" w14:paraId="04926371" w14:textId="39B32CD7">
      <w:pPr>
        <w:pStyle w:val="Heading13"/>
        <w:rPr>
          <w:rFonts w:asciiTheme="minorHAnsi" w:hAnsiTheme="minorHAnsi" w:cstheme="minorHAnsi"/>
          <w:lang w:eastAsia="fi-FI"/>
        </w:rPr>
      </w:pPr>
      <w:r>
        <w:t>S</w:t>
      </w:r>
      <w:r w:rsidRPr="0072798D">
        <w:t>ijoitetun pääoman tuotto (ROI</w:t>
      </w:r>
      <w:r>
        <w:t>)</w:t>
      </w:r>
    </w:p>
    <w:tbl>
      <w:tblPr>
        <w:tblStyle w:val="TableGrid0"/>
        <w:tblW w:w="0" w:type="auto"/>
        <w:tblInd w:w="5" w:type="dxa"/>
        <w:tblLook w:val="04A0"/>
      </w:tblPr>
      <w:tblGrid>
        <w:gridCol w:w="6799"/>
        <w:gridCol w:w="562"/>
      </w:tblGrid>
      <w:tr w14:paraId="1FAE10F5" w14:textId="77777777" w:rsidTr="00514B1C">
        <w:tblPrEx>
          <w:tblW w:w="0" w:type="auto"/>
          <w:tblInd w:w="5" w:type="dxa"/>
          <w:tblLook w:val="04A0"/>
        </w:tblPrEx>
        <w:tc>
          <w:tcPr>
            <w:tcW w:w="6799" w:type="dxa"/>
            <w:tcBorders>
              <w:top w:val="nil"/>
              <w:left w:val="nil"/>
              <w:bottom w:val="single" w:sz="4" w:space="0" w:color="auto"/>
              <w:right w:val="nil"/>
            </w:tcBorders>
            <w:hideMark/>
          </w:tcPr>
          <w:p w:rsidR="00514B1C" w:rsidRPr="0072798D" w14:paraId="7EFD8BD0" w14:textId="04F3CBCF">
            <w:pPr>
              <w:pStyle w:val="Bodytext2"/>
            </w:pPr>
            <w:r w:rsidRPr="0072798D">
              <w:t>tulos ennen veroja + korko- ja muut rahoituskulut</w:t>
            </w:r>
          </w:p>
        </w:tc>
        <w:tc>
          <w:tcPr>
            <w:tcW w:w="562" w:type="dxa"/>
            <w:vMerge w:val="restart"/>
            <w:vAlign w:val="center"/>
            <w:hideMark/>
          </w:tcPr>
          <w:p w:rsidR="00514B1C" w14:paraId="5FE99961" w14:textId="77777777">
            <w:pPr>
              <w:pStyle w:val="Bodytext2"/>
            </w:pPr>
            <w:r w:rsidRPr="0072798D">
              <w:t xml:space="preserve">   </w:t>
            </w:r>
            <w:r>
              <w:t>x 100</w:t>
            </w:r>
          </w:p>
        </w:tc>
      </w:tr>
      <w:tr w14:paraId="0DD6B763" w14:textId="77777777" w:rsidTr="00514B1C">
        <w:tblPrEx>
          <w:tblW w:w="0" w:type="auto"/>
          <w:tblInd w:w="5" w:type="dxa"/>
          <w:tblLook w:val="04A0"/>
        </w:tblPrEx>
        <w:tc>
          <w:tcPr>
            <w:tcW w:w="6799" w:type="dxa"/>
            <w:tcBorders>
              <w:top w:val="single" w:sz="4" w:space="0" w:color="auto"/>
              <w:left w:val="nil"/>
              <w:bottom w:val="nil"/>
              <w:right w:val="nil"/>
            </w:tcBorders>
            <w:hideMark/>
          </w:tcPr>
          <w:p w:rsidR="00514B1C" w:rsidRPr="0072798D" w14:paraId="73CD3E00" w14:textId="4074E7C2">
            <w:pPr>
              <w:pStyle w:val="Bodytext2"/>
            </w:pPr>
            <w:r w:rsidRPr="0072798D">
              <w:t xml:space="preserve">oma pääoma ja velat – </w:t>
            </w:r>
            <w:r w:rsidRPr="0072798D">
              <w:t>korottomat velat – varaukset, keskimäärin tilikauden aikana</w:t>
            </w:r>
          </w:p>
        </w:tc>
        <w:tc>
          <w:tcPr>
            <w:tcW w:w="0" w:type="auto"/>
            <w:vMerge/>
            <w:vAlign w:val="center"/>
            <w:hideMark/>
          </w:tcPr>
          <w:p w:rsidR="00514B1C" w:rsidRPr="0072798D" w14:paraId="23D06C47" w14:textId="77777777">
            <w:pPr>
              <w:spacing w:line="240" w:lineRule="auto"/>
              <w:rPr>
                <w:rFonts w:ascii="Arial" w:hAnsi="Arial" w:cs="Arial"/>
                <w:color w:val="111111"/>
                <w:sz w:val="15"/>
                <w:szCs w:val="17"/>
              </w:rPr>
            </w:pPr>
          </w:p>
        </w:tc>
      </w:tr>
    </w:tbl>
    <w:p w:rsidR="00514B1C" w:rsidRPr="0072798D" w:rsidP="00514B1C" w14:paraId="01461168" w14:textId="77777777">
      <w:pPr>
        <w:pStyle w:val="Bodytext2"/>
        <w:rPr>
          <w:rFonts w:asciiTheme="minorHAnsi" w:hAnsiTheme="minorHAnsi" w:cstheme="minorHAnsi"/>
          <w:lang w:val="fi-FI" w:eastAsia="fi-FI"/>
        </w:rPr>
      </w:pPr>
    </w:p>
    <w:p w:rsidR="00514B1C" w:rsidP="00514B1C" w14:paraId="78167E59" w14:textId="368D10F1">
      <w:pPr>
        <w:pStyle w:val="Heading13"/>
        <w:rPr>
          <w:rFonts w:cstheme="minorBidi"/>
        </w:rPr>
      </w:pPr>
      <w:r>
        <w:t>Oman pääoman tuotto (ROE)</w:t>
      </w:r>
    </w:p>
    <w:tbl>
      <w:tblPr>
        <w:tblStyle w:val="TableGrid0"/>
        <w:tblW w:w="0" w:type="auto"/>
        <w:tblInd w:w="5" w:type="dxa"/>
        <w:tblLook w:val="04A0"/>
      </w:tblPr>
      <w:tblGrid>
        <w:gridCol w:w="6799"/>
        <w:gridCol w:w="562"/>
      </w:tblGrid>
      <w:tr w14:paraId="31539CDF" w14:textId="77777777" w:rsidTr="00514B1C">
        <w:tblPrEx>
          <w:tblW w:w="0" w:type="auto"/>
          <w:tblInd w:w="5" w:type="dxa"/>
          <w:tblLook w:val="04A0"/>
        </w:tblPrEx>
        <w:tc>
          <w:tcPr>
            <w:tcW w:w="6799" w:type="dxa"/>
            <w:tcBorders>
              <w:top w:val="nil"/>
              <w:left w:val="nil"/>
              <w:bottom w:val="single" w:sz="4" w:space="0" w:color="auto"/>
              <w:right w:val="nil"/>
            </w:tcBorders>
            <w:hideMark/>
          </w:tcPr>
          <w:p w:rsidR="00514B1C" w14:paraId="11FA05AF" w14:textId="67E153CE">
            <w:pPr>
              <w:pStyle w:val="Bodytext2"/>
              <w:rPr>
                <w:lang w:val="en-GB"/>
              </w:rPr>
            </w:pPr>
            <w:r>
              <w:rPr>
                <w:lang w:val="en-GB"/>
              </w:rPr>
              <w:t>tilikauden tulos</w:t>
            </w:r>
          </w:p>
        </w:tc>
        <w:tc>
          <w:tcPr>
            <w:tcW w:w="562" w:type="dxa"/>
            <w:vMerge w:val="restart"/>
            <w:vAlign w:val="center"/>
            <w:hideMark/>
          </w:tcPr>
          <w:p w:rsidR="00514B1C" w14:paraId="3FB8D86D" w14:textId="77777777">
            <w:pPr>
              <w:pStyle w:val="Bodytext2"/>
            </w:pPr>
            <w:r>
              <w:rPr>
                <w:lang w:val="en-GB"/>
              </w:rPr>
              <w:t xml:space="preserve">   </w:t>
            </w:r>
            <w:r>
              <w:t>x 100</w:t>
            </w:r>
          </w:p>
        </w:tc>
      </w:tr>
      <w:tr w14:paraId="17E6D433" w14:textId="77777777" w:rsidTr="00514B1C">
        <w:tblPrEx>
          <w:tblW w:w="0" w:type="auto"/>
          <w:tblInd w:w="5" w:type="dxa"/>
          <w:tblLook w:val="04A0"/>
        </w:tblPrEx>
        <w:tc>
          <w:tcPr>
            <w:tcW w:w="6799" w:type="dxa"/>
            <w:tcBorders>
              <w:top w:val="single" w:sz="4" w:space="0" w:color="auto"/>
              <w:left w:val="nil"/>
              <w:bottom w:val="nil"/>
              <w:right w:val="nil"/>
            </w:tcBorders>
            <w:hideMark/>
          </w:tcPr>
          <w:p w:rsidR="00514B1C" w:rsidRPr="0072798D" w14:paraId="6FB5F797" w14:textId="2855CD37">
            <w:pPr>
              <w:pStyle w:val="Bodytext2"/>
            </w:pPr>
            <w:r w:rsidRPr="0072798D">
              <w:t>oma pääoma, keskimäärin tilikauden aikana</w:t>
            </w:r>
          </w:p>
        </w:tc>
        <w:tc>
          <w:tcPr>
            <w:tcW w:w="0" w:type="auto"/>
            <w:vMerge/>
            <w:vAlign w:val="center"/>
            <w:hideMark/>
          </w:tcPr>
          <w:p w:rsidR="00514B1C" w:rsidRPr="0072798D" w14:paraId="32E8613B" w14:textId="77777777">
            <w:pPr>
              <w:spacing w:line="240" w:lineRule="auto"/>
              <w:rPr>
                <w:rFonts w:ascii="Arial" w:hAnsi="Arial" w:cs="Arial"/>
                <w:color w:val="111111"/>
                <w:sz w:val="15"/>
                <w:szCs w:val="17"/>
              </w:rPr>
            </w:pPr>
          </w:p>
        </w:tc>
      </w:tr>
    </w:tbl>
    <w:p w:rsidR="00514B1C" w:rsidRPr="0072798D" w:rsidP="00514B1C" w14:paraId="0D67721C" w14:textId="77777777">
      <w:pPr>
        <w:pStyle w:val="Bodytext2"/>
        <w:rPr>
          <w:rFonts w:asciiTheme="minorHAnsi" w:hAnsiTheme="minorHAnsi" w:cstheme="minorHAnsi"/>
          <w:lang w:val="fi-FI" w:eastAsia="fi-FI"/>
        </w:rPr>
      </w:pPr>
    </w:p>
    <w:p w:rsidR="00514B1C" w:rsidRPr="00CF7968" w:rsidP="00514B1C" w14:paraId="54915DE2" w14:textId="17F4C5B4">
      <w:pPr>
        <w:pStyle w:val="Heading13"/>
        <w:rPr>
          <w:rFonts w:cstheme="minorBidi"/>
          <w:lang w:val="fi-FI"/>
        </w:rPr>
      </w:pPr>
      <w:r w:rsidRPr="00CF7968">
        <w:rPr>
          <w:lang w:val="fi-FI"/>
        </w:rPr>
        <w:t>Tilauskertymä</w:t>
      </w:r>
    </w:p>
    <w:p w:rsidR="00514B1C" w:rsidRPr="00514B1C" w:rsidP="00514B1C" w14:paraId="67CB8C67" w14:textId="79C4F618">
      <w:pPr>
        <w:pStyle w:val="Bodytext2"/>
        <w:rPr>
          <w:lang w:val="fi-FI"/>
        </w:rPr>
      </w:pPr>
      <w:r w:rsidRPr="00514B1C">
        <w:rPr>
          <w:lang w:val="fi-FI"/>
        </w:rPr>
        <w:t xml:space="preserve">Tilikauden aikana vastaanotettujen tilausten kokonaismäärä, jotka </w:t>
      </w:r>
      <w:r w:rsidRPr="00514B1C">
        <w:rPr>
          <w:lang w:val="fi-FI"/>
        </w:rPr>
        <w:t>toimitetaan joko kuluvana tilikautena tai sen jälkeen.</w:t>
      </w:r>
    </w:p>
    <w:p w:rsidR="00514B1C" w:rsidRPr="00514B1C" w:rsidP="00514B1C" w14:paraId="06D63B71" w14:textId="77777777">
      <w:pPr>
        <w:pStyle w:val="Bodytext2"/>
        <w:rPr>
          <w:lang w:val="fi-FI"/>
        </w:rPr>
      </w:pPr>
    </w:p>
    <w:p w:rsidR="00514B1C" w:rsidRPr="00CF7968" w:rsidP="00514B1C" w14:paraId="63B3005E" w14:textId="1E3E0D2C">
      <w:pPr>
        <w:pStyle w:val="Heading13"/>
        <w:rPr>
          <w:lang w:val="fi-FI"/>
        </w:rPr>
      </w:pPr>
      <w:r w:rsidRPr="00CF7968">
        <w:rPr>
          <w:lang w:val="fi-FI"/>
        </w:rPr>
        <w:t>Tilauskanta</w:t>
      </w:r>
    </w:p>
    <w:p w:rsidR="00514B1C" w:rsidRPr="0072798D" w:rsidP="00514B1C" w14:paraId="6521F754" w14:textId="54E23642">
      <w:pPr>
        <w:pStyle w:val="Bodytext2"/>
        <w:rPr>
          <w:lang w:val="fi-FI"/>
        </w:rPr>
      </w:pPr>
      <w:r w:rsidRPr="00514B1C">
        <w:rPr>
          <w:lang w:val="fi-FI"/>
        </w:rPr>
        <w:t>Asiakkaiden tekemien, mutta vielä toimittamattomien tilausten arvo. Palvelusopimusten osalta vain seuraavan 24 kuukauden odotettu liikevaihto sisältyy tilauskantaan</w:t>
      </w:r>
      <w:r>
        <w:rPr>
          <w:lang w:val="fi-FI"/>
        </w:rPr>
        <w:t>.</w:t>
      </w:r>
    </w:p>
    <w:p w:rsidR="00514B1C" w:rsidRPr="0072798D" w:rsidP="00514B1C" w14:paraId="631A41E8" w14:textId="77777777">
      <w:pPr>
        <w:pStyle w:val="Bodytext2"/>
        <w:rPr>
          <w:lang w:val="fi-FI"/>
        </w:rPr>
      </w:pPr>
    </w:p>
    <w:p w:rsidR="00514B1C" w:rsidRPr="0072798D" w:rsidP="00514B1C" w14:paraId="015F4CCF" w14:textId="7AFF688E">
      <w:pPr>
        <w:pStyle w:val="Heading13"/>
        <w:rPr>
          <w:lang w:val="fi-FI"/>
        </w:rPr>
      </w:pPr>
      <w:r w:rsidRPr="0072798D">
        <w:rPr>
          <w:lang w:val="fi-FI"/>
        </w:rPr>
        <w:t>Nettokäyttöpääoma (WC</w:t>
      </w:r>
      <w:r w:rsidRPr="0072798D">
        <w:rPr>
          <w:lang w:val="fi-FI"/>
        </w:rPr>
        <w:t>AP)</w:t>
      </w:r>
    </w:p>
    <w:p w:rsidR="0072798D" w:rsidRPr="0072798D" w:rsidP="0072798D" w14:paraId="378C9B8D" w14:textId="77777777">
      <w:pPr>
        <w:pStyle w:val="Bodytext2"/>
        <w:rPr>
          <w:lang w:val="fi-FI"/>
        </w:rPr>
      </w:pPr>
      <w:r w:rsidRPr="0072798D">
        <w:rPr>
          <w:lang w:val="fi-FI"/>
        </w:rPr>
        <w:t>(vaihto-omaisuus + myyntisaamiset + verosaamiset + muut korottomat saamiset)</w:t>
      </w:r>
    </w:p>
    <w:p w:rsidR="00514B1C" w:rsidRPr="0072798D" w:rsidP="0072798D" w14:paraId="184A796A" w14:textId="2838378E">
      <w:pPr>
        <w:pStyle w:val="Bodytext2"/>
        <w:rPr>
          <w:lang w:val="fi-FI"/>
        </w:rPr>
      </w:pPr>
      <w:r w:rsidRPr="0072798D">
        <w:rPr>
          <w:lang w:val="fi-FI"/>
        </w:rPr>
        <w:t>– (ostovelat + saadut ennakot + eläkevelvoitteet + varaukset + verovelat + muut korottomat velat – osingonmaksuvelka)</w:t>
      </w:r>
    </w:p>
    <w:p w:rsidR="00514B1C" w:rsidRPr="0072798D" w:rsidP="00514B1C" w14:paraId="7C209685" w14:textId="77777777">
      <w:pPr>
        <w:pStyle w:val="Bodytext2"/>
        <w:rPr>
          <w:lang w:val="fi-FI"/>
        </w:rPr>
      </w:pPr>
    </w:p>
    <w:p w:rsidR="00514B1C" w:rsidP="00514B1C" w14:paraId="093B634E" w14:textId="5E8F937B">
      <w:pPr>
        <w:pStyle w:val="Heading13"/>
      </w:pPr>
      <w:r>
        <w:t>Korkokate</w:t>
      </w:r>
    </w:p>
    <w:tbl>
      <w:tblPr>
        <w:tblStyle w:val="TableGrid0"/>
        <w:tblW w:w="0" w:type="auto"/>
        <w:tblInd w:w="5" w:type="dxa"/>
        <w:tblLook w:val="04A0"/>
      </w:tblPr>
      <w:tblGrid>
        <w:gridCol w:w="7345"/>
        <w:gridCol w:w="20"/>
      </w:tblGrid>
      <w:tr w14:paraId="0912B943" w14:textId="77777777" w:rsidTr="00514B1C">
        <w:tblPrEx>
          <w:tblW w:w="0" w:type="auto"/>
          <w:tblInd w:w="5" w:type="dxa"/>
          <w:tblLook w:val="04A0"/>
        </w:tblPrEx>
        <w:tc>
          <w:tcPr>
            <w:tcW w:w="7361" w:type="dxa"/>
            <w:tcBorders>
              <w:top w:val="nil"/>
              <w:left w:val="nil"/>
              <w:bottom w:val="single" w:sz="4" w:space="0" w:color="auto"/>
              <w:right w:val="nil"/>
            </w:tcBorders>
            <w:hideMark/>
          </w:tcPr>
          <w:p w:rsidR="00514B1C" w:rsidRPr="0072798D" w14:paraId="465D6BE5" w14:textId="29BAF4F7">
            <w:pPr>
              <w:pStyle w:val="Bodytext2"/>
            </w:pPr>
            <w:r w:rsidRPr="0072798D">
              <w:t>tulos ennen veroja + poistot ja arvonalentumis</w:t>
            </w:r>
            <w:r w:rsidRPr="0072798D">
              <w:t>et + korko- ja muut rahoituskulut</w:t>
            </w:r>
          </w:p>
        </w:tc>
        <w:tc>
          <w:tcPr>
            <w:tcW w:w="20" w:type="dxa"/>
            <w:vMerge w:val="restart"/>
            <w:vAlign w:val="center"/>
          </w:tcPr>
          <w:p w:rsidR="00514B1C" w:rsidRPr="0072798D" w14:paraId="090111C0" w14:textId="77777777">
            <w:pPr>
              <w:pStyle w:val="Bodytext2"/>
            </w:pPr>
          </w:p>
        </w:tc>
      </w:tr>
      <w:tr w14:paraId="14ED5E3D" w14:textId="77777777" w:rsidTr="00514B1C">
        <w:tblPrEx>
          <w:tblW w:w="0" w:type="auto"/>
          <w:tblInd w:w="5" w:type="dxa"/>
          <w:tblLook w:val="04A0"/>
        </w:tblPrEx>
        <w:tc>
          <w:tcPr>
            <w:tcW w:w="7361" w:type="dxa"/>
            <w:tcBorders>
              <w:top w:val="single" w:sz="4" w:space="0" w:color="auto"/>
              <w:left w:val="nil"/>
              <w:bottom w:val="nil"/>
              <w:right w:val="nil"/>
            </w:tcBorders>
            <w:hideMark/>
          </w:tcPr>
          <w:p w:rsidR="00514B1C" w:rsidRPr="0072798D" w14:paraId="2E59EFE5" w14:textId="39E07FD2">
            <w:pPr>
              <w:pStyle w:val="Bodytext2"/>
            </w:pPr>
            <w:r w:rsidRPr="0072798D">
              <w:t>korko- ja muut rahoituskulut</w:t>
            </w:r>
          </w:p>
        </w:tc>
        <w:tc>
          <w:tcPr>
            <w:tcW w:w="0" w:type="auto"/>
            <w:vMerge/>
            <w:vAlign w:val="center"/>
            <w:hideMark/>
          </w:tcPr>
          <w:p w:rsidR="00514B1C" w:rsidRPr="0072798D" w14:paraId="4B54F2A4" w14:textId="77777777">
            <w:pPr>
              <w:spacing w:line="240" w:lineRule="auto"/>
              <w:rPr>
                <w:rFonts w:ascii="Arial" w:hAnsi="Arial" w:cs="Arial"/>
                <w:color w:val="111111"/>
                <w:sz w:val="15"/>
                <w:szCs w:val="17"/>
              </w:rPr>
            </w:pPr>
          </w:p>
        </w:tc>
      </w:tr>
    </w:tbl>
    <w:p w:rsidR="00514B1C" w:rsidRPr="0072798D" w:rsidP="00514B1C" w14:paraId="714509C6" w14:textId="77777777">
      <w:pPr>
        <w:pStyle w:val="Bodytext2"/>
        <w:rPr>
          <w:rFonts w:asciiTheme="minorHAnsi" w:hAnsiTheme="minorHAnsi" w:cstheme="minorHAnsi"/>
          <w:lang w:val="fi-FI" w:eastAsia="fi-FI"/>
        </w:rPr>
      </w:pPr>
    </w:p>
    <w:p w:rsidR="00514B1C" w:rsidP="00514B1C" w14:paraId="0094D2F1" w14:textId="59E2B4D1">
      <w:pPr>
        <w:pStyle w:val="Heading13"/>
        <w:rPr>
          <w:rFonts w:cstheme="minorBidi"/>
        </w:rPr>
      </w:pPr>
      <w:r w:rsidRPr="00CF7968">
        <w:t>Osinko/osake</w:t>
      </w:r>
    </w:p>
    <w:tbl>
      <w:tblPr>
        <w:tblStyle w:val="TableGrid0"/>
        <w:tblW w:w="0" w:type="auto"/>
        <w:tblInd w:w="5" w:type="dxa"/>
        <w:tblLook w:val="04A0"/>
      </w:tblPr>
      <w:tblGrid>
        <w:gridCol w:w="7345"/>
        <w:gridCol w:w="20"/>
      </w:tblGrid>
      <w:tr w14:paraId="5B5C4B03" w14:textId="77777777" w:rsidTr="00514B1C">
        <w:tblPrEx>
          <w:tblW w:w="0" w:type="auto"/>
          <w:tblInd w:w="5" w:type="dxa"/>
          <w:tblLook w:val="04A0"/>
        </w:tblPrEx>
        <w:tc>
          <w:tcPr>
            <w:tcW w:w="7361" w:type="dxa"/>
            <w:tcBorders>
              <w:top w:val="nil"/>
              <w:left w:val="nil"/>
              <w:bottom w:val="single" w:sz="4" w:space="0" w:color="auto"/>
              <w:right w:val="nil"/>
            </w:tcBorders>
            <w:hideMark/>
          </w:tcPr>
          <w:p w:rsidR="00514B1C" w14:paraId="686D0B24" w14:textId="25F46522">
            <w:pPr>
              <w:pStyle w:val="Bodytext2"/>
              <w:rPr>
                <w:lang w:val="en-GB"/>
              </w:rPr>
            </w:pPr>
            <w:r w:rsidRPr="00CF7968">
              <w:rPr>
                <w:lang w:val="en-GB"/>
              </w:rPr>
              <w:t>tilikaudelta jaettu osinko</w:t>
            </w:r>
          </w:p>
        </w:tc>
        <w:tc>
          <w:tcPr>
            <w:tcW w:w="20" w:type="dxa"/>
            <w:vMerge w:val="restart"/>
            <w:vAlign w:val="center"/>
          </w:tcPr>
          <w:p w:rsidR="00514B1C" w14:paraId="3A5148A2" w14:textId="77777777">
            <w:pPr>
              <w:pStyle w:val="Bodytext2"/>
              <w:rPr>
                <w:lang w:val="en-GB"/>
              </w:rPr>
            </w:pPr>
          </w:p>
        </w:tc>
      </w:tr>
      <w:tr w14:paraId="53E5A558" w14:textId="77777777" w:rsidTr="00514B1C">
        <w:tblPrEx>
          <w:tblW w:w="0" w:type="auto"/>
          <w:tblInd w:w="5" w:type="dxa"/>
          <w:tblLook w:val="04A0"/>
        </w:tblPrEx>
        <w:tc>
          <w:tcPr>
            <w:tcW w:w="7361" w:type="dxa"/>
            <w:tcBorders>
              <w:top w:val="single" w:sz="4" w:space="0" w:color="auto"/>
              <w:left w:val="nil"/>
              <w:bottom w:val="nil"/>
              <w:right w:val="nil"/>
            </w:tcBorders>
            <w:hideMark/>
          </w:tcPr>
          <w:p w:rsidR="00514B1C" w:rsidRPr="00CF7968" w14:paraId="7EB69BF6" w14:textId="27F0A271">
            <w:pPr>
              <w:pStyle w:val="Bodytext2"/>
            </w:pPr>
            <w:r>
              <w:t xml:space="preserve">ulkona olevien </w:t>
            </w:r>
            <w:r w:rsidRPr="00CF7968">
              <w:t>osakkeiden lukumäärä tilikauden lopussa</w:t>
            </w:r>
          </w:p>
        </w:tc>
        <w:tc>
          <w:tcPr>
            <w:tcW w:w="0" w:type="auto"/>
            <w:vMerge/>
            <w:vAlign w:val="center"/>
            <w:hideMark/>
          </w:tcPr>
          <w:p w:rsidR="00514B1C" w:rsidRPr="00CF7968" w14:paraId="3E8A1F75" w14:textId="77777777">
            <w:pPr>
              <w:spacing w:line="240" w:lineRule="auto"/>
              <w:rPr>
                <w:rFonts w:ascii="Arial" w:hAnsi="Arial" w:cs="Arial"/>
                <w:color w:val="111111"/>
                <w:sz w:val="15"/>
                <w:szCs w:val="17"/>
              </w:rPr>
            </w:pPr>
          </w:p>
        </w:tc>
      </w:tr>
    </w:tbl>
    <w:p w:rsidR="0029566B" w:rsidRPr="001E13A7" w:rsidP="00514B1C" w14:paraId="60E43A3D" w14:textId="77777777">
      <w:pPr>
        <w:pStyle w:val="Heading13"/>
        <w:rPr>
          <w:lang w:val="fi-FI"/>
        </w:rPr>
      </w:pPr>
    </w:p>
    <w:p w:rsidR="00514B1C" w:rsidP="00514B1C" w14:paraId="54DD56F7" w14:textId="5141B5B1">
      <w:pPr>
        <w:pStyle w:val="Heading13"/>
      </w:pPr>
      <w:r w:rsidRPr="00CF7968">
        <w:t>Osinko/tulos</w:t>
      </w:r>
    </w:p>
    <w:tbl>
      <w:tblPr>
        <w:tblStyle w:val="TableGrid0"/>
        <w:tblW w:w="0" w:type="auto"/>
        <w:tblInd w:w="5" w:type="dxa"/>
        <w:tblLook w:val="04A0"/>
      </w:tblPr>
      <w:tblGrid>
        <w:gridCol w:w="6799"/>
        <w:gridCol w:w="562"/>
      </w:tblGrid>
      <w:tr w14:paraId="6832A779" w14:textId="77777777" w:rsidTr="00514B1C">
        <w:tblPrEx>
          <w:tblW w:w="0" w:type="auto"/>
          <w:tblInd w:w="5" w:type="dxa"/>
          <w:tblLook w:val="04A0"/>
        </w:tblPrEx>
        <w:tc>
          <w:tcPr>
            <w:tcW w:w="6799" w:type="dxa"/>
            <w:tcBorders>
              <w:top w:val="nil"/>
              <w:left w:val="nil"/>
              <w:bottom w:val="single" w:sz="4" w:space="0" w:color="auto"/>
              <w:right w:val="nil"/>
            </w:tcBorders>
            <w:hideMark/>
          </w:tcPr>
          <w:p w:rsidR="00514B1C" w14:paraId="4A5E3652" w14:textId="167285A4">
            <w:pPr>
              <w:pStyle w:val="Bodytext2"/>
            </w:pPr>
            <w:r w:rsidRPr="00CF7968">
              <w:t>osinko/osake</w:t>
            </w:r>
          </w:p>
        </w:tc>
        <w:tc>
          <w:tcPr>
            <w:tcW w:w="562" w:type="dxa"/>
            <w:vMerge w:val="restart"/>
            <w:vAlign w:val="center"/>
            <w:hideMark/>
          </w:tcPr>
          <w:p w:rsidR="00514B1C" w14:paraId="1B56B38B" w14:textId="77777777">
            <w:pPr>
              <w:pStyle w:val="Bodytext2"/>
            </w:pPr>
            <w:r>
              <w:t xml:space="preserve">   x 100</w:t>
            </w:r>
          </w:p>
        </w:tc>
      </w:tr>
      <w:tr w14:paraId="189200C5" w14:textId="77777777" w:rsidTr="00514B1C">
        <w:tblPrEx>
          <w:tblW w:w="0" w:type="auto"/>
          <w:tblInd w:w="5" w:type="dxa"/>
          <w:tblLook w:val="04A0"/>
        </w:tblPrEx>
        <w:tc>
          <w:tcPr>
            <w:tcW w:w="6799" w:type="dxa"/>
            <w:tcBorders>
              <w:top w:val="single" w:sz="4" w:space="0" w:color="auto"/>
              <w:left w:val="nil"/>
              <w:bottom w:val="nil"/>
              <w:right w:val="nil"/>
            </w:tcBorders>
            <w:hideMark/>
          </w:tcPr>
          <w:p w:rsidR="00514B1C" w:rsidRPr="00CF7968" w14:paraId="7A4FADD6" w14:textId="11DD47C0">
            <w:pPr>
              <w:pStyle w:val="Bodytext2"/>
            </w:pPr>
            <w:r w:rsidRPr="00CF7968">
              <w:t>tulos/osake (EPS), laimentamaton</w:t>
            </w:r>
          </w:p>
        </w:tc>
        <w:tc>
          <w:tcPr>
            <w:tcW w:w="0" w:type="auto"/>
            <w:vMerge/>
            <w:vAlign w:val="center"/>
            <w:hideMark/>
          </w:tcPr>
          <w:p w:rsidR="00514B1C" w:rsidRPr="00CF7968" w14:paraId="5DCCE5A0" w14:textId="77777777">
            <w:pPr>
              <w:spacing w:line="240" w:lineRule="auto"/>
              <w:rPr>
                <w:rFonts w:ascii="Arial" w:hAnsi="Arial" w:cs="Arial"/>
                <w:color w:val="111111"/>
                <w:sz w:val="15"/>
                <w:szCs w:val="17"/>
              </w:rPr>
            </w:pPr>
          </w:p>
        </w:tc>
      </w:tr>
    </w:tbl>
    <w:p w:rsidR="00514B1C" w:rsidRPr="00CF7968" w:rsidP="00514B1C" w14:paraId="343450A5" w14:textId="77777777">
      <w:pPr>
        <w:pStyle w:val="Bodytext2"/>
        <w:rPr>
          <w:rFonts w:asciiTheme="minorHAnsi" w:hAnsiTheme="minorHAnsi" w:cstheme="minorHAnsi"/>
          <w:lang w:val="fi-FI" w:eastAsia="fi-FI"/>
        </w:rPr>
      </w:pPr>
    </w:p>
    <w:p w:rsidR="00514B1C" w:rsidP="00514B1C" w14:paraId="5606A3EE" w14:textId="5CF6BCA5">
      <w:pPr>
        <w:pStyle w:val="Heading13"/>
        <w:rPr>
          <w:rFonts w:cstheme="minorBidi"/>
        </w:rPr>
      </w:pPr>
      <w:r w:rsidRPr="00CF7968">
        <w:t>Efektiivinen osinkotuotto</w:t>
      </w:r>
    </w:p>
    <w:tbl>
      <w:tblPr>
        <w:tblStyle w:val="TableGrid0"/>
        <w:tblW w:w="0" w:type="auto"/>
        <w:tblInd w:w="5" w:type="dxa"/>
        <w:tblLook w:val="04A0"/>
      </w:tblPr>
      <w:tblGrid>
        <w:gridCol w:w="6799"/>
        <w:gridCol w:w="562"/>
      </w:tblGrid>
      <w:tr w14:paraId="18B34EEA" w14:textId="77777777" w:rsidTr="00514B1C">
        <w:tblPrEx>
          <w:tblW w:w="0" w:type="auto"/>
          <w:tblInd w:w="5" w:type="dxa"/>
          <w:tblLook w:val="04A0"/>
        </w:tblPrEx>
        <w:tc>
          <w:tcPr>
            <w:tcW w:w="6799" w:type="dxa"/>
            <w:tcBorders>
              <w:top w:val="nil"/>
              <w:left w:val="nil"/>
              <w:bottom w:val="single" w:sz="4" w:space="0" w:color="auto"/>
              <w:right w:val="nil"/>
            </w:tcBorders>
            <w:hideMark/>
          </w:tcPr>
          <w:p w:rsidR="00514B1C" w14:paraId="57CBC111" w14:textId="75E41268">
            <w:pPr>
              <w:pStyle w:val="Bodytext2"/>
            </w:pPr>
            <w:r w:rsidRPr="00CF7968">
              <w:t>osinko/osake</w:t>
            </w:r>
          </w:p>
        </w:tc>
        <w:tc>
          <w:tcPr>
            <w:tcW w:w="562" w:type="dxa"/>
            <w:vMerge w:val="restart"/>
            <w:vAlign w:val="center"/>
            <w:hideMark/>
          </w:tcPr>
          <w:p w:rsidR="00514B1C" w14:paraId="3EBAA0B0" w14:textId="77777777">
            <w:pPr>
              <w:pStyle w:val="Bodytext2"/>
            </w:pPr>
            <w:r>
              <w:t xml:space="preserve">   x 100</w:t>
            </w:r>
          </w:p>
        </w:tc>
      </w:tr>
      <w:tr w14:paraId="649D0715" w14:textId="77777777" w:rsidTr="00514B1C">
        <w:tblPrEx>
          <w:tblW w:w="0" w:type="auto"/>
          <w:tblInd w:w="5" w:type="dxa"/>
          <w:tblLook w:val="04A0"/>
        </w:tblPrEx>
        <w:tc>
          <w:tcPr>
            <w:tcW w:w="6799" w:type="dxa"/>
            <w:tcBorders>
              <w:top w:val="single" w:sz="4" w:space="0" w:color="auto"/>
              <w:left w:val="nil"/>
              <w:bottom w:val="nil"/>
              <w:right w:val="nil"/>
            </w:tcBorders>
            <w:hideMark/>
          </w:tcPr>
          <w:p w:rsidR="00514B1C" w:rsidRPr="00CF7968" w14:paraId="31E72BB8" w14:textId="3AC4D83A">
            <w:pPr>
              <w:pStyle w:val="Bodytext2"/>
            </w:pPr>
            <w:r w:rsidRPr="00CF7968">
              <w:t>oikaistu osakekurssi tilikauden lopussa</w:t>
            </w:r>
          </w:p>
        </w:tc>
        <w:tc>
          <w:tcPr>
            <w:tcW w:w="0" w:type="auto"/>
            <w:vMerge/>
            <w:vAlign w:val="center"/>
            <w:hideMark/>
          </w:tcPr>
          <w:p w:rsidR="00514B1C" w:rsidRPr="00CF7968" w14:paraId="0C84FAFA" w14:textId="77777777">
            <w:pPr>
              <w:spacing w:line="240" w:lineRule="auto"/>
              <w:rPr>
                <w:rFonts w:ascii="Arial" w:hAnsi="Arial" w:cs="Arial"/>
                <w:color w:val="111111"/>
                <w:sz w:val="15"/>
                <w:szCs w:val="17"/>
              </w:rPr>
            </w:pPr>
          </w:p>
        </w:tc>
      </w:tr>
    </w:tbl>
    <w:p w:rsidR="00514B1C" w:rsidRPr="00CF7968" w:rsidP="00514B1C" w14:paraId="7725AEA8" w14:textId="77777777">
      <w:pPr>
        <w:pStyle w:val="Bodytext2"/>
        <w:rPr>
          <w:rFonts w:asciiTheme="minorHAnsi" w:hAnsiTheme="minorHAnsi" w:cstheme="minorHAnsi"/>
          <w:lang w:val="fi-FI" w:eastAsia="fi-FI"/>
        </w:rPr>
      </w:pPr>
    </w:p>
    <w:p w:rsidR="00514B1C" w:rsidP="00514B1C" w14:paraId="7BAA50CC" w14:textId="3A27AC2C">
      <w:pPr>
        <w:pStyle w:val="Heading13"/>
        <w:rPr>
          <w:rFonts w:cstheme="minorBidi"/>
        </w:rPr>
      </w:pPr>
      <w:r w:rsidRPr="00CF7968">
        <w:t>Hinta/voitto (P/E)</w:t>
      </w:r>
    </w:p>
    <w:tbl>
      <w:tblPr>
        <w:tblStyle w:val="TableGrid0"/>
        <w:tblW w:w="0" w:type="auto"/>
        <w:tblInd w:w="5" w:type="dxa"/>
        <w:tblLook w:val="04A0"/>
      </w:tblPr>
      <w:tblGrid>
        <w:gridCol w:w="7345"/>
        <w:gridCol w:w="20"/>
      </w:tblGrid>
      <w:tr w14:paraId="3B7043A7" w14:textId="77777777" w:rsidTr="00514B1C">
        <w:tblPrEx>
          <w:tblW w:w="0" w:type="auto"/>
          <w:tblInd w:w="5" w:type="dxa"/>
          <w:tblLook w:val="04A0"/>
        </w:tblPrEx>
        <w:tc>
          <w:tcPr>
            <w:tcW w:w="7361" w:type="dxa"/>
            <w:tcBorders>
              <w:top w:val="nil"/>
              <w:left w:val="nil"/>
              <w:bottom w:val="single" w:sz="4" w:space="0" w:color="auto"/>
              <w:right w:val="nil"/>
            </w:tcBorders>
            <w:hideMark/>
          </w:tcPr>
          <w:p w:rsidR="00514B1C" w:rsidRPr="00CF7968" w14:paraId="4FEAA65B" w14:textId="62A0EF6E">
            <w:pPr>
              <w:pStyle w:val="Bodytext2"/>
            </w:pPr>
            <w:r w:rsidRPr="00CF7968">
              <w:t>oikaistu osakekurssi tilikauden lopussa</w:t>
            </w:r>
          </w:p>
        </w:tc>
        <w:tc>
          <w:tcPr>
            <w:tcW w:w="20" w:type="dxa"/>
            <w:vMerge w:val="restart"/>
            <w:vAlign w:val="center"/>
          </w:tcPr>
          <w:p w:rsidR="00514B1C" w:rsidRPr="00CF7968" w14:paraId="77FCE1D3" w14:textId="77777777">
            <w:pPr>
              <w:pStyle w:val="Bodytext2"/>
            </w:pPr>
          </w:p>
        </w:tc>
      </w:tr>
      <w:tr w14:paraId="1759ED63" w14:textId="77777777" w:rsidTr="00514B1C">
        <w:tblPrEx>
          <w:tblW w:w="0" w:type="auto"/>
          <w:tblInd w:w="5" w:type="dxa"/>
          <w:tblLook w:val="04A0"/>
        </w:tblPrEx>
        <w:tc>
          <w:tcPr>
            <w:tcW w:w="7361" w:type="dxa"/>
            <w:tcBorders>
              <w:top w:val="single" w:sz="4" w:space="0" w:color="auto"/>
              <w:left w:val="nil"/>
              <w:bottom w:val="nil"/>
              <w:right w:val="nil"/>
            </w:tcBorders>
            <w:hideMark/>
          </w:tcPr>
          <w:p w:rsidR="00514B1C" w:rsidRPr="00CF7968" w14:paraId="5CE03C00" w14:textId="5AA9516A">
            <w:pPr>
              <w:pStyle w:val="Bodytext2"/>
            </w:pPr>
            <w:r w:rsidRPr="00CF7968">
              <w:t>tulos/osake (EPS), laimentamaton</w:t>
            </w:r>
          </w:p>
        </w:tc>
        <w:tc>
          <w:tcPr>
            <w:tcW w:w="0" w:type="auto"/>
            <w:vMerge/>
            <w:vAlign w:val="center"/>
            <w:hideMark/>
          </w:tcPr>
          <w:p w:rsidR="00514B1C" w:rsidRPr="00CF7968" w14:paraId="216AC024" w14:textId="77777777">
            <w:pPr>
              <w:spacing w:line="240" w:lineRule="auto"/>
              <w:rPr>
                <w:rFonts w:ascii="Arial" w:hAnsi="Arial" w:cs="Arial"/>
                <w:color w:val="111111"/>
                <w:sz w:val="15"/>
                <w:szCs w:val="17"/>
              </w:rPr>
            </w:pPr>
          </w:p>
        </w:tc>
      </w:tr>
    </w:tbl>
    <w:p w:rsidR="00514B1C" w:rsidRPr="00CF7968" w:rsidP="00514B1C" w14:paraId="6FF4AD4D" w14:textId="77777777">
      <w:pPr>
        <w:pStyle w:val="Bodytext2"/>
        <w:rPr>
          <w:rFonts w:asciiTheme="minorHAnsi" w:hAnsiTheme="minorHAnsi" w:cstheme="minorHAnsi"/>
          <w:lang w:val="fi-FI" w:eastAsia="fi-FI"/>
        </w:rPr>
      </w:pPr>
    </w:p>
    <w:p w:rsidR="00514B1C" w:rsidRPr="00CF7968" w:rsidP="00514B1C" w14:paraId="18A967F9" w14:textId="5F324DA9">
      <w:pPr>
        <w:pStyle w:val="Heading13"/>
        <w:rPr>
          <w:rFonts w:cstheme="minorBidi"/>
          <w:lang w:val="fi-FI"/>
        </w:rPr>
      </w:pPr>
      <w:r w:rsidRPr="00CF7968">
        <w:rPr>
          <w:lang w:val="fi-FI"/>
        </w:rPr>
        <w:t>Hinta/osakekohtainen oma pääoma (P/BV)</w:t>
      </w:r>
    </w:p>
    <w:tbl>
      <w:tblPr>
        <w:tblStyle w:val="TableGrid0"/>
        <w:tblW w:w="0" w:type="auto"/>
        <w:tblInd w:w="5" w:type="dxa"/>
        <w:tblLook w:val="04A0"/>
      </w:tblPr>
      <w:tblGrid>
        <w:gridCol w:w="7345"/>
        <w:gridCol w:w="6"/>
        <w:gridCol w:w="14"/>
      </w:tblGrid>
      <w:tr w14:paraId="4268CA59" w14:textId="77777777" w:rsidTr="002D617A">
        <w:tblPrEx>
          <w:tblW w:w="0" w:type="auto"/>
          <w:tblInd w:w="5" w:type="dxa"/>
          <w:tblLook w:val="04A0"/>
        </w:tblPrEx>
        <w:tc>
          <w:tcPr>
            <w:tcW w:w="7345" w:type="dxa"/>
            <w:tcBorders>
              <w:top w:val="nil"/>
              <w:left w:val="nil"/>
              <w:bottom w:val="single" w:sz="4" w:space="0" w:color="auto"/>
              <w:right w:val="nil"/>
            </w:tcBorders>
            <w:hideMark/>
          </w:tcPr>
          <w:p w:rsidR="00514B1C" w:rsidRPr="00CF7968" w14:paraId="36067ED2" w14:textId="20517DA8">
            <w:pPr>
              <w:pStyle w:val="Bodytext2"/>
            </w:pPr>
            <w:r w:rsidRPr="00CF7968">
              <w:t>oikaistu osakekurssi tilikauden lopussa</w:t>
            </w:r>
          </w:p>
        </w:tc>
        <w:tc>
          <w:tcPr>
            <w:tcW w:w="20" w:type="dxa"/>
            <w:gridSpan w:val="2"/>
            <w:vAlign w:val="center"/>
          </w:tcPr>
          <w:p w:rsidR="00514B1C" w:rsidRPr="00CF7968" w14:paraId="323BFD15" w14:textId="77777777">
            <w:pPr>
              <w:pStyle w:val="Bodytext2"/>
            </w:pPr>
          </w:p>
        </w:tc>
      </w:tr>
      <w:tr w14:paraId="24E9946F" w14:textId="77777777" w:rsidTr="002D617A">
        <w:tblPrEx>
          <w:tblW w:w="0" w:type="auto"/>
          <w:tblInd w:w="5" w:type="dxa"/>
          <w:tblLook w:val="04A0"/>
        </w:tblPrEx>
        <w:trPr>
          <w:gridAfter w:val="1"/>
          <w:wAfter w:w="14" w:type="dxa"/>
        </w:trPr>
        <w:tc>
          <w:tcPr>
            <w:tcW w:w="7345" w:type="dxa"/>
            <w:tcBorders>
              <w:top w:val="single" w:sz="4" w:space="0" w:color="auto"/>
              <w:left w:val="nil"/>
              <w:bottom w:val="nil"/>
              <w:right w:val="nil"/>
            </w:tcBorders>
            <w:hideMark/>
          </w:tcPr>
          <w:p w:rsidR="00514B1C" w14:paraId="49278941" w14:textId="009BE532">
            <w:pPr>
              <w:pStyle w:val="Bodytext2"/>
            </w:pPr>
            <w:r w:rsidRPr="00CF7968">
              <w:t>oma pääoma/osake</w:t>
            </w:r>
          </w:p>
        </w:tc>
        <w:tc>
          <w:tcPr>
            <w:tcW w:w="0" w:type="auto"/>
            <w:vAlign w:val="center"/>
            <w:hideMark/>
          </w:tcPr>
          <w:p w:rsidR="00514B1C" w14:paraId="0CC9630D" w14:textId="77777777">
            <w:pPr>
              <w:spacing w:line="240" w:lineRule="auto"/>
              <w:rPr>
                <w:rFonts w:ascii="Arial" w:hAnsi="Arial" w:cs="Arial"/>
                <w:color w:val="111111"/>
                <w:sz w:val="15"/>
                <w:szCs w:val="17"/>
                <w:lang w:val="en-GB"/>
              </w:rPr>
            </w:pPr>
          </w:p>
        </w:tc>
      </w:tr>
    </w:tbl>
    <w:p w:rsidR="007A4855" w:rsidP="007A4855" w14:paraId="2FF02E55" w14:textId="31119E41">
      <w:pPr>
        <w:pStyle w:val="Bodytext2"/>
        <w:rPr>
          <w:sz w:val="14"/>
          <w:szCs w:val="14"/>
        </w:rPr>
      </w:pPr>
      <w:r>
        <w:rPr>
          <w:sz w:val="14"/>
          <w:szCs w:val="14"/>
        </w:rPr>
        <w:br w:type="page"/>
      </w:r>
    </w:p>
    <w:p w:rsidR="00514B1C" w:rsidRPr="007A4855" w:rsidP="007A4855" w14:paraId="0BF10300" w14:textId="77777777">
      <w:pPr>
        <w:pStyle w:val="Bodytext2"/>
        <w:rPr>
          <w:sz w:val="2"/>
          <w:szCs w:val="2"/>
        </w:rPr>
      </w:pPr>
      <w:r>
        <w:t xml:space="preserve"> </w:t>
      </w:r>
    </w:p>
    <w:p w:rsidR="002642EE" w:rsidP="002642EE" w14:textId="735EBE11">
      <w:pPr>
        <w:pStyle w:val="Heading10"/>
      </w:pPr>
      <w:bookmarkStart w:id="31" w:name="RG_MARKER_7417"/>
      <w:bookmarkStart w:id="32" w:name="RG_MARKER_7298"/>
      <w:bookmarkStart w:id="33" w:name="RG_MARKER_7078"/>
      <w:r>
        <w:t>TILINPÄÄTÖS</w:t>
      </w:r>
      <w:bookmarkEnd w:id="33"/>
      <w:bookmarkEnd w:id="32"/>
      <w:bookmarkEnd w:id="31"/>
    </w:p>
    <w:p w:rsidR="008D299A" w:rsidP="008D299A" w14:paraId="14AE90BC" w14:textId="128B7F1C">
      <w:pPr>
        <w:pStyle w:val="Heading10"/>
      </w:pPr>
      <w:r>
        <w:t>KONSERNITILINPÄÄTÖS</w:t>
      </w:r>
    </w:p>
    <w:p w:rsidR="008D299A" w:rsidRPr="008D299A" w:rsidP="00657085" w14:paraId="0C981218" w14:textId="75A49DF8">
      <w:pPr>
        <w:pStyle w:val="Heading105"/>
        <w:spacing w:after="120"/>
      </w:pPr>
      <w:r>
        <w:t>KONSERNIN TULOSLASKELMA</w:t>
      </w:r>
    </w:p>
    <w:p/>
    <w:tbl>
      <w:tblPr>
        <w:tblStyle w:val="CDMRange1"/>
        <w:tblW w:w="7365" w:type="dxa"/>
        <w:tblLayout w:type="fixed"/>
        <w:tblLook w:val="0600"/>
      </w:tblPr>
      <w:tblGrid>
        <w:gridCol w:w="3885"/>
        <w:gridCol w:w="1200"/>
        <w:gridCol w:w="1200"/>
        <w:gridCol w:w="1080"/>
      </w:tblGrid>
      <w:tr>
        <w:tblPrEx>
          <w:tblW w:w="7365" w:type="dxa"/>
          <w:tblLayout w:type="fixed"/>
          <w:tblLook w:val="0600"/>
        </w:tblPrEx>
        <w:trPr>
          <w:trHeight w:hRule="exact" w:val="240"/>
        </w:trPr>
        <w:tc>
          <w:tcPr>
            <w:tcW w:w="388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0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20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c>
          <w:tcPr>
            <w:tcW w:w="108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Liite</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Liikevaihto</w:t>
            </w:r>
          </w:p>
        </w:tc>
        <w:tc>
          <w:tcPr>
            <w:tcW w:w="120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34" w:name="XBRL_CS_c4199389c7e2413d995ae462624ad815"/>
            <w:bookmarkEnd w:id="34"/>
            <w:bookmarkStart w:id="35" w:name="c4199389c7e2413d995ae462624ad815"/>
            <w:r>
              <w:rPr>
                <w:rFonts w:ascii="Arial" w:eastAsia="Arial" w:hAnsi="Arial" w:cs="Arial"/>
                <w:b/>
                <w:i w:val="0"/>
                <w:strike w:val="0"/>
                <w:color w:val="000000"/>
                <w:sz w:val="13"/>
                <w:u w:val="none"/>
                <w:vertAlign w:val="baseline"/>
              </w:rPr>
              <w:t>4 778</w:t>
            </w:r>
            <w:bookmarkStart w:id="36" w:name="XBRL_CE_c4199389c7e2413d995ae462624ad815"/>
            <w:bookmarkEnd w:id="35"/>
            <w:bookmarkEnd w:id="36"/>
          </w:p>
        </w:tc>
        <w:tc>
          <w:tcPr>
            <w:tcW w:w="120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37" w:name="XBRL_CS_863833b2775041259573c2a99fbfab36"/>
            <w:bookmarkEnd w:id="37"/>
            <w:bookmarkStart w:id="38" w:name="863833b2775041259573c2a99fbfab36"/>
            <w:r>
              <w:rPr>
                <w:rFonts w:ascii="Arial" w:eastAsia="Arial" w:hAnsi="Arial" w:cs="Arial"/>
                <w:b w:val="0"/>
                <w:i w:val="0"/>
                <w:strike w:val="0"/>
                <w:color w:val="000000"/>
                <w:sz w:val="13"/>
                <w:u w:val="none"/>
                <w:vertAlign w:val="baseline"/>
              </w:rPr>
              <w:t>4 604</w:t>
            </w:r>
            <w:bookmarkStart w:id="39" w:name="XBRL_CE_863833b2775041259573c2a99fbfab36"/>
            <w:bookmarkEnd w:id="38"/>
            <w:bookmarkEnd w:id="39"/>
          </w:p>
        </w:tc>
        <w:tc>
          <w:tcPr>
            <w:tcW w:w="108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2.1., 2.2.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Valmiiden ja keskeneräisten tuotteiden varastojen muutos</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40" w:name="XBRL_CS_09f6a044ef4142a3804c4b4907342d9e"/>
            <w:bookmarkEnd w:id="40"/>
            <w:bookmarkStart w:id="41" w:name="09f6a044ef4142a3804c4b4907342d9e"/>
            <w:r>
              <w:rPr>
                <w:rFonts w:ascii="Arial" w:eastAsia="Arial" w:hAnsi="Arial" w:cs="Arial"/>
                <w:b/>
                <w:i w:val="0"/>
                <w:strike w:val="0"/>
                <w:color w:val="000000"/>
                <w:sz w:val="13"/>
                <w:u w:val="none"/>
                <w:vertAlign w:val="baseline"/>
              </w:rPr>
              <w:t>4</w:t>
            </w:r>
            <w:bookmarkStart w:id="42" w:name="XBRL_CE_09f6a044ef4142a3804c4b4907342d9e"/>
            <w:bookmarkEnd w:id="41"/>
            <w:bookmarkEnd w:id="42"/>
          </w:p>
        </w:tc>
        <w:tc>
          <w:tcPr>
            <w:tcW w:w="12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43" w:name="XBRL_CS_e9777631f966437ba9a0def3e1908066"/>
            <w:bookmarkEnd w:id="43"/>
            <w:bookmarkStart w:id="44" w:name="e9777631f966437ba9a0def3e1908066"/>
            <w:r>
              <w:rPr>
                <w:rFonts w:ascii="Arial" w:eastAsia="Arial" w:hAnsi="Arial" w:cs="Arial"/>
                <w:b w:val="0"/>
                <w:i w:val="0"/>
                <w:strike w:val="0"/>
                <w:color w:val="000000"/>
                <w:sz w:val="13"/>
                <w:u w:val="none"/>
                <w:vertAlign w:val="baseline"/>
              </w:rPr>
              <w:t>-104</w:t>
            </w:r>
            <w:bookmarkStart w:id="45" w:name="XBRL_CE_e9777631f966437ba9a0def3e1908066"/>
            <w:bookmarkEnd w:id="44"/>
            <w:bookmarkEnd w:id="45"/>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Valmistus omaan käyttöön</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46" w:name="XBRL_CS_cc113566dca644ff9f4e1069a2cc558f"/>
            <w:bookmarkEnd w:id="46"/>
            <w:bookmarkStart w:id="47" w:name="cc113566dca644ff9f4e1069a2cc558f"/>
            <w:r>
              <w:rPr>
                <w:rFonts w:ascii="Arial" w:eastAsia="Arial" w:hAnsi="Arial" w:cs="Arial"/>
                <w:b/>
                <w:i w:val="0"/>
                <w:strike w:val="0"/>
                <w:color w:val="000000"/>
                <w:sz w:val="13"/>
                <w:u w:val="none"/>
                <w:vertAlign w:val="baseline"/>
              </w:rPr>
              <w:t>18</w:t>
            </w:r>
            <w:bookmarkStart w:id="48" w:name="XBRL_CE_cc113566dca644ff9f4e1069a2cc558f"/>
            <w:bookmarkEnd w:id="47"/>
            <w:bookmarkEnd w:id="48"/>
          </w:p>
        </w:tc>
        <w:tc>
          <w:tcPr>
            <w:tcW w:w="12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49" w:name="XBRL_CS_85f8194a3edb410b8a894df0ac03d1d7"/>
            <w:bookmarkEnd w:id="49"/>
            <w:bookmarkStart w:id="50" w:name="85f8194a3edb410b8a894df0ac03d1d7"/>
            <w:r>
              <w:rPr>
                <w:rFonts w:ascii="Arial" w:eastAsia="Arial" w:hAnsi="Arial" w:cs="Arial"/>
                <w:b w:val="0"/>
                <w:i w:val="0"/>
                <w:strike w:val="0"/>
                <w:color w:val="000000"/>
                <w:sz w:val="13"/>
                <w:u w:val="none"/>
                <w:vertAlign w:val="baseline"/>
              </w:rPr>
              <w:t>19</w:t>
            </w:r>
            <w:bookmarkStart w:id="51" w:name="XBRL_CE_85f8194a3edb410b8a894df0ac03d1d7"/>
            <w:bookmarkEnd w:id="50"/>
            <w:bookmarkEnd w:id="51"/>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Liiketoiminnan muut tuotot</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52" w:name="XBRL_CS_b878c913da8342a985128f6ab8f42a69"/>
            <w:bookmarkEnd w:id="52"/>
            <w:bookmarkStart w:id="53" w:name="b878c913da8342a985128f6ab8f42a69"/>
            <w:r>
              <w:rPr>
                <w:rFonts w:ascii="Arial" w:eastAsia="Arial" w:hAnsi="Arial" w:cs="Arial"/>
                <w:b/>
                <w:i w:val="0"/>
                <w:strike w:val="0"/>
                <w:color w:val="000000"/>
                <w:sz w:val="13"/>
                <w:u w:val="none"/>
                <w:vertAlign w:val="baseline"/>
              </w:rPr>
              <w:t>85</w:t>
            </w:r>
            <w:bookmarkStart w:id="54" w:name="XBRL_CE_b878c913da8342a985128f6ab8f42a69"/>
            <w:bookmarkEnd w:id="53"/>
            <w:bookmarkEnd w:id="54"/>
          </w:p>
        </w:tc>
        <w:tc>
          <w:tcPr>
            <w:tcW w:w="12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55" w:name="XBRL_CS_49d382677b2f43cebd315eeb1ece7b0f"/>
            <w:bookmarkEnd w:id="55"/>
            <w:bookmarkStart w:id="56" w:name="49d382677b2f43cebd315eeb1ece7b0f"/>
            <w:r>
              <w:rPr>
                <w:rFonts w:ascii="Arial" w:eastAsia="Arial" w:hAnsi="Arial" w:cs="Arial"/>
                <w:b w:val="0"/>
                <w:i w:val="0"/>
                <w:strike w:val="0"/>
                <w:color w:val="000000"/>
                <w:sz w:val="13"/>
                <w:u w:val="none"/>
                <w:vertAlign w:val="baseline"/>
              </w:rPr>
              <w:t>61</w:t>
            </w:r>
            <w:bookmarkStart w:id="57" w:name="XBRL_CE_49d382677b2f43cebd315eeb1ece7b0f"/>
            <w:bookmarkEnd w:id="56"/>
            <w:bookmarkEnd w:id="57"/>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2.3.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Materiaalit ja palvelut</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58" w:name="XBRL_CS_d5aa5ae328f8463fb8d8c809a0eedc80"/>
            <w:bookmarkEnd w:id="58"/>
            <w:bookmarkStart w:id="59" w:name="d5aa5ae328f8463fb8d8c809a0eedc80"/>
            <w:r>
              <w:rPr>
                <w:rFonts w:ascii="Arial" w:eastAsia="Arial" w:hAnsi="Arial" w:cs="Arial"/>
                <w:b/>
                <w:i w:val="0"/>
                <w:strike w:val="0"/>
                <w:color w:val="000000"/>
                <w:sz w:val="13"/>
                <w:u w:val="none"/>
                <w:vertAlign w:val="baseline"/>
              </w:rPr>
              <w:t>-2 714</w:t>
            </w:r>
            <w:bookmarkStart w:id="60" w:name="XBRL_CE_d5aa5ae328f8463fb8d8c809a0eedc80"/>
            <w:bookmarkEnd w:id="59"/>
            <w:bookmarkEnd w:id="60"/>
          </w:p>
        </w:tc>
        <w:tc>
          <w:tcPr>
            <w:tcW w:w="12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61" w:name="XBRL_CS_8ade51509f08440db5fbf432a641e72c"/>
            <w:bookmarkEnd w:id="61"/>
            <w:bookmarkStart w:id="62" w:name="8ade51509f08440db5fbf432a641e72c"/>
            <w:r>
              <w:rPr>
                <w:rFonts w:ascii="Arial" w:eastAsia="Arial" w:hAnsi="Arial" w:cs="Arial"/>
                <w:b w:val="0"/>
                <w:i w:val="0"/>
                <w:strike w:val="0"/>
                <w:color w:val="000000"/>
                <w:sz w:val="13"/>
                <w:u w:val="none"/>
                <w:vertAlign w:val="baseline"/>
              </w:rPr>
              <w:t>-2 551</w:t>
            </w:r>
            <w:bookmarkStart w:id="63" w:name="XBRL_CE_8ade51509f08440db5fbf432a641e72c"/>
            <w:bookmarkEnd w:id="62"/>
            <w:bookmarkEnd w:id="63"/>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2.4.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Työsuhde-etuuksista aiheutuvat kulut</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64" w:name="XBRL_CS_d728b76871164e67b9f00e3dde88a9fd"/>
            <w:bookmarkEnd w:id="64"/>
            <w:bookmarkStart w:id="65" w:name="d728b76871164e67b9f00e3dde88a9fd"/>
            <w:r>
              <w:rPr>
                <w:rFonts w:ascii="Arial" w:eastAsia="Arial" w:hAnsi="Arial" w:cs="Arial"/>
                <w:b/>
                <w:i w:val="0"/>
                <w:strike w:val="0"/>
                <w:color w:val="000000"/>
                <w:sz w:val="13"/>
                <w:u w:val="none"/>
                <w:vertAlign w:val="baseline"/>
              </w:rPr>
              <w:t>-1 230</w:t>
            </w:r>
            <w:bookmarkStart w:id="66" w:name="XBRL_CE_d728b76871164e67b9f00e3dde88a9fd"/>
            <w:bookmarkEnd w:id="65"/>
            <w:bookmarkEnd w:id="66"/>
          </w:p>
        </w:tc>
        <w:tc>
          <w:tcPr>
            <w:tcW w:w="12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67" w:name="XBRL_CS_47c6b1ff7126441ab9d9ca442e9e87b7"/>
            <w:bookmarkEnd w:id="67"/>
            <w:bookmarkStart w:id="68" w:name="47c6b1ff7126441ab9d9ca442e9e87b7"/>
            <w:r>
              <w:rPr>
                <w:rFonts w:ascii="Arial" w:eastAsia="Arial" w:hAnsi="Arial" w:cs="Arial"/>
                <w:b w:val="0"/>
                <w:i w:val="0"/>
                <w:strike w:val="0"/>
                <w:color w:val="000000"/>
                <w:sz w:val="13"/>
                <w:u w:val="none"/>
                <w:vertAlign w:val="baseline"/>
              </w:rPr>
              <w:t>-1 192</w:t>
            </w:r>
            <w:bookmarkStart w:id="69" w:name="XBRL_CE_47c6b1ff7126441ab9d9ca442e9e87b7"/>
            <w:bookmarkEnd w:id="68"/>
            <w:bookmarkEnd w:id="69"/>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2.5.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Tuotot nettopositioiden suojista</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70" w:name="XBRL_CS_23116d4593d64553ad6d202f18adcc85"/>
            <w:bookmarkEnd w:id="70"/>
            <w:bookmarkStart w:id="71" w:name="23116d4593d64553ad6d202f18adcc85"/>
            <w:r>
              <w:rPr>
                <w:rFonts w:ascii="Arial" w:eastAsia="Arial" w:hAnsi="Arial" w:cs="Arial"/>
                <w:b/>
                <w:i w:val="0"/>
                <w:strike w:val="0"/>
                <w:color w:val="000000"/>
                <w:sz w:val="13"/>
                <w:u w:val="none"/>
                <w:vertAlign w:val="baseline"/>
              </w:rPr>
              <w:t>-2</w:t>
            </w:r>
            <w:bookmarkStart w:id="72" w:name="XBRL_CE_23116d4593d64553ad6d202f18adcc85"/>
            <w:bookmarkEnd w:id="71"/>
            <w:bookmarkEnd w:id="72"/>
          </w:p>
        </w:tc>
        <w:tc>
          <w:tcPr>
            <w:tcW w:w="12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73" w:name="XBRL_CS_7ece429ffdba482ea034e58b58275c85"/>
            <w:bookmarkEnd w:id="73"/>
            <w:bookmarkStart w:id="74" w:name="7ece429ffdba482ea034e58b58275c85"/>
            <w:r>
              <w:rPr>
                <w:rFonts w:ascii="Arial" w:eastAsia="Arial" w:hAnsi="Arial" w:cs="Arial"/>
                <w:b w:val="0"/>
                <w:i w:val="0"/>
                <w:strike w:val="0"/>
                <w:color w:val="000000"/>
                <w:sz w:val="13"/>
                <w:u w:val="none"/>
                <w:vertAlign w:val="baseline"/>
              </w:rPr>
              <w:t>-1</w:t>
            </w:r>
            <w:bookmarkStart w:id="75" w:name="XBRL_CE_7ece429ffdba482ea034e58b58275c85"/>
            <w:bookmarkEnd w:id="74"/>
            <w:bookmarkEnd w:id="75"/>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Poistot ja arvonalentumiset</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76" w:name="XBRL_CS_33cd3af9cb724d3f8752b6b39e8cdac1"/>
            <w:bookmarkEnd w:id="76"/>
            <w:bookmarkStart w:id="77" w:name="33cd3af9cb724d3f8752b6b39e8cdac1"/>
            <w:r>
              <w:rPr>
                <w:rFonts w:ascii="Arial" w:eastAsia="Arial" w:hAnsi="Arial" w:cs="Arial"/>
                <w:b/>
                <w:i w:val="0"/>
                <w:strike w:val="0"/>
                <w:color w:val="000000"/>
                <w:sz w:val="13"/>
                <w:u w:val="none"/>
                <w:vertAlign w:val="baseline"/>
              </w:rPr>
              <w:t>-162</w:t>
            </w:r>
            <w:bookmarkStart w:id="78" w:name="XBRL_CE_33cd3af9cb724d3f8752b6b39e8cdac1"/>
            <w:bookmarkEnd w:id="77"/>
            <w:bookmarkEnd w:id="78"/>
          </w:p>
        </w:tc>
        <w:tc>
          <w:tcPr>
            <w:tcW w:w="12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79" w:name="XBRL_CS_cdb0c4a6f63c4ce78fc97664606ca38b"/>
            <w:bookmarkEnd w:id="79"/>
            <w:bookmarkStart w:id="80" w:name="cdb0c4a6f63c4ce78fc97664606ca38b"/>
            <w:r>
              <w:rPr>
                <w:rFonts w:ascii="Arial" w:eastAsia="Arial" w:hAnsi="Arial" w:cs="Arial"/>
                <w:b w:val="0"/>
                <w:i w:val="0"/>
                <w:strike w:val="0"/>
                <w:color w:val="000000"/>
                <w:sz w:val="13"/>
                <w:u w:val="none"/>
                <w:vertAlign w:val="baseline"/>
              </w:rPr>
              <w:t>-174</w:t>
            </w:r>
            <w:bookmarkStart w:id="81" w:name="XBRL_CE_cdb0c4a6f63c4ce78fc97664606ca38b"/>
            <w:bookmarkEnd w:id="80"/>
            <w:bookmarkEnd w:id="81"/>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3.5.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nil"/>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Liiketoiminnan muut kulut</w:t>
            </w:r>
          </w:p>
        </w:tc>
        <w:tc>
          <w:tcPr>
            <w:tcW w:w="1200"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2" w:name="XBRL_CS_2b2af4caf0f9446c8f4f5efe332b479e"/>
            <w:bookmarkEnd w:id="82"/>
            <w:bookmarkStart w:id="83" w:name="2b2af4caf0f9446c8f4f5efe332b479e"/>
            <w:r>
              <w:rPr>
                <w:rFonts w:ascii="Arial" w:eastAsia="Arial" w:hAnsi="Arial" w:cs="Arial"/>
                <w:b/>
                <w:i w:val="0"/>
                <w:strike w:val="0"/>
                <w:color w:val="000000"/>
                <w:sz w:val="13"/>
                <w:u w:val="none"/>
                <w:vertAlign w:val="baseline"/>
              </w:rPr>
              <w:t>-467</w:t>
            </w:r>
            <w:bookmarkStart w:id="84" w:name="XBRL_CE_2b2af4caf0f9446c8f4f5efe332b479e"/>
            <w:bookmarkEnd w:id="83"/>
            <w:bookmarkEnd w:id="84"/>
          </w:p>
        </w:tc>
        <w:tc>
          <w:tcPr>
            <w:tcW w:w="1200" w:type="dxa"/>
            <w:tcBorders>
              <w:top w:val="nil"/>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85" w:name="XBRL_CS_cf793b614c7e41c1a1c03534a4e119e8"/>
            <w:bookmarkEnd w:id="85"/>
            <w:bookmarkStart w:id="86" w:name="cf793b614c7e41c1a1c03534a4e119e8"/>
            <w:r>
              <w:rPr>
                <w:rFonts w:ascii="Arial" w:eastAsia="Arial" w:hAnsi="Arial" w:cs="Arial"/>
                <w:b w:val="0"/>
                <w:i w:val="0"/>
                <w:strike w:val="0"/>
                <w:color w:val="000000"/>
                <w:sz w:val="13"/>
                <w:u w:val="none"/>
                <w:vertAlign w:val="baseline"/>
              </w:rPr>
              <w:t>-431</w:t>
            </w:r>
            <w:bookmarkStart w:id="87" w:name="XBRL_CE_cf793b614c7e41c1a1c03534a4e119e8"/>
            <w:bookmarkEnd w:id="86"/>
            <w:bookmarkEnd w:id="87"/>
          </w:p>
        </w:tc>
        <w:tc>
          <w:tcPr>
            <w:tcW w:w="1080" w:type="dxa"/>
            <w:tcBorders>
              <w:top w:val="nil"/>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2.3.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Osuus osakkuus- ja yhteisyritysten tuloksista</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8" w:name="XBRL_CS_c63a93ba36b74759b23269025b3ce449"/>
            <w:bookmarkEnd w:id="88"/>
            <w:bookmarkStart w:id="89" w:name="c63a93ba36b74759b23269025b3ce449"/>
            <w:r>
              <w:rPr>
                <w:rFonts w:ascii="Arial" w:eastAsia="Arial" w:hAnsi="Arial" w:cs="Arial"/>
                <w:b/>
                <w:i w:val="0"/>
                <w:strike w:val="0"/>
                <w:color w:val="000000"/>
                <w:sz w:val="13"/>
                <w:u w:val="none"/>
                <w:vertAlign w:val="baseline"/>
              </w:rPr>
              <w:t>3</w:t>
            </w:r>
            <w:bookmarkStart w:id="90" w:name="XBRL_CE_c63a93ba36b74759b23269025b3ce449"/>
            <w:bookmarkEnd w:id="89"/>
            <w:bookmarkEnd w:id="90"/>
          </w:p>
        </w:tc>
        <w:tc>
          <w:tcPr>
            <w:tcW w:w="12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91" w:name="XBRL_CS_94f82194195c437fa44993d47c824930"/>
            <w:bookmarkEnd w:id="91"/>
            <w:bookmarkStart w:id="92" w:name="94f82194195c437fa44993d47c824930"/>
            <w:r>
              <w:rPr>
                <w:rFonts w:ascii="Arial" w:eastAsia="Arial" w:hAnsi="Arial" w:cs="Arial"/>
                <w:b w:val="0"/>
                <w:i w:val="0"/>
                <w:strike w:val="0"/>
                <w:color w:val="000000"/>
                <w:sz w:val="13"/>
                <w:u w:val="none"/>
                <w:vertAlign w:val="baseline"/>
              </w:rPr>
              <w:t>3</w:t>
            </w:r>
            <w:bookmarkStart w:id="93" w:name="XBRL_CE_94f82194195c437fa44993d47c824930"/>
            <w:bookmarkEnd w:id="92"/>
            <w:bookmarkEnd w:id="93"/>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6.4.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Liiketulos</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4" w:name="XBRL_CS_1f15dc89e2174488b1602b935e1e9fc0"/>
            <w:bookmarkEnd w:id="94"/>
            <w:bookmarkStart w:id="95" w:name="1f15dc89e2174488b1602b935e1e9fc0"/>
            <w:r>
              <w:rPr>
                <w:rFonts w:ascii="Arial" w:eastAsia="Arial" w:hAnsi="Arial" w:cs="Arial"/>
                <w:b/>
                <w:i w:val="0"/>
                <w:strike w:val="0"/>
                <w:color w:val="000000"/>
                <w:sz w:val="13"/>
                <w:u w:val="none"/>
                <w:vertAlign w:val="baseline"/>
              </w:rPr>
              <w:t>314</w:t>
            </w:r>
            <w:bookmarkStart w:id="96" w:name="XBRL_CE_1f15dc89e2174488b1602b935e1e9fc0"/>
            <w:bookmarkEnd w:id="95"/>
            <w:bookmarkEnd w:id="96"/>
          </w:p>
        </w:tc>
        <w:tc>
          <w:tcPr>
            <w:tcW w:w="12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97" w:name="XBRL_CS_89cbb313e8b246d8902484c68c2460fb"/>
            <w:bookmarkEnd w:id="97"/>
            <w:bookmarkStart w:id="98" w:name="89cbb313e8b246d8902484c68c2460fb"/>
            <w:r>
              <w:rPr>
                <w:rFonts w:ascii="Arial" w:eastAsia="Arial" w:hAnsi="Arial" w:cs="Arial"/>
                <w:b w:val="0"/>
                <w:i w:val="0"/>
                <w:strike w:val="0"/>
                <w:color w:val="000000"/>
                <w:sz w:val="13"/>
                <w:u w:val="none"/>
                <w:vertAlign w:val="baseline"/>
              </w:rPr>
              <w:t>234</w:t>
            </w:r>
            <w:bookmarkStart w:id="99" w:name="XBRL_CE_89cbb313e8b246d8902484c68c2460fb"/>
            <w:bookmarkEnd w:id="98"/>
            <w:bookmarkEnd w:id="99"/>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FFFFFF" w:fill="FFFFFF"/>
            <w:noWrap/>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prosentteina liikevaihdosta</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0" w:name="XBRL_CS_c336c4f02fa94eb4ae4c0c7c825d0c72"/>
            <w:bookmarkEnd w:id="100"/>
            <w:bookmarkStart w:id="101" w:name="c336c4f02fa94eb4ae4c0c7c825d0c72"/>
            <w:r>
              <w:rPr>
                <w:rFonts w:ascii="Arial" w:eastAsia="Arial" w:hAnsi="Arial" w:cs="Arial"/>
                <w:b/>
                <w:i w:val="0"/>
                <w:strike w:val="0"/>
                <w:color w:val="000000"/>
                <w:sz w:val="13"/>
                <w:u w:val="none"/>
                <w:vertAlign w:val="baseline"/>
              </w:rPr>
              <w:t>6,6</w:t>
            </w:r>
            <w:bookmarkStart w:id="102" w:name="XBRL_CE_c336c4f02fa94eb4ae4c0c7c825d0c72"/>
            <w:bookmarkEnd w:id="101"/>
            <w:bookmarkEnd w:id="102"/>
          </w:p>
        </w:tc>
        <w:tc>
          <w:tcPr>
            <w:tcW w:w="12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03" w:name="XBRL_CS_3a976e30d0ad4a608642eded5a25e6c8"/>
            <w:bookmarkEnd w:id="103"/>
            <w:bookmarkStart w:id="104" w:name="3a976e30d0ad4a608642eded5a25e6c8"/>
            <w:r>
              <w:rPr>
                <w:rFonts w:ascii="Arial" w:eastAsia="Arial" w:hAnsi="Arial" w:cs="Arial"/>
                <w:b w:val="0"/>
                <w:i w:val="0"/>
                <w:strike w:val="0"/>
                <w:color w:val="000000"/>
                <w:sz w:val="13"/>
                <w:u w:val="none"/>
                <w:vertAlign w:val="baseline"/>
              </w:rPr>
              <w:t>5,1</w:t>
            </w:r>
            <w:bookmarkStart w:id="105" w:name="XBRL_CE_3a976e30d0ad4a608642eded5a25e6c8"/>
            <w:bookmarkEnd w:id="104"/>
            <w:bookmarkEnd w:id="105"/>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Rahoitustuotot</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6" w:name="XBRL_CS_da92fec1a2ae43c3a984355a210774fe"/>
            <w:bookmarkEnd w:id="106"/>
            <w:bookmarkStart w:id="107" w:name="da92fec1a2ae43c3a984355a210774fe"/>
            <w:r>
              <w:rPr>
                <w:rFonts w:ascii="Arial" w:eastAsia="Arial" w:hAnsi="Arial" w:cs="Arial"/>
                <w:b/>
                <w:i w:val="0"/>
                <w:strike w:val="0"/>
                <w:color w:val="000000"/>
                <w:sz w:val="13"/>
                <w:u w:val="none"/>
                <w:vertAlign w:val="baseline"/>
              </w:rPr>
              <w:t>15</w:t>
            </w:r>
            <w:bookmarkStart w:id="108" w:name="XBRL_CE_da92fec1a2ae43c3a984355a210774fe"/>
            <w:bookmarkEnd w:id="107"/>
            <w:bookmarkEnd w:id="108"/>
          </w:p>
        </w:tc>
        <w:tc>
          <w:tcPr>
            <w:tcW w:w="12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09" w:name="XBRL_CS_a7a20b4683d54712a009531a2720673d"/>
            <w:bookmarkEnd w:id="109"/>
            <w:bookmarkStart w:id="110" w:name="a7a20b4683d54712a009531a2720673d"/>
            <w:r>
              <w:rPr>
                <w:rFonts w:ascii="Arial" w:eastAsia="Arial" w:hAnsi="Arial" w:cs="Arial"/>
                <w:b w:val="0"/>
                <w:i w:val="0"/>
                <w:strike w:val="0"/>
                <w:color w:val="000000"/>
                <w:sz w:val="13"/>
                <w:u w:val="none"/>
                <w:vertAlign w:val="baseline"/>
              </w:rPr>
              <w:t>16</w:t>
            </w:r>
            <w:bookmarkStart w:id="111" w:name="XBRL_CE_a7a20b4683d54712a009531a2720673d"/>
            <w:bookmarkEnd w:id="110"/>
            <w:bookmarkEnd w:id="111"/>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5.1.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Rahoituskulut</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12" w:name="XBRL_CS_c6c64b1bc26e4a97a540e19431c9fa4c"/>
            <w:bookmarkEnd w:id="112"/>
            <w:bookmarkStart w:id="113" w:name="c6c64b1bc26e4a97a540e19431c9fa4c"/>
            <w:r>
              <w:rPr>
                <w:rFonts w:ascii="Arial" w:eastAsia="Arial" w:hAnsi="Arial" w:cs="Arial"/>
                <w:b/>
                <w:i w:val="0"/>
                <w:strike w:val="0"/>
                <w:color w:val="000000"/>
                <w:sz w:val="13"/>
                <w:u w:val="none"/>
                <w:vertAlign w:val="baseline"/>
              </w:rPr>
              <w:t>-33</w:t>
            </w:r>
            <w:bookmarkStart w:id="114" w:name="XBRL_CE_c6c64b1bc26e4a97a540e19431c9fa4c"/>
            <w:bookmarkEnd w:id="113"/>
            <w:bookmarkEnd w:id="114"/>
          </w:p>
        </w:tc>
        <w:tc>
          <w:tcPr>
            <w:tcW w:w="12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5" w:name="XBRL_CS_f4940da6aa984e73a7b06328d5318c20"/>
            <w:bookmarkEnd w:id="115"/>
            <w:bookmarkStart w:id="116" w:name="f4940da6aa984e73a7b06328d5318c20"/>
            <w:r>
              <w:rPr>
                <w:rFonts w:ascii="Arial" w:eastAsia="Arial" w:hAnsi="Arial" w:cs="Arial"/>
                <w:b w:val="0"/>
                <w:i w:val="0"/>
                <w:strike w:val="0"/>
                <w:color w:val="000000"/>
                <w:sz w:val="13"/>
                <w:u w:val="none"/>
                <w:vertAlign w:val="baseline"/>
              </w:rPr>
              <w:t>-59</w:t>
            </w:r>
            <w:bookmarkStart w:id="117" w:name="XBRL_CE_f4940da6aa984e73a7b06328d5318c20"/>
            <w:bookmarkEnd w:id="116"/>
            <w:bookmarkEnd w:id="117"/>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5.1.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Tulos ennen veroja</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18" w:name="XBRL_CS_96a13edc12024ac49f0ac68671de5d65"/>
            <w:bookmarkEnd w:id="118"/>
            <w:bookmarkStart w:id="119" w:name="96a13edc12024ac49f0ac68671de5d65"/>
            <w:r>
              <w:rPr>
                <w:rFonts w:ascii="Arial" w:eastAsia="Arial" w:hAnsi="Arial" w:cs="Arial"/>
                <w:b/>
                <w:i w:val="0"/>
                <w:strike w:val="0"/>
                <w:color w:val="000000"/>
                <w:sz w:val="13"/>
                <w:u w:val="none"/>
                <w:vertAlign w:val="baseline"/>
              </w:rPr>
              <w:t>296</w:t>
            </w:r>
            <w:bookmarkStart w:id="120" w:name="XBRL_CE_96a13edc12024ac49f0ac68671de5d65"/>
            <w:bookmarkEnd w:id="119"/>
            <w:bookmarkEnd w:id="120"/>
          </w:p>
        </w:tc>
        <w:tc>
          <w:tcPr>
            <w:tcW w:w="12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1" w:name="XBRL_CS_9238f75578204fa3a2f83ba8e1c87f15"/>
            <w:bookmarkEnd w:id="121"/>
            <w:bookmarkStart w:id="122" w:name="9238f75578204fa3a2f83ba8e1c87f15"/>
            <w:r>
              <w:rPr>
                <w:rFonts w:ascii="Arial" w:eastAsia="Arial" w:hAnsi="Arial" w:cs="Arial"/>
                <w:b w:val="0"/>
                <w:i w:val="0"/>
                <w:strike w:val="0"/>
                <w:color w:val="000000"/>
                <w:sz w:val="13"/>
                <w:u w:val="none"/>
                <w:vertAlign w:val="baseline"/>
              </w:rPr>
              <w:t>191</w:t>
            </w:r>
            <w:bookmarkStart w:id="123" w:name="XBRL_CE_9238f75578204fa3a2f83ba8e1c87f15"/>
            <w:bookmarkEnd w:id="122"/>
            <w:bookmarkEnd w:id="123"/>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center"/>
              <w:rPr>
                <w:rFonts w:ascii="Arial" w:eastAsia="Arial" w:hAnsi="Arial" w:cs="Arial"/>
                <w:b w:val="0"/>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Tuloverot</w:t>
            </w:r>
          </w:p>
        </w:tc>
        <w:tc>
          <w:tcPr>
            <w:tcW w:w="120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24" w:name="XBRL_CS_a82eadc9a7714316a3170a4c56bb22df"/>
            <w:bookmarkEnd w:id="124"/>
            <w:bookmarkStart w:id="125" w:name="a82eadc9a7714316a3170a4c56bb22df"/>
            <w:r>
              <w:rPr>
                <w:rFonts w:ascii="Arial" w:eastAsia="Arial" w:hAnsi="Arial" w:cs="Arial"/>
                <w:b/>
                <w:i w:val="0"/>
                <w:strike w:val="0"/>
                <w:color w:val="000000"/>
                <w:sz w:val="13"/>
                <w:u w:val="none"/>
                <w:vertAlign w:val="baseline"/>
              </w:rPr>
              <w:t>-103</w:t>
            </w:r>
            <w:bookmarkStart w:id="126" w:name="XBRL_CE_a82eadc9a7714316a3170a4c56bb22df"/>
            <w:bookmarkEnd w:id="125"/>
            <w:bookmarkEnd w:id="126"/>
          </w:p>
        </w:tc>
        <w:tc>
          <w:tcPr>
            <w:tcW w:w="120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7" w:name="XBRL_CS_a5c33a12be4d458c8b225138f258504d"/>
            <w:bookmarkEnd w:id="127"/>
            <w:bookmarkStart w:id="128" w:name="a5c33a12be4d458c8b225138f258504d"/>
            <w:r>
              <w:rPr>
                <w:rFonts w:ascii="Arial" w:eastAsia="Arial" w:hAnsi="Arial" w:cs="Arial"/>
                <w:b w:val="0"/>
                <w:i w:val="0"/>
                <w:strike w:val="0"/>
                <w:color w:val="000000"/>
                <w:sz w:val="13"/>
                <w:u w:val="none"/>
                <w:vertAlign w:val="baseline"/>
              </w:rPr>
              <w:t>-58</w:t>
            </w:r>
            <w:bookmarkStart w:id="129" w:name="XBRL_CE_a5c33a12be4d458c8b225138f258504d"/>
            <w:bookmarkEnd w:id="128"/>
            <w:bookmarkEnd w:id="129"/>
          </w:p>
        </w:tc>
        <w:tc>
          <w:tcPr>
            <w:tcW w:w="108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2.6.</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Tilikauden tulos</w:t>
            </w:r>
          </w:p>
        </w:tc>
        <w:tc>
          <w:tcPr>
            <w:tcW w:w="120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30" w:name="XBRL_CS_9d57b394652d4fcba2c95c077aaa649c"/>
            <w:bookmarkEnd w:id="130"/>
            <w:bookmarkStart w:id="131" w:name="9d57b394652d4fcba2c95c077aaa649c"/>
            <w:r>
              <w:rPr>
                <w:rFonts w:ascii="Arial" w:eastAsia="Arial" w:hAnsi="Arial" w:cs="Arial"/>
                <w:b/>
                <w:i w:val="0"/>
                <w:strike w:val="0"/>
                <w:color w:val="000000"/>
                <w:sz w:val="13"/>
                <w:u w:val="none"/>
                <w:vertAlign w:val="baseline"/>
              </w:rPr>
              <w:t>193</w:t>
            </w:r>
            <w:bookmarkStart w:id="132" w:name="XBRL_CE_9d57b394652d4fcba2c95c077aaa649c"/>
            <w:bookmarkEnd w:id="131"/>
            <w:bookmarkEnd w:id="132"/>
          </w:p>
        </w:tc>
        <w:tc>
          <w:tcPr>
            <w:tcW w:w="1200"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3" w:name="XBRL_CS_0fd6060633d145c793892c8eb0d1e8d8"/>
            <w:bookmarkEnd w:id="133"/>
            <w:bookmarkStart w:id="134" w:name="0fd6060633d145c793892c8eb0d1e8d8"/>
            <w:r>
              <w:rPr>
                <w:rFonts w:ascii="Arial" w:eastAsia="Arial" w:hAnsi="Arial" w:cs="Arial"/>
                <w:b w:val="0"/>
                <w:i w:val="0"/>
                <w:strike w:val="0"/>
                <w:color w:val="000000"/>
                <w:sz w:val="13"/>
                <w:u w:val="none"/>
                <w:vertAlign w:val="baseline"/>
              </w:rPr>
              <w:t>133</w:t>
            </w:r>
            <w:bookmarkStart w:id="135" w:name="XBRL_CE_0fd6060633d145c793892c8eb0d1e8d8"/>
            <w:bookmarkEnd w:id="134"/>
            <w:bookmarkEnd w:id="135"/>
          </w:p>
        </w:tc>
        <w:tc>
          <w:tcPr>
            <w:tcW w:w="1080" w:type="dxa"/>
            <w:tcBorders>
              <w:top w:val="single" w:sz="8" w:space="0" w:color="0F172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0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Jakautuminen:</w:t>
            </w: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FFFFFF" w:fill="FFFFFF"/>
            <w:noWrap/>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emoyhtiön osakkeenomistajat</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36" w:name="XBRL_CS_cc5b9aab9cb941629c0e8a5a720a3262"/>
            <w:bookmarkEnd w:id="136"/>
            <w:bookmarkStart w:id="137" w:name="cc5b9aab9cb941629c0e8a5a720a3262"/>
            <w:r>
              <w:rPr>
                <w:rFonts w:ascii="Arial" w:eastAsia="Arial" w:hAnsi="Arial" w:cs="Arial"/>
                <w:b/>
                <w:i w:val="0"/>
                <w:strike w:val="0"/>
                <w:color w:val="000000"/>
                <w:sz w:val="13"/>
                <w:u w:val="none"/>
                <w:vertAlign w:val="baseline"/>
              </w:rPr>
              <w:t>194</w:t>
            </w:r>
            <w:bookmarkStart w:id="138" w:name="XBRL_CE_cc5b9aab9cb941629c0e8a5a720a3262"/>
            <w:bookmarkEnd w:id="137"/>
            <w:bookmarkEnd w:id="138"/>
          </w:p>
        </w:tc>
        <w:tc>
          <w:tcPr>
            <w:tcW w:w="12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9" w:name="XBRL_CS_eb50c303419546738d6a944b08225b9a"/>
            <w:bookmarkEnd w:id="139"/>
            <w:bookmarkStart w:id="140" w:name="eb50c303419546738d6a944b08225b9a"/>
            <w:r>
              <w:rPr>
                <w:rFonts w:ascii="Arial" w:eastAsia="Arial" w:hAnsi="Arial" w:cs="Arial"/>
                <w:b w:val="0"/>
                <w:i w:val="0"/>
                <w:strike w:val="0"/>
                <w:color w:val="000000"/>
                <w:sz w:val="13"/>
                <w:u w:val="none"/>
                <w:vertAlign w:val="baseline"/>
              </w:rPr>
              <w:t>134</w:t>
            </w:r>
            <w:bookmarkStart w:id="141" w:name="XBRL_CE_eb50c303419546738d6a944b08225b9a"/>
            <w:bookmarkEnd w:id="140"/>
            <w:bookmarkEnd w:id="141"/>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2.7.</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8" w:space="0" w:color="0F172B"/>
              <w:right w:val="nil"/>
              <w:tl2br w:val="nil"/>
              <w:tr2bl w:val="nil"/>
            </w:tcBorders>
            <w:shd w:val="clear" w:color="FFFFFF" w:fill="FFFFFF"/>
            <w:noWrap/>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määräysvallattomat omistajat</w:t>
            </w:r>
          </w:p>
        </w:tc>
        <w:tc>
          <w:tcPr>
            <w:tcW w:w="120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bookmarkStart w:id="142" w:name="XBRL_CS_db3fdb93c8dd4de6a1bc37a7f8f6a70f"/>
            <w:bookmarkEnd w:id="142"/>
            <w:bookmarkStart w:id="143" w:name="db3fdb93c8dd4de6a1bc37a7f8f6a70f"/>
            <w:r>
              <w:rPr>
                <w:rFonts w:ascii="Arial" w:eastAsia="Arial" w:hAnsi="Arial" w:cs="Arial"/>
                <w:b/>
                <w:i w:val="0"/>
                <w:strike w:val="0"/>
                <w:color w:val="E7EBED"/>
                <w:sz w:val="13"/>
                <w:u w:val="none"/>
                <w:vertAlign w:val="baseline"/>
              </w:rPr>
              <w:t>0</w:t>
            </w:r>
            <w:bookmarkStart w:id="144" w:name="XBRL_CE_db3fdb93c8dd4de6a1bc37a7f8f6a70f"/>
            <w:bookmarkEnd w:id="143"/>
            <w:bookmarkEnd w:id="144"/>
          </w:p>
        </w:tc>
        <w:tc>
          <w:tcPr>
            <w:tcW w:w="120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45" w:name="XBRL_CS_37292ea6befa4422924c816db298395f"/>
            <w:bookmarkEnd w:id="145"/>
            <w:bookmarkStart w:id="146" w:name="37292ea6befa4422924c816db298395f"/>
            <w:r>
              <w:rPr>
                <w:rFonts w:ascii="Arial" w:eastAsia="Arial" w:hAnsi="Arial" w:cs="Arial"/>
                <w:b w:val="0"/>
                <w:i w:val="0"/>
                <w:strike w:val="0"/>
                <w:color w:val="000000"/>
                <w:sz w:val="13"/>
                <w:u w:val="none"/>
                <w:vertAlign w:val="baseline"/>
              </w:rPr>
              <w:t>-1</w:t>
            </w:r>
            <w:bookmarkStart w:id="147" w:name="XBRL_CE_37292ea6befa4422924c816db298395f"/>
            <w:bookmarkEnd w:id="146"/>
            <w:bookmarkEnd w:id="147"/>
          </w:p>
        </w:tc>
        <w:tc>
          <w:tcPr>
            <w:tcW w:w="1080"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0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48" w:name="XBRL_CS_d7a6a8054d9241c4bd534007bec8505b"/>
            <w:bookmarkEnd w:id="148"/>
            <w:bookmarkStart w:id="149" w:name="d7a6a8054d9241c4bd534007bec8505b"/>
            <w:r>
              <w:rPr>
                <w:rFonts w:ascii="Arial" w:eastAsia="Arial" w:hAnsi="Arial" w:cs="Arial"/>
                <w:b/>
                <w:i w:val="0"/>
                <w:strike w:val="0"/>
                <w:color w:val="000000"/>
                <w:sz w:val="13"/>
                <w:u w:val="none"/>
                <w:vertAlign w:val="baseline"/>
              </w:rPr>
              <w:t>193</w:t>
            </w:r>
            <w:bookmarkStart w:id="150" w:name="XBRL_CE_d7a6a8054d9241c4bd534007bec8505b"/>
            <w:bookmarkEnd w:id="149"/>
            <w:bookmarkEnd w:id="150"/>
          </w:p>
        </w:tc>
        <w:tc>
          <w:tcPr>
            <w:tcW w:w="120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51" w:name="XBRL_CS_04d0742f72b04ab6bed859ccd62b1abf"/>
            <w:bookmarkEnd w:id="151"/>
            <w:bookmarkStart w:id="152" w:name="04d0742f72b04ab6bed859ccd62b1abf"/>
            <w:r>
              <w:rPr>
                <w:rFonts w:ascii="Arial" w:eastAsia="Arial" w:hAnsi="Arial" w:cs="Arial"/>
                <w:b w:val="0"/>
                <w:i w:val="0"/>
                <w:strike w:val="0"/>
                <w:color w:val="000000"/>
                <w:sz w:val="13"/>
                <w:u w:val="none"/>
                <w:vertAlign w:val="baseline"/>
              </w:rPr>
              <w:t>133</w:t>
            </w:r>
            <w:bookmarkStart w:id="153" w:name="XBRL_CE_04d0742f72b04ab6bed859ccd62b1abf"/>
            <w:bookmarkEnd w:id="152"/>
            <w:bookmarkEnd w:id="153"/>
          </w:p>
        </w:tc>
        <w:tc>
          <w:tcPr>
            <w:tcW w:w="108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Emoyhtiön osakkeenomistajille kuuluva osakekohtainen tulos:</w:t>
            </w: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FFFFFF" w:fill="FFFFFF"/>
            <w:noWrap w:val="0"/>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Tulos/osake (EPS), laimentamaton, euroa</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54" w:name="XBRL_CS_bb77e55a1e8442daadac2d05a675c735"/>
            <w:bookmarkEnd w:id="154"/>
            <w:bookmarkStart w:id="155" w:name="bb77e55a1e8442daadac2d05a675c735"/>
            <w:r>
              <w:rPr>
                <w:rFonts w:ascii="Arial" w:eastAsia="Arial" w:hAnsi="Arial" w:cs="Arial"/>
                <w:b/>
                <w:i w:val="0"/>
                <w:strike w:val="0"/>
                <w:color w:val="000000"/>
                <w:sz w:val="13"/>
                <w:u w:val="none"/>
                <w:vertAlign w:val="baseline"/>
              </w:rPr>
              <w:t>0,33</w:t>
            </w:r>
            <w:bookmarkStart w:id="156" w:name="XBRL_CE_bb77e55a1e8442daadac2d05a675c735"/>
            <w:bookmarkEnd w:id="155"/>
            <w:bookmarkEnd w:id="156"/>
          </w:p>
        </w:tc>
        <w:tc>
          <w:tcPr>
            <w:tcW w:w="12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57" w:name="XBRL_CS_195fd1ee6fd84a0d9a6cf13f0216ddfc"/>
            <w:bookmarkEnd w:id="157"/>
            <w:bookmarkStart w:id="158" w:name="195fd1ee6fd84a0d9a6cf13f0216ddfc"/>
            <w:r>
              <w:rPr>
                <w:rFonts w:ascii="Arial" w:eastAsia="Arial" w:hAnsi="Arial" w:cs="Arial"/>
                <w:b w:val="0"/>
                <w:i w:val="0"/>
                <w:strike w:val="0"/>
                <w:color w:val="000000"/>
                <w:sz w:val="13"/>
                <w:u w:val="none"/>
                <w:vertAlign w:val="baseline"/>
              </w:rPr>
              <w:t>0,23</w:t>
            </w:r>
            <w:bookmarkStart w:id="159" w:name="XBRL_CE_195fd1ee6fd84a0d9a6cf13f0216ddfc"/>
            <w:bookmarkEnd w:id="158"/>
            <w:bookmarkEnd w:id="159"/>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2.7.</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FFFFFF" w:fill="FFFFFF"/>
            <w:noWrap w:val="0"/>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Tulos/osake (EPS), laimennettu, euroa</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60" w:name="XBRL_CS_0998d8b5bcc24410bc7e742b11d7d29b"/>
            <w:bookmarkEnd w:id="160"/>
            <w:bookmarkStart w:id="161" w:name="0998d8b5bcc24410bc7e742b11d7d29b"/>
            <w:r>
              <w:rPr>
                <w:rFonts w:ascii="Arial" w:eastAsia="Arial" w:hAnsi="Arial" w:cs="Arial"/>
                <w:b/>
                <w:i w:val="0"/>
                <w:strike w:val="0"/>
                <w:color w:val="000000"/>
                <w:sz w:val="13"/>
                <w:u w:val="none"/>
                <w:vertAlign w:val="baseline"/>
              </w:rPr>
              <w:t>0,33</w:t>
            </w:r>
            <w:bookmarkStart w:id="162" w:name="XBRL_CE_0998d8b5bcc24410bc7e742b11d7d29b"/>
            <w:bookmarkEnd w:id="161"/>
            <w:bookmarkEnd w:id="162"/>
          </w:p>
        </w:tc>
        <w:tc>
          <w:tcPr>
            <w:tcW w:w="12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63" w:name="XBRL_CS_9f8c954cd64b4b538bee4680ac6f379a"/>
            <w:bookmarkEnd w:id="163"/>
            <w:bookmarkStart w:id="164" w:name="9f8c954cd64b4b538bee4680ac6f379a"/>
            <w:r>
              <w:rPr>
                <w:rFonts w:ascii="Arial" w:eastAsia="Arial" w:hAnsi="Arial" w:cs="Arial"/>
                <w:b w:val="0"/>
                <w:i w:val="0"/>
                <w:strike w:val="0"/>
                <w:color w:val="000000"/>
                <w:sz w:val="13"/>
                <w:u w:val="none"/>
                <w:vertAlign w:val="baseline"/>
              </w:rPr>
              <w:t>-</w:t>
            </w:r>
            <w:bookmarkStart w:id="165" w:name="XBRL_CE_9f8c954cd64b4b538bee4680ac6f379a"/>
            <w:bookmarkEnd w:id="164"/>
            <w:bookmarkEnd w:id="165"/>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2.7.</w:t>
            </w:r>
          </w:p>
        </w:tc>
      </w:tr>
    </w:tbl>
    <w:p w:rsidR="00573F67" w:rsidP="007579DC" w14:paraId="1D9511CA" w14:textId="77777777">
      <w:pPr>
        <w:pStyle w:val="Bodytext2"/>
        <w:rPr>
          <w:lang w:val="fi-FI"/>
        </w:rPr>
      </w:pPr>
      <w:bookmarkStart w:id="166" w:name="RG_MARKER_7418"/>
      <w:bookmarkEnd w:id="166"/>
    </w:p>
    <w:p w:rsidR="004A0DF2" w:rsidRPr="007579DC" w:rsidP="007579DC" w14:paraId="6C839A69" w14:textId="24A308CB">
      <w:pPr>
        <w:pStyle w:val="Bodytext2"/>
        <w:rPr>
          <w:sz w:val="2"/>
          <w:szCs w:val="2"/>
          <w:lang w:val="fi-FI"/>
        </w:rPr>
      </w:pPr>
      <w:r w:rsidRPr="007579DC">
        <w:rPr>
          <w:lang w:val="fi-FI"/>
        </w:rPr>
        <w:t>Liitetiedot ovat osa tätä tilinpäätöstä.</w:t>
      </w:r>
      <w:r w:rsidRPr="007579DC">
        <w:rPr>
          <w:sz w:val="2"/>
          <w:szCs w:val="2"/>
          <w:lang w:val="fi-FI"/>
        </w:rPr>
        <w:br w:type="column"/>
      </w:r>
    </w:p>
    <w:p w:rsidR="004A0DF2" w:rsidRPr="002642EE" w:rsidP="005A3332" w14:textId="6E2F0769">
      <w:pPr>
        <w:pStyle w:val="Heading105"/>
        <w:spacing w:after="120"/>
      </w:pPr>
      <w:bookmarkStart w:id="167" w:name="RG_MARKER_7419"/>
      <w:r>
        <w:t>LAAJA TULOSLASKELMA</w:t>
      </w:r>
      <w:bookmarkEnd w:id="167"/>
    </w:p>
    <w:p/>
    <w:tbl>
      <w:tblPr>
        <w:tblStyle w:val="CDMRange2"/>
        <w:tblW w:w="7365" w:type="dxa"/>
        <w:tblLayout w:type="fixed"/>
        <w:tblLook w:val="0600"/>
      </w:tblPr>
      <w:tblGrid>
        <w:gridCol w:w="3885"/>
        <w:gridCol w:w="1200"/>
        <w:gridCol w:w="1200"/>
        <w:gridCol w:w="1080"/>
      </w:tblGrid>
      <w:tr>
        <w:tblPrEx>
          <w:tblW w:w="7365" w:type="dxa"/>
          <w:tblLayout w:type="fixed"/>
          <w:tblLook w:val="0600"/>
        </w:tblPrEx>
        <w:trPr>
          <w:trHeight w:hRule="exact" w:val="240"/>
        </w:trPr>
        <w:tc>
          <w:tcPr>
            <w:tcW w:w="388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0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20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c>
          <w:tcPr>
            <w:tcW w:w="108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Liite</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Tilikauden tulos</w:t>
            </w:r>
          </w:p>
        </w:tc>
        <w:tc>
          <w:tcPr>
            <w:tcW w:w="120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68" w:name="XBRL_CS_6eed26988d754b3b931c2cf0dff752ff"/>
            <w:bookmarkEnd w:id="168"/>
            <w:bookmarkStart w:id="169" w:name="6eed26988d754b3b931c2cf0dff752ff"/>
            <w:r>
              <w:rPr>
                <w:rFonts w:ascii="Arial" w:eastAsia="Arial" w:hAnsi="Arial" w:cs="Arial"/>
                <w:b/>
                <w:i w:val="0"/>
                <w:strike w:val="0"/>
                <w:color w:val="000000"/>
                <w:sz w:val="13"/>
                <w:u w:val="none"/>
                <w:vertAlign w:val="baseline"/>
              </w:rPr>
              <w:t>193</w:t>
            </w:r>
            <w:bookmarkStart w:id="170" w:name="XBRL_CE_6eed26988d754b3b931c2cf0dff752ff"/>
            <w:bookmarkEnd w:id="169"/>
            <w:bookmarkEnd w:id="170"/>
          </w:p>
        </w:tc>
        <w:tc>
          <w:tcPr>
            <w:tcW w:w="120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71" w:name="XBRL_CS_d80703bc62084664bbb5c68a914fdc5d"/>
            <w:bookmarkEnd w:id="171"/>
            <w:bookmarkStart w:id="172" w:name="d80703bc62084664bbb5c68a914fdc5d"/>
            <w:r>
              <w:rPr>
                <w:rFonts w:ascii="Arial" w:eastAsia="Arial" w:hAnsi="Arial" w:cs="Arial"/>
                <w:b w:val="0"/>
                <w:i w:val="0"/>
                <w:strike w:val="0"/>
                <w:color w:val="000000"/>
                <w:sz w:val="13"/>
                <w:u w:val="none"/>
                <w:vertAlign w:val="baseline"/>
              </w:rPr>
              <w:t>133</w:t>
            </w:r>
            <w:bookmarkStart w:id="173" w:name="XBRL_CE_d80703bc62084664bbb5c68a914fdc5d"/>
            <w:bookmarkEnd w:id="172"/>
            <w:bookmarkEnd w:id="173"/>
          </w:p>
        </w:tc>
        <w:tc>
          <w:tcPr>
            <w:tcW w:w="108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Muut laajan tuloksen erät verojen jälkeen:</w:t>
            </w: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Erät, joita ei siirretä tulosvaikutteisiksi</w:t>
            </w: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Etuuspohjaisen nettovelan uudelleenmäärittämisestä johtuvat erät</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74" w:name="XBRL_CS_b189f3f138f5463bb0c06df12a8bdc11"/>
            <w:bookmarkEnd w:id="174"/>
            <w:bookmarkStart w:id="175" w:name="b189f3f138f5463bb0c06df12a8bdc11"/>
            <w:r>
              <w:rPr>
                <w:rFonts w:ascii="Arial" w:eastAsia="Arial" w:hAnsi="Arial" w:cs="Arial"/>
                <w:b/>
                <w:i w:val="0"/>
                <w:strike w:val="0"/>
                <w:color w:val="000000"/>
                <w:sz w:val="13"/>
                <w:u w:val="none"/>
                <w:vertAlign w:val="baseline"/>
              </w:rPr>
              <w:t>10</w:t>
            </w:r>
            <w:bookmarkStart w:id="176" w:name="XBRL_CE_b189f3f138f5463bb0c06df12a8bdc11"/>
            <w:bookmarkEnd w:id="175"/>
            <w:bookmarkEnd w:id="176"/>
          </w:p>
        </w:tc>
        <w:tc>
          <w:tcPr>
            <w:tcW w:w="12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77" w:name="XBRL_CS_86c16928b1e64d2cb14b4746edd9fd46"/>
            <w:bookmarkEnd w:id="177"/>
            <w:bookmarkStart w:id="178" w:name="86c16928b1e64d2cb14b4746edd9fd46"/>
            <w:r>
              <w:rPr>
                <w:rFonts w:ascii="Arial" w:eastAsia="Arial" w:hAnsi="Arial" w:cs="Arial"/>
                <w:b w:val="0"/>
                <w:i w:val="0"/>
                <w:strike w:val="0"/>
                <w:color w:val="000000"/>
                <w:sz w:val="13"/>
                <w:u w:val="none"/>
                <w:vertAlign w:val="baseline"/>
              </w:rPr>
              <w:t>6</w:t>
            </w:r>
            <w:bookmarkStart w:id="179" w:name="XBRL_CE_86c16928b1e64d2cb14b4746edd9fd46"/>
            <w:bookmarkEnd w:id="178"/>
            <w:bookmarkEnd w:id="179"/>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Verot eristä, joita ei siirretä tulosvaikutteisiksi</w:t>
            </w:r>
          </w:p>
        </w:tc>
        <w:tc>
          <w:tcPr>
            <w:tcW w:w="120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80" w:name="XBRL_CS_3d48ca9060de44f68a41833ec07091f4"/>
            <w:bookmarkEnd w:id="180"/>
            <w:bookmarkStart w:id="181" w:name="3d48ca9060de44f68a41833ec07091f4"/>
            <w:r>
              <w:rPr>
                <w:rFonts w:ascii="Arial" w:eastAsia="Arial" w:hAnsi="Arial" w:cs="Arial"/>
                <w:b/>
                <w:i w:val="0"/>
                <w:strike w:val="0"/>
                <w:color w:val="000000"/>
                <w:sz w:val="13"/>
                <w:u w:val="none"/>
                <w:vertAlign w:val="baseline"/>
              </w:rPr>
              <w:t>-2</w:t>
            </w:r>
            <w:bookmarkStart w:id="182" w:name="XBRL_CE_3d48ca9060de44f68a41833ec07091f4"/>
            <w:bookmarkEnd w:id="181"/>
            <w:bookmarkEnd w:id="182"/>
          </w:p>
        </w:tc>
        <w:tc>
          <w:tcPr>
            <w:tcW w:w="120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83" w:name="XBRL_CS_9866b29f73424b1b92aeb0fb2b66f723"/>
            <w:bookmarkEnd w:id="183"/>
            <w:bookmarkStart w:id="184" w:name="9866b29f73424b1b92aeb0fb2b66f723"/>
            <w:r>
              <w:rPr>
                <w:rFonts w:ascii="Arial" w:eastAsia="Arial" w:hAnsi="Arial" w:cs="Arial"/>
                <w:b w:val="0"/>
                <w:i w:val="0"/>
                <w:strike w:val="0"/>
                <w:color w:val="000000"/>
                <w:sz w:val="13"/>
                <w:u w:val="none"/>
                <w:vertAlign w:val="baseline"/>
              </w:rPr>
              <w:t>-1</w:t>
            </w:r>
            <w:bookmarkStart w:id="185" w:name="XBRL_CE_9866b29f73424b1b92aeb0fb2b66f723"/>
            <w:bookmarkEnd w:id="184"/>
            <w:bookmarkEnd w:id="185"/>
          </w:p>
        </w:tc>
        <w:tc>
          <w:tcPr>
            <w:tcW w:w="1080"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Erät, joita ei siirretä tulosvaikutteisiksi, yhteensä</w:t>
            </w:r>
          </w:p>
        </w:tc>
        <w:tc>
          <w:tcPr>
            <w:tcW w:w="120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86" w:name="XBRL_CS_4fd81dcb1f9e4ce39e2496043793ad20"/>
            <w:bookmarkEnd w:id="186"/>
            <w:bookmarkStart w:id="187" w:name="4fd81dcb1f9e4ce39e2496043793ad20"/>
            <w:r>
              <w:rPr>
                <w:rFonts w:ascii="Arial" w:eastAsia="Arial" w:hAnsi="Arial" w:cs="Arial"/>
                <w:b/>
                <w:i w:val="0"/>
                <w:strike w:val="0"/>
                <w:color w:val="000000"/>
                <w:sz w:val="13"/>
                <w:u w:val="none"/>
                <w:vertAlign w:val="baseline"/>
              </w:rPr>
              <w:t>9</w:t>
            </w:r>
            <w:bookmarkStart w:id="188" w:name="XBRL_CE_4fd81dcb1f9e4ce39e2496043793ad20"/>
            <w:bookmarkEnd w:id="187"/>
            <w:bookmarkEnd w:id="188"/>
          </w:p>
        </w:tc>
        <w:tc>
          <w:tcPr>
            <w:tcW w:w="120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89" w:name="XBRL_CS_fb0fef97c8524a6b8154255eac6bb36b"/>
            <w:bookmarkEnd w:id="189"/>
            <w:bookmarkStart w:id="190" w:name="fb0fef97c8524a6b8154255eac6bb36b"/>
            <w:r>
              <w:rPr>
                <w:rFonts w:ascii="Arial" w:eastAsia="Arial" w:hAnsi="Arial" w:cs="Arial"/>
                <w:b w:val="0"/>
                <w:i w:val="0"/>
                <w:strike w:val="0"/>
                <w:color w:val="000000"/>
                <w:sz w:val="13"/>
                <w:u w:val="none"/>
                <w:vertAlign w:val="baseline"/>
              </w:rPr>
              <w:t>5</w:t>
            </w:r>
            <w:bookmarkStart w:id="191" w:name="XBRL_CE_fb0fef97c8524a6b8154255eac6bb36b"/>
            <w:bookmarkEnd w:id="190"/>
            <w:bookmarkEnd w:id="191"/>
          </w:p>
        </w:tc>
        <w:tc>
          <w:tcPr>
            <w:tcW w:w="108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Erät, jotka saatetaan myöhemmin siirtää tulosvaikutteisiksi</w:t>
            </w: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Muuntoerot</w:t>
            </w: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FFFFFF" w:fill="FFFFFF"/>
            <w:noWrap/>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emoyhtiön osakkeenomistajille kuuluva osuus</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92" w:name="XBRL_CS_670f5ffb02c94cc08ec0c7d49c68a25d"/>
            <w:bookmarkEnd w:id="192"/>
            <w:bookmarkStart w:id="193" w:name="670f5ffb02c94cc08ec0c7d49c68a25d"/>
            <w:r>
              <w:rPr>
                <w:rFonts w:ascii="Arial" w:eastAsia="Arial" w:hAnsi="Arial" w:cs="Arial"/>
                <w:b/>
                <w:i w:val="0"/>
                <w:strike w:val="0"/>
                <w:color w:val="000000"/>
                <w:sz w:val="13"/>
                <w:u w:val="none"/>
                <w:vertAlign w:val="baseline"/>
              </w:rPr>
              <w:t>72</w:t>
            </w:r>
            <w:bookmarkStart w:id="194" w:name="XBRL_CE_670f5ffb02c94cc08ec0c7d49c68a25d"/>
            <w:bookmarkEnd w:id="193"/>
            <w:bookmarkEnd w:id="194"/>
          </w:p>
        </w:tc>
        <w:tc>
          <w:tcPr>
            <w:tcW w:w="12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95" w:name="XBRL_CS_e1b65fe8e3f447cc9942b6e5b85cd91b"/>
            <w:bookmarkEnd w:id="195"/>
            <w:bookmarkStart w:id="196" w:name="e1b65fe8e3f447cc9942b6e5b85cd91b"/>
            <w:r>
              <w:rPr>
                <w:rFonts w:ascii="Arial" w:eastAsia="Arial" w:hAnsi="Arial" w:cs="Arial"/>
                <w:b w:val="0"/>
                <w:i w:val="0"/>
                <w:strike w:val="0"/>
                <w:color w:val="000000"/>
                <w:sz w:val="13"/>
                <w:u w:val="none"/>
                <w:vertAlign w:val="baseline"/>
              </w:rPr>
              <w:t>-74</w:t>
            </w:r>
            <w:bookmarkStart w:id="197" w:name="XBRL_CE_e1b65fe8e3f447cc9942b6e5b85cd91b"/>
            <w:bookmarkEnd w:id="196"/>
            <w:bookmarkEnd w:id="197"/>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FFFFFF" w:fill="FFFFFF"/>
            <w:noWrap/>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määräysvallattomien omistajien osuus</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98" w:name="XBRL_CS_ed43eb2f36bf461e8ef83ece66f3791a"/>
            <w:bookmarkEnd w:id="198"/>
            <w:bookmarkStart w:id="199" w:name="ed43eb2f36bf461e8ef83ece66f3791a"/>
            <w:r>
              <w:rPr>
                <w:rFonts w:ascii="Arial" w:eastAsia="Arial" w:hAnsi="Arial" w:cs="Arial"/>
                <w:b/>
                <w:i w:val="0"/>
                <w:strike w:val="0"/>
                <w:color w:val="000000"/>
                <w:sz w:val="13"/>
                <w:u w:val="none"/>
                <w:vertAlign w:val="baseline"/>
              </w:rPr>
              <w:t>-1</w:t>
            </w:r>
            <w:bookmarkStart w:id="200" w:name="XBRL_CE_ed43eb2f36bf461e8ef83ece66f3791a"/>
            <w:bookmarkEnd w:id="199"/>
            <w:bookmarkEnd w:id="200"/>
          </w:p>
        </w:tc>
        <w:tc>
          <w:tcPr>
            <w:tcW w:w="12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201" w:name="XBRL_CS_a2d8abc715c34b6380a867b9124456e7"/>
            <w:bookmarkEnd w:id="201"/>
            <w:bookmarkStart w:id="202" w:name="a2d8abc715c34b6380a867b9124456e7"/>
            <w:r>
              <w:rPr>
                <w:rFonts w:ascii="Arial" w:eastAsia="Arial" w:hAnsi="Arial" w:cs="Arial"/>
                <w:b w:val="0"/>
                <w:i w:val="0"/>
                <w:strike w:val="0"/>
                <w:color w:val="000000"/>
                <w:sz w:val="13"/>
                <w:u w:val="none"/>
                <w:vertAlign w:val="baseline"/>
              </w:rPr>
              <w:t>-1</w:t>
            </w:r>
            <w:bookmarkStart w:id="203" w:name="XBRL_CE_a2d8abc715c34b6380a867b9124456e7"/>
            <w:bookmarkEnd w:id="202"/>
            <w:bookmarkEnd w:id="203"/>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FFFFFF" w:fill="FFFFFF"/>
            <w:noWrap/>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siirretty tuloslaskelmaan</w:t>
            </w: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204" w:name="XBRL_CS_a6112ecd69fa43e797f7c602271d0914"/>
            <w:bookmarkEnd w:id="204"/>
            <w:bookmarkStart w:id="205" w:name="a6112ecd69fa43e797f7c602271d0914"/>
            <w:bookmarkStart w:id="206" w:name="XBRL_CE_a6112ecd69fa43e797f7c602271d0914"/>
            <w:bookmarkEnd w:id="205"/>
            <w:bookmarkEnd w:id="206"/>
          </w:p>
        </w:tc>
        <w:tc>
          <w:tcPr>
            <w:tcW w:w="12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207" w:name="XBRL_CS_c53b2f17ca5f42ec87f33123e811f4b0"/>
            <w:bookmarkEnd w:id="207"/>
            <w:bookmarkStart w:id="208" w:name="c53b2f17ca5f42ec87f33123e811f4b0"/>
            <w:r>
              <w:rPr>
                <w:rFonts w:ascii="Arial" w:eastAsia="Arial" w:hAnsi="Arial" w:cs="Arial"/>
                <w:b w:val="0"/>
                <w:i w:val="0"/>
                <w:strike w:val="0"/>
                <w:color w:val="000000"/>
                <w:sz w:val="13"/>
                <w:u w:val="none"/>
                <w:vertAlign w:val="baseline"/>
              </w:rPr>
              <w:t>-6</w:t>
            </w:r>
            <w:bookmarkStart w:id="209" w:name="XBRL_CE_c53b2f17ca5f42ec87f33123e811f4b0"/>
            <w:bookmarkEnd w:id="208"/>
            <w:bookmarkEnd w:id="209"/>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Osakkuus- ja yhteisyritysten osuus laajasta tuloksesta</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210" w:name="XBRL_CS_5232c3918f8245acaf0e05d64fde58a8"/>
            <w:bookmarkEnd w:id="210"/>
            <w:bookmarkStart w:id="211" w:name="5232c3918f8245acaf0e05d64fde58a8"/>
            <w:r>
              <w:rPr>
                <w:rFonts w:ascii="Arial" w:eastAsia="Arial" w:hAnsi="Arial" w:cs="Arial"/>
                <w:b/>
                <w:i w:val="0"/>
                <w:strike w:val="0"/>
                <w:color w:val="000000"/>
                <w:sz w:val="13"/>
                <w:u w:val="none"/>
                <w:vertAlign w:val="baseline"/>
              </w:rPr>
              <w:t>3</w:t>
            </w:r>
            <w:bookmarkStart w:id="212" w:name="XBRL_CE_5232c3918f8245acaf0e05d64fde58a8"/>
            <w:bookmarkEnd w:id="211"/>
            <w:bookmarkEnd w:id="212"/>
          </w:p>
        </w:tc>
        <w:tc>
          <w:tcPr>
            <w:tcW w:w="12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213" w:name="XBRL_CS_fe06667f6eb34307ae223f48d0af4aac"/>
            <w:bookmarkEnd w:id="213"/>
            <w:bookmarkStart w:id="214" w:name="fe06667f6eb34307ae223f48d0af4aac"/>
            <w:r>
              <w:rPr>
                <w:rFonts w:ascii="Arial" w:eastAsia="Arial" w:hAnsi="Arial" w:cs="Arial"/>
                <w:b w:val="0"/>
                <w:i w:val="0"/>
                <w:strike w:val="0"/>
                <w:color w:val="000000"/>
                <w:sz w:val="13"/>
                <w:u w:val="none"/>
                <w:vertAlign w:val="baseline"/>
              </w:rPr>
              <w:t>-2</w:t>
            </w:r>
            <w:bookmarkStart w:id="215" w:name="XBRL_CE_fe06667f6eb34307ae223f48d0af4aac"/>
            <w:bookmarkEnd w:id="214"/>
            <w:bookmarkEnd w:id="215"/>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nil"/>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Rahavirran suojaukset</w:t>
            </w:r>
          </w:p>
        </w:tc>
        <w:tc>
          <w:tcPr>
            <w:tcW w:w="1200"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nil"/>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nil"/>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FFFFFF" w:fill="FFFFFF"/>
            <w:noWrap w:val="0"/>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arvonmuutokset</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216" w:name="XBRL_CS_2b2bc83554834d518829e4cca125f3b4"/>
            <w:bookmarkEnd w:id="216"/>
            <w:bookmarkStart w:id="217" w:name="2b2bc83554834d518829e4cca125f3b4"/>
            <w:r>
              <w:rPr>
                <w:rFonts w:ascii="Arial" w:eastAsia="Arial" w:hAnsi="Arial" w:cs="Arial"/>
                <w:b/>
                <w:i w:val="0"/>
                <w:strike w:val="0"/>
                <w:color w:val="000000"/>
                <w:sz w:val="13"/>
                <w:u w:val="none"/>
                <w:vertAlign w:val="baseline"/>
              </w:rPr>
              <w:t>-13</w:t>
            </w:r>
            <w:bookmarkStart w:id="218" w:name="XBRL_CE_2b2bc83554834d518829e4cca125f3b4"/>
            <w:bookmarkEnd w:id="217"/>
            <w:bookmarkEnd w:id="218"/>
          </w:p>
        </w:tc>
        <w:tc>
          <w:tcPr>
            <w:tcW w:w="12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219" w:name="XBRL_CS_36e0d8840968423b92267325d347507e"/>
            <w:bookmarkEnd w:id="219"/>
            <w:bookmarkStart w:id="220" w:name="36e0d8840968423b92267325d347507e"/>
            <w:r>
              <w:rPr>
                <w:rFonts w:ascii="Arial" w:eastAsia="Arial" w:hAnsi="Arial" w:cs="Arial"/>
                <w:b w:val="0"/>
                <w:i w:val="0"/>
                <w:strike w:val="0"/>
                <w:color w:val="000000"/>
                <w:sz w:val="13"/>
                <w:u w:val="none"/>
                <w:vertAlign w:val="baseline"/>
              </w:rPr>
              <w:t>-3</w:t>
            </w:r>
            <w:bookmarkStart w:id="221" w:name="XBRL_CE_36e0d8840968423b92267325d347507e"/>
            <w:bookmarkEnd w:id="220"/>
            <w:bookmarkEnd w:id="221"/>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5.5.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FFFFFF" w:fill="FFFFFF"/>
            <w:noWrap w:val="0"/>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siirretty tuloslaskelmaan</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222" w:name="XBRL_CS_a46011f2fddb4c758206379e91bfce9b"/>
            <w:bookmarkEnd w:id="222"/>
            <w:bookmarkStart w:id="223" w:name="a46011f2fddb4c758206379e91bfce9b"/>
            <w:r>
              <w:rPr>
                <w:rFonts w:ascii="Arial" w:eastAsia="Arial" w:hAnsi="Arial" w:cs="Arial"/>
                <w:b/>
                <w:i w:val="0"/>
                <w:strike w:val="0"/>
                <w:color w:val="000000"/>
                <w:sz w:val="13"/>
                <w:u w:val="none"/>
                <w:vertAlign w:val="baseline"/>
              </w:rPr>
              <w:t>4</w:t>
            </w:r>
            <w:bookmarkStart w:id="224" w:name="XBRL_CE_a46011f2fddb4c758206379e91bfce9b"/>
            <w:bookmarkEnd w:id="223"/>
            <w:bookmarkEnd w:id="224"/>
          </w:p>
        </w:tc>
        <w:tc>
          <w:tcPr>
            <w:tcW w:w="12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225" w:name="XBRL_CS_fe0e960456d641efb6d98e007b4cdff2"/>
            <w:bookmarkEnd w:id="225"/>
            <w:bookmarkStart w:id="226" w:name="fe0e960456d641efb6d98e007b4cdff2"/>
            <w:r>
              <w:rPr>
                <w:rFonts w:ascii="Arial" w:eastAsia="Arial" w:hAnsi="Arial" w:cs="Arial"/>
                <w:b w:val="0"/>
                <w:i w:val="0"/>
                <w:strike w:val="0"/>
                <w:color w:val="000000"/>
                <w:sz w:val="13"/>
                <w:u w:val="none"/>
                <w:vertAlign w:val="baseline"/>
              </w:rPr>
              <w:t>6</w:t>
            </w:r>
            <w:bookmarkStart w:id="227" w:name="XBRL_CE_fe0e960456d641efb6d98e007b4cdff2"/>
            <w:bookmarkEnd w:id="226"/>
            <w:bookmarkEnd w:id="227"/>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Verot eristä, jotka saatetaan myöhemmin siirtää tulosvaikutteisiksi</w:t>
            </w: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nil"/>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Rahavirran suojaukset</w:t>
            </w:r>
          </w:p>
        </w:tc>
        <w:tc>
          <w:tcPr>
            <w:tcW w:w="1200"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nil"/>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nil"/>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FFFFFF" w:fill="FFFFFF"/>
            <w:noWrap w:val="0"/>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arvonmuutokset</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228" w:name="XBRL_CS_39143d09ec674b54b4ce43c74d056af1"/>
            <w:bookmarkEnd w:id="228"/>
            <w:bookmarkStart w:id="229" w:name="39143d09ec674b54b4ce43c74d056af1"/>
            <w:r>
              <w:rPr>
                <w:rFonts w:ascii="Arial" w:eastAsia="Arial" w:hAnsi="Arial" w:cs="Arial"/>
                <w:b/>
                <w:i w:val="0"/>
                <w:strike w:val="0"/>
                <w:color w:val="000000"/>
                <w:sz w:val="13"/>
                <w:u w:val="none"/>
                <w:vertAlign w:val="baseline"/>
              </w:rPr>
              <w:t>2</w:t>
            </w:r>
            <w:bookmarkStart w:id="230" w:name="XBRL_CE_39143d09ec674b54b4ce43c74d056af1"/>
            <w:bookmarkEnd w:id="229"/>
            <w:bookmarkEnd w:id="230"/>
          </w:p>
        </w:tc>
        <w:tc>
          <w:tcPr>
            <w:tcW w:w="120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8" w:space="0" w:color="0F172B"/>
              <w:right w:val="nil"/>
              <w:tl2br w:val="nil"/>
              <w:tr2bl w:val="nil"/>
            </w:tcBorders>
            <w:shd w:val="clear" w:color="FFFFFF" w:fill="FFFFFF"/>
            <w:noWrap w:val="0"/>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siirretty tuloslaskelmaan</w:t>
            </w:r>
          </w:p>
        </w:tc>
        <w:tc>
          <w:tcPr>
            <w:tcW w:w="120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231" w:name="XBRL_CS_890ae40a7d2d48b794416c27ed050c74"/>
            <w:bookmarkEnd w:id="231"/>
            <w:bookmarkStart w:id="232" w:name="890ae40a7d2d48b794416c27ed050c74"/>
            <w:r>
              <w:rPr>
                <w:rFonts w:ascii="Arial" w:eastAsia="Arial" w:hAnsi="Arial" w:cs="Arial"/>
                <w:b/>
                <w:i w:val="0"/>
                <w:strike w:val="0"/>
                <w:color w:val="000000"/>
                <w:sz w:val="13"/>
                <w:u w:val="none"/>
                <w:vertAlign w:val="baseline"/>
              </w:rPr>
              <w:t>-1</w:t>
            </w:r>
            <w:bookmarkStart w:id="233" w:name="XBRL_CE_890ae40a7d2d48b794416c27ed050c74"/>
            <w:bookmarkEnd w:id="232"/>
            <w:bookmarkEnd w:id="233"/>
          </w:p>
        </w:tc>
        <w:tc>
          <w:tcPr>
            <w:tcW w:w="120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234" w:name="XBRL_CS_e1b7e3dc51574252ab5138894a3bce43"/>
            <w:bookmarkEnd w:id="234"/>
            <w:bookmarkStart w:id="235" w:name="e1b7e3dc51574252ab5138894a3bce43"/>
            <w:r>
              <w:rPr>
                <w:rFonts w:ascii="Arial" w:eastAsia="Arial" w:hAnsi="Arial" w:cs="Arial"/>
                <w:b w:val="0"/>
                <w:i w:val="0"/>
                <w:strike w:val="0"/>
                <w:color w:val="000000"/>
                <w:sz w:val="13"/>
                <w:u w:val="none"/>
                <w:vertAlign w:val="baseline"/>
              </w:rPr>
              <w:t>-1</w:t>
            </w:r>
            <w:bookmarkStart w:id="236" w:name="XBRL_CE_e1b7e3dc51574252ab5138894a3bce43"/>
            <w:bookmarkEnd w:id="235"/>
            <w:bookmarkEnd w:id="236"/>
          </w:p>
        </w:tc>
        <w:tc>
          <w:tcPr>
            <w:tcW w:w="1080"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Erät, jotka saatetaan myöhemmin siirtää tulosvaikutteisiksi, yhteensä</w:t>
            </w:r>
          </w:p>
        </w:tc>
        <w:tc>
          <w:tcPr>
            <w:tcW w:w="120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237" w:name="XBRL_CS_31df15d0faf7495bb953cfdccfe7fb0c"/>
            <w:bookmarkEnd w:id="237"/>
            <w:bookmarkStart w:id="238" w:name="31df15d0faf7495bb953cfdccfe7fb0c"/>
            <w:r>
              <w:rPr>
                <w:rFonts w:ascii="Arial" w:eastAsia="Arial" w:hAnsi="Arial" w:cs="Arial"/>
                <w:b/>
                <w:i w:val="0"/>
                <w:strike w:val="0"/>
                <w:color w:val="000000"/>
                <w:sz w:val="13"/>
                <w:u w:val="none"/>
                <w:vertAlign w:val="baseline"/>
              </w:rPr>
              <w:t>65</w:t>
            </w:r>
            <w:bookmarkStart w:id="239" w:name="XBRL_CE_31df15d0faf7495bb953cfdccfe7fb0c"/>
            <w:bookmarkEnd w:id="238"/>
            <w:bookmarkEnd w:id="239"/>
          </w:p>
        </w:tc>
        <w:tc>
          <w:tcPr>
            <w:tcW w:w="120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240" w:name="XBRL_CS_16ecfde25ac64e5db85e43f6cec36dd9"/>
            <w:bookmarkEnd w:id="240"/>
            <w:bookmarkStart w:id="241" w:name="16ecfde25ac64e5db85e43f6cec36dd9"/>
            <w:r>
              <w:rPr>
                <w:rFonts w:ascii="Arial" w:eastAsia="Arial" w:hAnsi="Arial" w:cs="Arial"/>
                <w:b w:val="0"/>
                <w:i w:val="0"/>
                <w:strike w:val="0"/>
                <w:color w:val="000000"/>
                <w:sz w:val="13"/>
                <w:u w:val="none"/>
                <w:vertAlign w:val="baseline"/>
              </w:rPr>
              <w:t>-81</w:t>
            </w:r>
            <w:bookmarkStart w:id="242" w:name="XBRL_CE_16ecfde25ac64e5db85e43f6cec36dd9"/>
            <w:bookmarkEnd w:id="241"/>
            <w:bookmarkEnd w:id="242"/>
          </w:p>
        </w:tc>
        <w:tc>
          <w:tcPr>
            <w:tcW w:w="108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Tilikauden muut laajan tuloksen erät verojen jälkeen</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243" w:name="XBRL_CS_9d5aa370282c4a45926a1eb1079f5105"/>
            <w:bookmarkEnd w:id="243"/>
            <w:bookmarkStart w:id="244" w:name="9d5aa370282c4a45926a1eb1079f5105"/>
            <w:r>
              <w:rPr>
                <w:rFonts w:ascii="Arial" w:eastAsia="Arial" w:hAnsi="Arial" w:cs="Arial"/>
                <w:b/>
                <w:i w:val="0"/>
                <w:strike w:val="0"/>
                <w:color w:val="000000"/>
                <w:sz w:val="13"/>
                <w:u w:val="none"/>
                <w:vertAlign w:val="baseline"/>
              </w:rPr>
              <w:t>73</w:t>
            </w:r>
            <w:bookmarkStart w:id="245" w:name="XBRL_CE_9d5aa370282c4a45926a1eb1079f5105"/>
            <w:bookmarkEnd w:id="244"/>
            <w:bookmarkEnd w:id="245"/>
          </w:p>
        </w:tc>
        <w:tc>
          <w:tcPr>
            <w:tcW w:w="12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246" w:name="XBRL_CS_ba314b925f2b48929fb8d75419270010"/>
            <w:bookmarkEnd w:id="246"/>
            <w:bookmarkStart w:id="247" w:name="ba314b925f2b48929fb8d75419270010"/>
            <w:r>
              <w:rPr>
                <w:rFonts w:ascii="Arial" w:eastAsia="Arial" w:hAnsi="Arial" w:cs="Arial"/>
                <w:b w:val="0"/>
                <w:i w:val="0"/>
                <w:strike w:val="0"/>
                <w:color w:val="000000"/>
                <w:sz w:val="13"/>
                <w:u w:val="none"/>
                <w:vertAlign w:val="baseline"/>
              </w:rPr>
              <w:t>-76</w:t>
            </w:r>
            <w:bookmarkStart w:id="248" w:name="XBRL_CE_ba314b925f2b48929fb8d75419270010"/>
            <w:bookmarkEnd w:id="247"/>
            <w:bookmarkEnd w:id="248"/>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0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8" w:space="0" w:color="0F172B"/>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Tilikauden laaja tulos yhteensä</w:t>
            </w:r>
          </w:p>
        </w:tc>
        <w:tc>
          <w:tcPr>
            <w:tcW w:w="120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249" w:name="XBRL_CS_73c9f8c3e2e64975a2c79bb2af01bad4"/>
            <w:bookmarkEnd w:id="249"/>
            <w:bookmarkStart w:id="250" w:name="73c9f8c3e2e64975a2c79bb2af01bad4"/>
            <w:r>
              <w:rPr>
                <w:rFonts w:ascii="Arial" w:eastAsia="Arial" w:hAnsi="Arial" w:cs="Arial"/>
                <w:b/>
                <w:i w:val="0"/>
                <w:strike w:val="0"/>
                <w:color w:val="000000"/>
                <w:sz w:val="13"/>
                <w:u w:val="none"/>
                <w:vertAlign w:val="baseline"/>
              </w:rPr>
              <w:t>267</w:t>
            </w:r>
            <w:bookmarkStart w:id="251" w:name="XBRL_CE_73c9f8c3e2e64975a2c79bb2af01bad4"/>
            <w:bookmarkEnd w:id="250"/>
            <w:bookmarkEnd w:id="251"/>
          </w:p>
        </w:tc>
        <w:tc>
          <w:tcPr>
            <w:tcW w:w="1200"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252" w:name="XBRL_CS_2562d237186d4c989fd64a8c5bade1f5"/>
            <w:bookmarkEnd w:id="252"/>
            <w:bookmarkStart w:id="253" w:name="2562d237186d4c989fd64a8c5bade1f5"/>
            <w:r>
              <w:rPr>
                <w:rFonts w:ascii="Arial" w:eastAsia="Arial" w:hAnsi="Arial" w:cs="Arial"/>
                <w:b w:val="0"/>
                <w:i w:val="0"/>
                <w:strike w:val="0"/>
                <w:color w:val="000000"/>
                <w:sz w:val="13"/>
                <w:u w:val="none"/>
                <w:vertAlign w:val="baseline"/>
              </w:rPr>
              <w:t>57</w:t>
            </w:r>
            <w:bookmarkStart w:id="254" w:name="XBRL_CE_2562d237186d4c989fd64a8c5bade1f5"/>
            <w:bookmarkEnd w:id="253"/>
            <w:bookmarkEnd w:id="254"/>
          </w:p>
        </w:tc>
        <w:tc>
          <w:tcPr>
            <w:tcW w:w="1080" w:type="dxa"/>
            <w:tcBorders>
              <w:top w:val="single" w:sz="8" w:space="0" w:color="0F172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0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Laajan tuloksen jakautuminen:</w:t>
            </w: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FFFFFF" w:fill="FFFFFF"/>
            <w:noWrap/>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emoyhtiön osakkeenomistajat</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255" w:name="XBRL_CS_ca1351c60d9e460a87c6cce79e897108"/>
            <w:bookmarkEnd w:id="255"/>
            <w:bookmarkStart w:id="256" w:name="ca1351c60d9e460a87c6cce79e897108"/>
            <w:r>
              <w:rPr>
                <w:rFonts w:ascii="Arial" w:eastAsia="Arial" w:hAnsi="Arial" w:cs="Arial"/>
                <w:b/>
                <w:i w:val="0"/>
                <w:strike w:val="0"/>
                <w:color w:val="000000"/>
                <w:sz w:val="13"/>
                <w:u w:val="none"/>
                <w:vertAlign w:val="baseline"/>
              </w:rPr>
              <w:t>268</w:t>
            </w:r>
            <w:bookmarkStart w:id="257" w:name="XBRL_CE_ca1351c60d9e460a87c6cce79e897108"/>
            <w:bookmarkEnd w:id="256"/>
            <w:bookmarkEnd w:id="257"/>
          </w:p>
        </w:tc>
        <w:tc>
          <w:tcPr>
            <w:tcW w:w="12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258" w:name="XBRL_CS_019b2b0bba554f36821c9a08688f7cc7"/>
            <w:bookmarkEnd w:id="258"/>
            <w:bookmarkStart w:id="259" w:name="019b2b0bba554f36821c9a08688f7cc7"/>
            <w:r>
              <w:rPr>
                <w:rFonts w:ascii="Arial" w:eastAsia="Arial" w:hAnsi="Arial" w:cs="Arial"/>
                <w:b w:val="0"/>
                <w:i w:val="0"/>
                <w:strike w:val="0"/>
                <w:color w:val="000000"/>
                <w:sz w:val="13"/>
                <w:u w:val="none"/>
                <w:vertAlign w:val="baseline"/>
              </w:rPr>
              <w:t>59</w:t>
            </w:r>
            <w:bookmarkStart w:id="260" w:name="XBRL_CE_019b2b0bba554f36821c9a08688f7cc7"/>
            <w:bookmarkEnd w:id="259"/>
            <w:bookmarkEnd w:id="260"/>
          </w:p>
        </w:tc>
        <w:tc>
          <w:tcPr>
            <w:tcW w:w="108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8" w:space="0" w:color="0F172B"/>
              <w:right w:val="nil"/>
              <w:tl2br w:val="nil"/>
              <w:tr2bl w:val="nil"/>
            </w:tcBorders>
            <w:shd w:val="clear" w:color="FFFFFF" w:fill="FFFFFF"/>
            <w:noWrap/>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määräysvallattomat omistajat</w:t>
            </w:r>
          </w:p>
        </w:tc>
        <w:tc>
          <w:tcPr>
            <w:tcW w:w="120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261" w:name="XBRL_CS_9a8d312037b148d9ac3f2fa617a47f6c"/>
            <w:bookmarkEnd w:id="261"/>
            <w:bookmarkStart w:id="262" w:name="9a8d312037b148d9ac3f2fa617a47f6c"/>
            <w:r>
              <w:rPr>
                <w:rFonts w:ascii="Arial" w:eastAsia="Arial" w:hAnsi="Arial" w:cs="Arial"/>
                <w:b/>
                <w:i w:val="0"/>
                <w:strike w:val="0"/>
                <w:color w:val="000000"/>
                <w:sz w:val="13"/>
                <w:u w:val="none"/>
                <w:vertAlign w:val="baseline"/>
              </w:rPr>
              <w:t>-1</w:t>
            </w:r>
            <w:bookmarkStart w:id="263" w:name="XBRL_CE_9a8d312037b148d9ac3f2fa617a47f6c"/>
            <w:bookmarkEnd w:id="262"/>
            <w:bookmarkEnd w:id="263"/>
          </w:p>
        </w:tc>
        <w:tc>
          <w:tcPr>
            <w:tcW w:w="120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264" w:name="XBRL_CS_15ffa72b3fdb48b4a4fcbd9a7b06c12a"/>
            <w:bookmarkEnd w:id="264"/>
            <w:bookmarkStart w:id="265" w:name="15ffa72b3fdb48b4a4fcbd9a7b06c12a"/>
            <w:r>
              <w:rPr>
                <w:rFonts w:ascii="Arial" w:eastAsia="Arial" w:hAnsi="Arial" w:cs="Arial"/>
                <w:b w:val="0"/>
                <w:i w:val="0"/>
                <w:strike w:val="0"/>
                <w:color w:val="000000"/>
                <w:sz w:val="13"/>
                <w:u w:val="none"/>
                <w:vertAlign w:val="baseline"/>
              </w:rPr>
              <w:t>-1</w:t>
            </w:r>
            <w:bookmarkStart w:id="266" w:name="XBRL_CE_15ffa72b3fdb48b4a4fcbd9a7b06c12a"/>
            <w:bookmarkEnd w:id="265"/>
            <w:bookmarkEnd w:id="266"/>
          </w:p>
        </w:tc>
        <w:tc>
          <w:tcPr>
            <w:tcW w:w="1080"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0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267" w:name="XBRL_CS_4f99d937c8064b5fb44f1510efb9ca5b"/>
            <w:bookmarkEnd w:id="267"/>
            <w:bookmarkStart w:id="268" w:name="4f99d937c8064b5fb44f1510efb9ca5b"/>
            <w:r>
              <w:rPr>
                <w:rFonts w:ascii="Arial" w:eastAsia="Arial" w:hAnsi="Arial" w:cs="Arial"/>
                <w:b/>
                <w:i w:val="0"/>
                <w:strike w:val="0"/>
                <w:color w:val="000000"/>
                <w:sz w:val="13"/>
                <w:u w:val="none"/>
                <w:vertAlign w:val="baseline"/>
              </w:rPr>
              <w:t>267</w:t>
            </w:r>
            <w:bookmarkStart w:id="269" w:name="XBRL_CE_4f99d937c8064b5fb44f1510efb9ca5b"/>
            <w:bookmarkEnd w:id="268"/>
            <w:bookmarkEnd w:id="269"/>
          </w:p>
        </w:tc>
        <w:tc>
          <w:tcPr>
            <w:tcW w:w="120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270" w:name="XBRL_CS_512f3814ea584aea9025216f526bfd0d"/>
            <w:bookmarkEnd w:id="270"/>
            <w:bookmarkStart w:id="271" w:name="512f3814ea584aea9025216f526bfd0d"/>
            <w:r>
              <w:rPr>
                <w:rFonts w:ascii="Arial" w:eastAsia="Arial" w:hAnsi="Arial" w:cs="Arial"/>
                <w:b w:val="0"/>
                <w:i w:val="0"/>
                <w:strike w:val="0"/>
                <w:color w:val="000000"/>
                <w:sz w:val="13"/>
                <w:u w:val="none"/>
                <w:vertAlign w:val="baseline"/>
              </w:rPr>
              <w:t>57</w:t>
            </w:r>
            <w:bookmarkStart w:id="272" w:name="XBRL_CE_512f3814ea584aea9025216f526bfd0d"/>
            <w:bookmarkEnd w:id="271"/>
            <w:bookmarkEnd w:id="272"/>
          </w:p>
        </w:tc>
        <w:tc>
          <w:tcPr>
            <w:tcW w:w="108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bl>
    <w:p w:rsidR="003B1B22" w:rsidP="002642EE" w14:paraId="6ED6D4EA" w14:textId="77777777">
      <w:pPr>
        <w:pStyle w:val="Bodytext2"/>
        <w:rPr>
          <w:lang w:val="fi-FI"/>
        </w:rPr>
      </w:pPr>
      <w:bookmarkStart w:id="273" w:name="RG_MARKER_7425"/>
      <w:bookmarkEnd w:id="273"/>
    </w:p>
    <w:p w:rsidR="004A0DF2" w:rsidRPr="007C6D01" w:rsidP="002642EE" w14:textId="38AA0D8E">
      <w:pPr>
        <w:pStyle w:val="Bodytext2"/>
        <w:rPr>
          <w:sz w:val="2"/>
          <w:szCs w:val="2"/>
          <w:lang w:val="fi-FI"/>
        </w:rPr>
      </w:pPr>
      <w:r w:rsidRPr="007C6D01">
        <w:rPr>
          <w:lang w:val="fi-FI"/>
        </w:rPr>
        <w:t>Liitetiedot ovat osa tätä tilinpäätöstä.</w:t>
      </w:r>
      <w:r w:rsidRPr="007C6D01">
        <w:rPr>
          <w:sz w:val="2"/>
          <w:szCs w:val="2"/>
          <w:lang w:val="fi-FI"/>
        </w:rPr>
        <w:br w:type="column"/>
      </w:r>
    </w:p>
    <w:p w:rsidR="004A0DF2" w:rsidRPr="002642EE" w:rsidP="007B7277" w14:textId="53BAB780">
      <w:pPr>
        <w:pStyle w:val="Heading105"/>
        <w:spacing w:after="120"/>
      </w:pPr>
      <w:bookmarkStart w:id="274" w:name="RG_MARKER_7420"/>
      <w:r>
        <w:t>KONSERNIN TASE</w:t>
      </w:r>
      <w:bookmarkEnd w:id="274"/>
    </w:p>
    <w:p/>
    <w:tbl>
      <w:tblPr>
        <w:tblStyle w:val="CDMRange1"/>
        <w:tblW w:w="7365" w:type="dxa"/>
        <w:tblLayout w:type="fixed"/>
        <w:tblLook w:val="0600"/>
      </w:tblPr>
      <w:tblGrid>
        <w:gridCol w:w="3885"/>
        <w:gridCol w:w="1200"/>
        <w:gridCol w:w="1200"/>
        <w:gridCol w:w="1080"/>
      </w:tblGrid>
      <w:tr>
        <w:tblPrEx>
          <w:tblW w:w="7365" w:type="dxa"/>
          <w:tblLayout w:type="fixed"/>
          <w:tblLook w:val="0600"/>
        </w:tblPrEx>
        <w:trPr>
          <w:trHeight w:hRule="exact" w:val="240"/>
        </w:trPr>
        <w:tc>
          <w:tcPr>
            <w:tcW w:w="388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0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31.12.2021</w:t>
            </w:r>
          </w:p>
        </w:tc>
        <w:tc>
          <w:tcPr>
            <w:tcW w:w="120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31.12.2020</w:t>
            </w:r>
          </w:p>
        </w:tc>
        <w:tc>
          <w:tcPr>
            <w:tcW w:w="108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Liite</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88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Varat</w:t>
            </w:r>
          </w:p>
        </w:tc>
        <w:tc>
          <w:tcPr>
            <w:tcW w:w="1200" w:type="dxa"/>
            <w:tcBorders>
              <w:top w:val="single" w:sz="8" w:space="0" w:color="0F172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E56D0A"/>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Pitkäaikaiset varat</w:t>
            </w:r>
          </w:p>
        </w:tc>
        <w:tc>
          <w:tcPr>
            <w:tcW w:w="1200"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nil"/>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nil"/>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Liikearvo</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275" w:name="XBRL_CS_1e9b1d1bf5a643f6a5d348e7d25cf3b5"/>
            <w:bookmarkEnd w:id="275"/>
            <w:bookmarkStart w:id="276" w:name="1e9b1d1bf5a643f6a5d348e7d25cf3b5"/>
            <w:r>
              <w:rPr>
                <w:rFonts w:ascii="Arial" w:eastAsia="Arial" w:hAnsi="Arial" w:cs="Arial"/>
                <w:b/>
                <w:i w:val="0"/>
                <w:strike w:val="0"/>
                <w:color w:val="000000"/>
                <w:sz w:val="13"/>
                <w:u w:val="none"/>
                <w:vertAlign w:val="baseline"/>
              </w:rPr>
              <w:t>1 374</w:t>
            </w:r>
            <w:bookmarkStart w:id="277" w:name="XBRL_CE_1e9b1d1bf5a643f6a5d348e7d25cf3b5"/>
            <w:bookmarkEnd w:id="276"/>
            <w:bookmarkEnd w:id="277"/>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278" w:name="XBRL_CS_573ae0f0c62e4f5ca8c927a047405d18"/>
            <w:bookmarkEnd w:id="278"/>
            <w:bookmarkStart w:id="279" w:name="573ae0f0c62e4f5ca8c927a047405d18"/>
            <w:r>
              <w:rPr>
                <w:rFonts w:ascii="Arial" w:eastAsia="Arial" w:hAnsi="Arial" w:cs="Arial"/>
                <w:b w:val="0"/>
                <w:i w:val="0"/>
                <w:strike w:val="0"/>
                <w:color w:val="000000"/>
                <w:sz w:val="13"/>
                <w:u w:val="none"/>
                <w:vertAlign w:val="baseline"/>
              </w:rPr>
              <w:t>1 325</w:t>
            </w:r>
            <w:bookmarkStart w:id="280" w:name="XBRL_CE_573ae0f0c62e4f5ca8c927a047405d18"/>
            <w:bookmarkEnd w:id="279"/>
            <w:bookmarkEnd w:id="280"/>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3.1.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Aineettomat hyödykkeet</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281" w:name="XBRL_CS_ae9cdd8f75e2474380aaca609f700264"/>
            <w:bookmarkEnd w:id="281"/>
            <w:bookmarkStart w:id="282" w:name="ae9cdd8f75e2474380aaca609f700264"/>
            <w:r>
              <w:rPr>
                <w:rFonts w:ascii="Arial" w:eastAsia="Arial" w:hAnsi="Arial" w:cs="Arial"/>
                <w:b/>
                <w:i w:val="0"/>
                <w:strike w:val="0"/>
                <w:color w:val="000000"/>
                <w:sz w:val="13"/>
                <w:u w:val="none"/>
                <w:vertAlign w:val="baseline"/>
              </w:rPr>
              <w:t>401</w:t>
            </w:r>
            <w:bookmarkStart w:id="283" w:name="XBRL_CE_ae9cdd8f75e2474380aaca609f700264"/>
            <w:bookmarkEnd w:id="282"/>
            <w:bookmarkEnd w:id="283"/>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284" w:name="XBRL_CS_beb729e11f0b45bb9ecb2f7ffddc34fb"/>
            <w:bookmarkEnd w:id="284"/>
            <w:bookmarkStart w:id="285" w:name="beb729e11f0b45bb9ecb2f7ffddc34fb"/>
            <w:r>
              <w:rPr>
                <w:rFonts w:ascii="Arial" w:eastAsia="Arial" w:hAnsi="Arial" w:cs="Arial"/>
                <w:b w:val="0"/>
                <w:i w:val="0"/>
                <w:strike w:val="0"/>
                <w:color w:val="000000"/>
                <w:sz w:val="13"/>
                <w:u w:val="none"/>
                <w:vertAlign w:val="baseline"/>
              </w:rPr>
              <w:t>391</w:t>
            </w:r>
            <w:bookmarkStart w:id="286" w:name="XBRL_CE_beb729e11f0b45bb9ecb2f7ffddc34fb"/>
            <w:bookmarkEnd w:id="285"/>
            <w:bookmarkEnd w:id="286"/>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3.2.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Aineelliset hyödykkeet</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287" w:name="XBRL_CS_53c640bb2c54446391489a582b80549e"/>
            <w:bookmarkEnd w:id="287"/>
            <w:bookmarkStart w:id="288" w:name="53c640bb2c54446391489a582b80549e"/>
            <w:r>
              <w:rPr>
                <w:rFonts w:ascii="Arial" w:eastAsia="Arial" w:hAnsi="Arial" w:cs="Arial"/>
                <w:b/>
                <w:i w:val="0"/>
                <w:strike w:val="0"/>
                <w:color w:val="000000"/>
                <w:sz w:val="13"/>
                <w:u w:val="none"/>
                <w:vertAlign w:val="baseline"/>
              </w:rPr>
              <w:t>312</w:t>
            </w:r>
            <w:bookmarkStart w:id="289" w:name="XBRL_CE_53c640bb2c54446391489a582b80549e"/>
            <w:bookmarkEnd w:id="288"/>
            <w:bookmarkEnd w:id="289"/>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290" w:name="XBRL_CS_57ff98d2df0c43b083e2963b3c2ec8ee"/>
            <w:bookmarkEnd w:id="290"/>
            <w:bookmarkStart w:id="291" w:name="57ff98d2df0c43b083e2963b3c2ec8ee"/>
            <w:r>
              <w:rPr>
                <w:rFonts w:ascii="Arial" w:eastAsia="Arial" w:hAnsi="Arial" w:cs="Arial"/>
                <w:b w:val="0"/>
                <w:i w:val="0"/>
                <w:strike w:val="0"/>
                <w:color w:val="000000"/>
                <w:sz w:val="13"/>
                <w:u w:val="none"/>
                <w:vertAlign w:val="baseline"/>
              </w:rPr>
              <w:t>282</w:t>
            </w:r>
            <w:bookmarkStart w:id="292" w:name="XBRL_CE_57ff98d2df0c43b083e2963b3c2ec8ee"/>
            <w:bookmarkEnd w:id="291"/>
            <w:bookmarkEnd w:id="292"/>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3.3.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Käyttöoikeusomaisuuserät</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293" w:name="XBRL_CS_92394345012c4e999c471594713bf7f7"/>
            <w:bookmarkEnd w:id="293"/>
            <w:bookmarkStart w:id="294" w:name="92394345012c4e999c471594713bf7f7"/>
            <w:r>
              <w:rPr>
                <w:rFonts w:ascii="Arial" w:eastAsia="Arial" w:hAnsi="Arial" w:cs="Arial"/>
                <w:b/>
                <w:i w:val="0"/>
                <w:strike w:val="0"/>
                <w:color w:val="000000"/>
                <w:sz w:val="13"/>
                <w:u w:val="none"/>
                <w:vertAlign w:val="baseline"/>
              </w:rPr>
              <w:t>192</w:t>
            </w:r>
            <w:bookmarkStart w:id="295" w:name="XBRL_CE_92394345012c4e999c471594713bf7f7"/>
            <w:bookmarkEnd w:id="294"/>
            <w:bookmarkEnd w:id="295"/>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296" w:name="XBRL_CS_3bf21ee7a3304e948666d7881198d8be"/>
            <w:bookmarkEnd w:id="296"/>
            <w:bookmarkStart w:id="297" w:name="3bf21ee7a3304e948666d7881198d8be"/>
            <w:r>
              <w:rPr>
                <w:rFonts w:ascii="Arial" w:eastAsia="Arial" w:hAnsi="Arial" w:cs="Arial"/>
                <w:b w:val="0"/>
                <w:i w:val="0"/>
                <w:strike w:val="0"/>
                <w:color w:val="000000"/>
                <w:sz w:val="13"/>
                <w:u w:val="none"/>
                <w:vertAlign w:val="baseline"/>
              </w:rPr>
              <w:t>162</w:t>
            </w:r>
            <w:bookmarkStart w:id="298" w:name="XBRL_CE_3bf21ee7a3304e948666d7881198d8be"/>
            <w:bookmarkEnd w:id="297"/>
            <w:bookmarkEnd w:id="298"/>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3.4.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Osuudet osakkuus- ja yhteisyrityksissä</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299" w:name="XBRL_CS_c8e1d544f135420c9cdd8f27d0a47640"/>
            <w:bookmarkEnd w:id="299"/>
            <w:bookmarkStart w:id="300" w:name="c8e1d544f135420c9cdd8f27d0a47640"/>
            <w:r>
              <w:rPr>
                <w:rFonts w:ascii="Arial" w:eastAsia="Arial" w:hAnsi="Arial" w:cs="Arial"/>
                <w:b/>
                <w:i w:val="0"/>
                <w:strike w:val="0"/>
                <w:color w:val="000000"/>
                <w:sz w:val="13"/>
                <w:u w:val="none"/>
                <w:vertAlign w:val="baseline"/>
              </w:rPr>
              <w:t>27</w:t>
            </w:r>
            <w:bookmarkStart w:id="301" w:name="XBRL_CE_c8e1d544f135420c9cdd8f27d0a47640"/>
            <w:bookmarkEnd w:id="300"/>
            <w:bookmarkEnd w:id="301"/>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302" w:name="XBRL_CS_f944b1f7606b4f3097bfddf10453e86d"/>
            <w:bookmarkEnd w:id="302"/>
            <w:bookmarkStart w:id="303" w:name="f944b1f7606b4f3097bfddf10453e86d"/>
            <w:r>
              <w:rPr>
                <w:rFonts w:ascii="Arial" w:eastAsia="Arial" w:hAnsi="Arial" w:cs="Arial"/>
                <w:b w:val="0"/>
                <w:i w:val="0"/>
                <w:strike w:val="0"/>
                <w:color w:val="000000"/>
                <w:sz w:val="13"/>
                <w:u w:val="none"/>
                <w:vertAlign w:val="baseline"/>
              </w:rPr>
              <w:t>23</w:t>
            </w:r>
            <w:bookmarkStart w:id="304" w:name="XBRL_CE_f944b1f7606b4f3097bfddf10453e86d"/>
            <w:bookmarkEnd w:id="303"/>
            <w:bookmarkEnd w:id="304"/>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6.4.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sijoitukset</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305" w:name="XBRL_CS_9971754c40f04a70b0328a84a3e3d33e"/>
            <w:bookmarkEnd w:id="305"/>
            <w:bookmarkStart w:id="306" w:name="9971754c40f04a70b0328a84a3e3d33e"/>
            <w:r>
              <w:rPr>
                <w:rFonts w:ascii="Arial" w:eastAsia="Arial" w:hAnsi="Arial" w:cs="Arial"/>
                <w:b/>
                <w:i w:val="0"/>
                <w:strike w:val="0"/>
                <w:color w:val="000000"/>
                <w:sz w:val="13"/>
                <w:u w:val="none"/>
                <w:vertAlign w:val="baseline"/>
              </w:rPr>
              <w:t>18</w:t>
            </w:r>
            <w:bookmarkStart w:id="307" w:name="XBRL_CE_9971754c40f04a70b0328a84a3e3d33e"/>
            <w:bookmarkEnd w:id="306"/>
            <w:bookmarkEnd w:id="307"/>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308" w:name="XBRL_CS_1f917950e0b147dbaaa9cff829af1b23"/>
            <w:bookmarkEnd w:id="308"/>
            <w:bookmarkStart w:id="309" w:name="1f917950e0b147dbaaa9cff829af1b23"/>
            <w:r>
              <w:rPr>
                <w:rFonts w:ascii="Arial" w:eastAsia="Arial" w:hAnsi="Arial" w:cs="Arial"/>
                <w:b w:val="0"/>
                <w:i w:val="0"/>
                <w:strike w:val="0"/>
                <w:color w:val="000000"/>
                <w:sz w:val="13"/>
                <w:u w:val="none"/>
                <w:vertAlign w:val="baseline"/>
              </w:rPr>
              <w:t>19</w:t>
            </w:r>
            <w:bookmarkStart w:id="310" w:name="XBRL_CE_1f917950e0b147dbaaa9cff829af1b23"/>
            <w:bookmarkEnd w:id="309"/>
            <w:bookmarkEnd w:id="310"/>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5.2.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Korolliset sijoitukset</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311" w:name="XBRL_CS_6fd43ad231ae4a6eabc82272c287c141"/>
            <w:bookmarkEnd w:id="311"/>
            <w:bookmarkStart w:id="312" w:name="6fd43ad231ae4a6eabc82272c287c141"/>
            <w:r>
              <w:rPr>
                <w:rFonts w:ascii="Arial" w:eastAsia="Arial" w:hAnsi="Arial" w:cs="Arial"/>
                <w:b/>
                <w:i w:val="0"/>
                <w:strike w:val="0"/>
                <w:color w:val="000000"/>
                <w:sz w:val="13"/>
                <w:u w:val="none"/>
                <w:vertAlign w:val="baseline"/>
              </w:rPr>
              <w:t>5</w:t>
            </w:r>
            <w:bookmarkStart w:id="313" w:name="XBRL_CE_6fd43ad231ae4a6eabc82272c287c141"/>
            <w:bookmarkEnd w:id="312"/>
            <w:bookmarkEnd w:id="313"/>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314" w:name="XBRL_CS_ec4e39dfedc342a18ada0743fed125e0"/>
            <w:bookmarkEnd w:id="314"/>
            <w:bookmarkStart w:id="315" w:name="ec4e39dfedc342a18ada0743fed125e0"/>
            <w:r>
              <w:rPr>
                <w:rFonts w:ascii="Arial" w:eastAsia="Arial" w:hAnsi="Arial" w:cs="Arial"/>
                <w:b w:val="0"/>
                <w:i w:val="0"/>
                <w:strike w:val="0"/>
                <w:color w:val="000000"/>
                <w:sz w:val="13"/>
                <w:u w:val="none"/>
                <w:vertAlign w:val="baseline"/>
              </w:rPr>
              <w:t>1</w:t>
            </w:r>
            <w:bookmarkStart w:id="316" w:name="XBRL_CE_ec4e39dfedc342a18ada0743fed125e0"/>
            <w:bookmarkEnd w:id="315"/>
            <w:bookmarkEnd w:id="316"/>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5.2.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Laskennalliset verosaamiset</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317" w:name="XBRL_CS_2f9c0626144c45718e560fc20cf2245a"/>
            <w:bookmarkEnd w:id="317"/>
            <w:bookmarkStart w:id="318" w:name="2f9c0626144c45718e560fc20cf2245a"/>
            <w:r>
              <w:rPr>
                <w:rFonts w:ascii="Arial" w:eastAsia="Arial" w:hAnsi="Arial" w:cs="Arial"/>
                <w:b/>
                <w:i w:val="0"/>
                <w:strike w:val="0"/>
                <w:color w:val="000000"/>
                <w:sz w:val="13"/>
                <w:u w:val="none"/>
                <w:vertAlign w:val="baseline"/>
              </w:rPr>
              <w:t>167</w:t>
            </w:r>
            <w:bookmarkStart w:id="319" w:name="XBRL_CE_2f9c0626144c45718e560fc20cf2245a"/>
            <w:bookmarkEnd w:id="318"/>
            <w:bookmarkEnd w:id="319"/>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320" w:name="XBRL_CS_7ea0b9b88b3b48d4902154b491eec1d1"/>
            <w:bookmarkEnd w:id="320"/>
            <w:bookmarkStart w:id="321" w:name="7ea0b9b88b3b48d4902154b491eec1d1"/>
            <w:r>
              <w:rPr>
                <w:rFonts w:ascii="Arial" w:eastAsia="Arial" w:hAnsi="Arial" w:cs="Arial"/>
                <w:b w:val="0"/>
                <w:i w:val="0"/>
                <w:strike w:val="0"/>
                <w:color w:val="000000"/>
                <w:sz w:val="13"/>
                <w:u w:val="none"/>
                <w:vertAlign w:val="baseline"/>
              </w:rPr>
              <w:t>183</w:t>
            </w:r>
            <w:bookmarkStart w:id="322" w:name="XBRL_CE_7ea0b9b88b3b48d4902154b491eec1d1"/>
            <w:bookmarkEnd w:id="321"/>
            <w:bookmarkEnd w:id="322"/>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4.6.</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Myyntisaamiset</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323" w:name="XBRL_CS_cbf7d8ff841f49d6a668e622577c3a2a"/>
            <w:bookmarkEnd w:id="323"/>
            <w:bookmarkStart w:id="324" w:name="cbf7d8ff841f49d6a668e622577c3a2a"/>
            <w:r>
              <w:rPr>
                <w:rFonts w:ascii="Arial" w:eastAsia="Arial" w:hAnsi="Arial" w:cs="Arial"/>
                <w:b/>
                <w:i w:val="0"/>
                <w:strike w:val="0"/>
                <w:color w:val="000000"/>
                <w:sz w:val="13"/>
                <w:u w:val="none"/>
                <w:vertAlign w:val="baseline"/>
              </w:rPr>
              <w:t>26</w:t>
            </w:r>
            <w:bookmarkStart w:id="325" w:name="XBRL_CE_cbf7d8ff841f49d6a668e622577c3a2a"/>
            <w:bookmarkEnd w:id="324"/>
            <w:bookmarkEnd w:id="325"/>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326" w:name="XBRL_CS_f1f1d84bb385469585c21f4d6d39de34"/>
            <w:bookmarkEnd w:id="326"/>
            <w:bookmarkStart w:id="327" w:name="f1f1d84bb385469585c21f4d6d39de34"/>
            <w:r>
              <w:rPr>
                <w:rFonts w:ascii="Arial" w:eastAsia="Arial" w:hAnsi="Arial" w:cs="Arial"/>
                <w:b w:val="0"/>
                <w:i w:val="0"/>
                <w:strike w:val="0"/>
                <w:color w:val="000000"/>
                <w:sz w:val="13"/>
                <w:u w:val="none"/>
                <w:vertAlign w:val="baseline"/>
              </w:rPr>
              <w:t>30</w:t>
            </w:r>
            <w:bookmarkStart w:id="328" w:name="XBRL_CE_f1f1d84bb385469585c21f4d6d39de34"/>
            <w:bookmarkEnd w:id="327"/>
            <w:bookmarkEnd w:id="328"/>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4.2., 5.2.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saamiset</w:t>
            </w:r>
          </w:p>
        </w:tc>
        <w:tc>
          <w:tcPr>
            <w:tcW w:w="120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329" w:name="XBRL_CS_06d02308ba5145a1ab018195c87a0a6c"/>
            <w:bookmarkEnd w:id="329"/>
            <w:bookmarkStart w:id="330" w:name="06d02308ba5145a1ab018195c87a0a6c"/>
            <w:r>
              <w:rPr>
                <w:rFonts w:ascii="Arial" w:eastAsia="Arial" w:hAnsi="Arial" w:cs="Arial"/>
                <w:b/>
                <w:i w:val="0"/>
                <w:strike w:val="0"/>
                <w:color w:val="000000"/>
                <w:sz w:val="13"/>
                <w:u w:val="none"/>
                <w:vertAlign w:val="baseline"/>
              </w:rPr>
              <w:t>17</w:t>
            </w:r>
            <w:bookmarkStart w:id="331" w:name="XBRL_CE_06d02308ba5145a1ab018195c87a0a6c"/>
            <w:bookmarkEnd w:id="330"/>
            <w:bookmarkEnd w:id="331"/>
          </w:p>
        </w:tc>
        <w:tc>
          <w:tcPr>
            <w:tcW w:w="120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332" w:name="XBRL_CS_ea717f5c7a064db288b09534f3d7784c"/>
            <w:bookmarkEnd w:id="332"/>
            <w:bookmarkStart w:id="333" w:name="ea717f5c7a064db288b09534f3d7784c"/>
            <w:r>
              <w:rPr>
                <w:rFonts w:ascii="Arial" w:eastAsia="Arial" w:hAnsi="Arial" w:cs="Arial"/>
                <w:b w:val="0"/>
                <w:i w:val="0"/>
                <w:strike w:val="0"/>
                <w:color w:val="000000"/>
                <w:sz w:val="13"/>
                <w:u w:val="none"/>
                <w:vertAlign w:val="baseline"/>
              </w:rPr>
              <w:t>11</w:t>
            </w:r>
            <w:bookmarkStart w:id="334" w:name="XBRL_CE_ea717f5c7a064db288b09534f3d7784c"/>
            <w:bookmarkEnd w:id="333"/>
            <w:bookmarkEnd w:id="334"/>
          </w:p>
        </w:tc>
        <w:tc>
          <w:tcPr>
            <w:tcW w:w="108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4.3.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Pitkäaikaiset varat yhteensä</w:t>
            </w:r>
          </w:p>
        </w:tc>
        <w:tc>
          <w:tcPr>
            <w:tcW w:w="120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335" w:name="XBRL_CS_244a114da2b540d29f8b362a47ece9ef"/>
            <w:bookmarkEnd w:id="335"/>
            <w:bookmarkStart w:id="336" w:name="244a114da2b540d29f8b362a47ece9ef"/>
            <w:r>
              <w:rPr>
                <w:rFonts w:ascii="Arial" w:eastAsia="Arial" w:hAnsi="Arial" w:cs="Arial"/>
                <w:b/>
                <w:i w:val="0"/>
                <w:strike w:val="0"/>
                <w:color w:val="000000"/>
                <w:sz w:val="13"/>
                <w:u w:val="none"/>
                <w:vertAlign w:val="baseline"/>
              </w:rPr>
              <w:t>2 539</w:t>
            </w:r>
            <w:bookmarkStart w:id="337" w:name="XBRL_CE_244a114da2b540d29f8b362a47ece9ef"/>
            <w:bookmarkEnd w:id="336"/>
            <w:bookmarkEnd w:id="337"/>
          </w:p>
        </w:tc>
        <w:tc>
          <w:tcPr>
            <w:tcW w:w="120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338" w:name="XBRL_CS_f98b67a831954bccae371a84e428ae45"/>
            <w:bookmarkEnd w:id="338"/>
            <w:bookmarkStart w:id="339" w:name="f98b67a831954bccae371a84e428ae45"/>
            <w:r>
              <w:rPr>
                <w:rFonts w:ascii="Arial" w:eastAsia="Arial" w:hAnsi="Arial" w:cs="Arial"/>
                <w:b w:val="0"/>
                <w:i w:val="0"/>
                <w:strike w:val="0"/>
                <w:color w:val="000000"/>
                <w:sz w:val="13"/>
                <w:u w:val="none"/>
                <w:vertAlign w:val="baseline"/>
              </w:rPr>
              <w:t>2 427</w:t>
            </w:r>
            <w:bookmarkStart w:id="340" w:name="XBRL_CE_f98b67a831954bccae371a84e428ae45"/>
            <w:bookmarkEnd w:id="339"/>
            <w:bookmarkEnd w:id="340"/>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Lyhytaikaiset varat</w:t>
            </w: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Vaihto-omaisuus</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341" w:name="XBRL_CS_339e310003554a5da2088aa384133be1"/>
            <w:bookmarkEnd w:id="341"/>
            <w:bookmarkStart w:id="342" w:name="339e310003554a5da2088aa384133be1"/>
            <w:r>
              <w:rPr>
                <w:rFonts w:ascii="Arial" w:eastAsia="Arial" w:hAnsi="Arial" w:cs="Arial"/>
                <w:b/>
                <w:i w:val="0"/>
                <w:strike w:val="0"/>
                <w:color w:val="000000"/>
                <w:sz w:val="13"/>
                <w:u w:val="none"/>
                <w:vertAlign w:val="baseline"/>
              </w:rPr>
              <w:t>1 185</w:t>
            </w:r>
            <w:bookmarkStart w:id="343" w:name="XBRL_CE_339e310003554a5da2088aa384133be1"/>
            <w:bookmarkEnd w:id="342"/>
            <w:bookmarkEnd w:id="343"/>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344" w:name="XBRL_CS_236ee9bd064a4fad9978f83a2702bdaa"/>
            <w:bookmarkEnd w:id="344"/>
            <w:bookmarkStart w:id="345" w:name="236ee9bd064a4fad9978f83a2702bdaa"/>
            <w:r>
              <w:rPr>
                <w:rFonts w:ascii="Arial" w:eastAsia="Arial" w:hAnsi="Arial" w:cs="Arial"/>
                <w:b w:val="0"/>
                <w:i w:val="0"/>
                <w:strike w:val="0"/>
                <w:color w:val="000000"/>
                <w:sz w:val="13"/>
                <w:u w:val="none"/>
                <w:vertAlign w:val="baseline"/>
              </w:rPr>
              <w:t>1 192</w:t>
            </w:r>
            <w:bookmarkStart w:id="346" w:name="XBRL_CE_236ee9bd064a4fad9978f83a2702bdaa"/>
            <w:bookmarkEnd w:id="345"/>
            <w:bookmarkEnd w:id="346"/>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4.1.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Myyntisaamiset</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347" w:name="XBRL_CS_7a8c95a0654e4c00830c99f2ec028035"/>
            <w:bookmarkEnd w:id="347"/>
            <w:bookmarkStart w:id="348" w:name="7a8c95a0654e4c00830c99f2ec028035"/>
            <w:r>
              <w:rPr>
                <w:rFonts w:ascii="Arial" w:eastAsia="Arial" w:hAnsi="Arial" w:cs="Arial"/>
                <w:b/>
                <w:i w:val="0"/>
                <w:strike w:val="0"/>
                <w:color w:val="000000"/>
                <w:sz w:val="13"/>
                <w:u w:val="none"/>
                <w:vertAlign w:val="baseline"/>
              </w:rPr>
              <w:t>870</w:t>
            </w:r>
            <w:bookmarkStart w:id="349" w:name="XBRL_CE_7a8c95a0654e4c00830c99f2ec028035"/>
            <w:bookmarkEnd w:id="348"/>
            <w:bookmarkEnd w:id="349"/>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350" w:name="XBRL_CS_9e49c30330e349d69b5187118ebcd6d1"/>
            <w:bookmarkEnd w:id="350"/>
            <w:bookmarkStart w:id="351" w:name="9e49c30330e349d69b5187118ebcd6d1"/>
            <w:r>
              <w:rPr>
                <w:rFonts w:ascii="Arial" w:eastAsia="Arial" w:hAnsi="Arial" w:cs="Arial"/>
                <w:b w:val="0"/>
                <w:i w:val="0"/>
                <w:strike w:val="0"/>
                <w:color w:val="000000"/>
                <w:sz w:val="13"/>
                <w:u w:val="none"/>
                <w:vertAlign w:val="baseline"/>
              </w:rPr>
              <w:t>922</w:t>
            </w:r>
            <w:bookmarkStart w:id="352" w:name="XBRL_CE_9e49c30330e349d69b5187118ebcd6d1"/>
            <w:bookmarkEnd w:id="351"/>
            <w:bookmarkEnd w:id="352"/>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4.2., 5.2.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Verosaamiset</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353" w:name="XBRL_CS_4f0a01ba25d54afc80fc3feeac998474"/>
            <w:bookmarkEnd w:id="353"/>
            <w:bookmarkStart w:id="354" w:name="4f0a01ba25d54afc80fc3feeac998474"/>
            <w:r>
              <w:rPr>
                <w:rFonts w:ascii="Arial" w:eastAsia="Arial" w:hAnsi="Arial" w:cs="Arial"/>
                <w:b/>
                <w:i w:val="0"/>
                <w:strike w:val="0"/>
                <w:color w:val="000000"/>
                <w:sz w:val="13"/>
                <w:u w:val="none"/>
                <w:vertAlign w:val="baseline"/>
              </w:rPr>
              <w:t>33</w:t>
            </w:r>
            <w:bookmarkStart w:id="355" w:name="XBRL_CE_4f0a01ba25d54afc80fc3feeac998474"/>
            <w:bookmarkEnd w:id="354"/>
            <w:bookmarkEnd w:id="355"/>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356" w:name="XBRL_CS_3aceb53cefec4183afd4a12f10e24134"/>
            <w:bookmarkEnd w:id="356"/>
            <w:bookmarkStart w:id="357" w:name="3aceb53cefec4183afd4a12f10e24134"/>
            <w:r>
              <w:rPr>
                <w:rFonts w:ascii="Arial" w:eastAsia="Arial" w:hAnsi="Arial" w:cs="Arial"/>
                <w:b w:val="0"/>
                <w:i w:val="0"/>
                <w:strike w:val="0"/>
                <w:color w:val="000000"/>
                <w:sz w:val="13"/>
                <w:u w:val="none"/>
                <w:vertAlign w:val="baseline"/>
              </w:rPr>
              <w:t>27</w:t>
            </w:r>
            <w:bookmarkStart w:id="358" w:name="XBRL_CE_3aceb53cefec4183afd4a12f10e24134"/>
            <w:bookmarkEnd w:id="357"/>
            <w:bookmarkEnd w:id="358"/>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Sopimukseen perustuvat varat</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359" w:name="XBRL_CS_80fc78e92702477f979e1222c9247910"/>
            <w:bookmarkEnd w:id="359"/>
            <w:bookmarkStart w:id="360" w:name="80fc78e92702477f979e1222c9247910"/>
            <w:r>
              <w:rPr>
                <w:rFonts w:ascii="Arial" w:eastAsia="Arial" w:hAnsi="Arial" w:cs="Arial"/>
                <w:b/>
                <w:i w:val="0"/>
                <w:strike w:val="0"/>
                <w:color w:val="000000"/>
                <w:sz w:val="13"/>
                <w:u w:val="none"/>
                <w:vertAlign w:val="baseline"/>
              </w:rPr>
              <w:t>684</w:t>
            </w:r>
            <w:bookmarkStart w:id="361" w:name="XBRL_CE_80fc78e92702477f979e1222c9247910"/>
            <w:bookmarkEnd w:id="360"/>
            <w:bookmarkEnd w:id="361"/>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362" w:name="XBRL_CS_7af3eee53ad048708b6a155285880a20"/>
            <w:bookmarkEnd w:id="362"/>
            <w:bookmarkStart w:id="363" w:name="7af3eee53ad048708b6a155285880a20"/>
            <w:r>
              <w:rPr>
                <w:rFonts w:ascii="Arial" w:eastAsia="Arial" w:hAnsi="Arial" w:cs="Arial"/>
                <w:b w:val="0"/>
                <w:i w:val="0"/>
                <w:strike w:val="0"/>
                <w:color w:val="000000"/>
                <w:sz w:val="13"/>
                <w:u w:val="none"/>
                <w:vertAlign w:val="baseline"/>
              </w:rPr>
              <w:t>389</w:t>
            </w:r>
            <w:bookmarkStart w:id="364" w:name="XBRL_CE_7af3eee53ad048708b6a155285880a20"/>
            <w:bookmarkEnd w:id="363"/>
            <w:bookmarkEnd w:id="364"/>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4.2.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saamiset</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365" w:name="XBRL_CS_b7640a67f9224850919e2b56d991b705"/>
            <w:bookmarkEnd w:id="365"/>
            <w:bookmarkStart w:id="366" w:name="b7640a67f9224850919e2b56d991b705"/>
            <w:r>
              <w:rPr>
                <w:rFonts w:ascii="Arial" w:eastAsia="Arial" w:hAnsi="Arial" w:cs="Arial"/>
                <w:b/>
                <w:i w:val="0"/>
                <w:strike w:val="0"/>
                <w:color w:val="000000"/>
                <w:sz w:val="13"/>
                <w:u w:val="none"/>
                <w:vertAlign w:val="baseline"/>
              </w:rPr>
              <w:t>246</w:t>
            </w:r>
            <w:bookmarkStart w:id="367" w:name="XBRL_CE_b7640a67f9224850919e2b56d991b705"/>
            <w:bookmarkEnd w:id="366"/>
            <w:bookmarkEnd w:id="367"/>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368" w:name="XBRL_CS_74de65f393814d84a0d88b8baaad0bfd"/>
            <w:bookmarkEnd w:id="368"/>
            <w:bookmarkStart w:id="369" w:name="74de65f393814d84a0d88b8baaad0bfd"/>
            <w:r>
              <w:rPr>
                <w:rFonts w:ascii="Arial" w:eastAsia="Arial" w:hAnsi="Arial" w:cs="Arial"/>
                <w:b w:val="0"/>
                <w:i w:val="0"/>
                <w:strike w:val="0"/>
                <w:color w:val="000000"/>
                <w:sz w:val="13"/>
                <w:u w:val="none"/>
                <w:vertAlign w:val="baseline"/>
              </w:rPr>
              <w:t>258</w:t>
            </w:r>
            <w:bookmarkStart w:id="370" w:name="XBRL_CE_74de65f393814d84a0d88b8baaad0bfd"/>
            <w:bookmarkEnd w:id="369"/>
            <w:bookmarkEnd w:id="370"/>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4.3.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Rahavarat</w:t>
            </w:r>
          </w:p>
        </w:tc>
        <w:tc>
          <w:tcPr>
            <w:tcW w:w="120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371" w:name="XBRL_CS_8c103c7e517c4cbc9fdb40a129ffb362"/>
            <w:bookmarkEnd w:id="371"/>
            <w:bookmarkStart w:id="372" w:name="8c103c7e517c4cbc9fdb40a129ffb362"/>
            <w:r>
              <w:rPr>
                <w:rFonts w:ascii="Arial" w:eastAsia="Arial" w:hAnsi="Arial" w:cs="Arial"/>
                <w:b/>
                <w:i w:val="0"/>
                <w:strike w:val="0"/>
                <w:color w:val="000000"/>
                <w:sz w:val="13"/>
                <w:u w:val="none"/>
                <w:vertAlign w:val="baseline"/>
              </w:rPr>
              <w:t>964</w:t>
            </w:r>
            <w:bookmarkStart w:id="373" w:name="XBRL_CE_8c103c7e517c4cbc9fdb40a129ffb362"/>
            <w:bookmarkEnd w:id="372"/>
            <w:bookmarkEnd w:id="373"/>
          </w:p>
        </w:tc>
        <w:tc>
          <w:tcPr>
            <w:tcW w:w="120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374" w:name="XBRL_CS_2c3704c448fb40ad8cebdde2ceaad9ca"/>
            <w:bookmarkEnd w:id="374"/>
            <w:bookmarkStart w:id="375" w:name="2c3704c448fb40ad8cebdde2ceaad9ca"/>
            <w:r>
              <w:rPr>
                <w:rFonts w:ascii="Arial" w:eastAsia="Arial" w:hAnsi="Arial" w:cs="Arial"/>
                <w:b w:val="0"/>
                <w:i w:val="0"/>
                <w:strike w:val="0"/>
                <w:color w:val="000000"/>
                <w:sz w:val="13"/>
                <w:u w:val="none"/>
                <w:vertAlign w:val="baseline"/>
              </w:rPr>
              <w:t>919</w:t>
            </w:r>
            <w:bookmarkStart w:id="376" w:name="XBRL_CE_2c3704c448fb40ad8cebdde2ceaad9ca"/>
            <w:bookmarkEnd w:id="375"/>
            <w:bookmarkEnd w:id="376"/>
          </w:p>
        </w:tc>
        <w:tc>
          <w:tcPr>
            <w:tcW w:w="108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5.3., 5.4.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Lyhytaikaiset varat yhteensä</w:t>
            </w:r>
          </w:p>
        </w:tc>
        <w:tc>
          <w:tcPr>
            <w:tcW w:w="120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377" w:name="XBRL_CS_4776c672b2bf4a7f9113ec8fdd2e9d6e"/>
            <w:bookmarkEnd w:id="377"/>
            <w:bookmarkStart w:id="378" w:name="4776c672b2bf4a7f9113ec8fdd2e9d6e"/>
            <w:r>
              <w:rPr>
                <w:rFonts w:ascii="Arial" w:eastAsia="Arial" w:hAnsi="Arial" w:cs="Arial"/>
                <w:b/>
                <w:i w:val="0"/>
                <w:strike w:val="0"/>
                <w:color w:val="000000"/>
                <w:sz w:val="13"/>
                <w:u w:val="none"/>
                <w:vertAlign w:val="baseline"/>
              </w:rPr>
              <w:t>3 982</w:t>
            </w:r>
            <w:bookmarkStart w:id="379" w:name="XBRL_CE_4776c672b2bf4a7f9113ec8fdd2e9d6e"/>
            <w:bookmarkEnd w:id="378"/>
            <w:bookmarkEnd w:id="379"/>
          </w:p>
        </w:tc>
        <w:tc>
          <w:tcPr>
            <w:tcW w:w="120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380" w:name="XBRL_CS_a7726e88522f40ad9f922837c7f019d3"/>
            <w:bookmarkEnd w:id="380"/>
            <w:bookmarkStart w:id="381" w:name="a7726e88522f40ad9f922837c7f019d3"/>
            <w:r>
              <w:rPr>
                <w:rFonts w:ascii="Arial" w:eastAsia="Arial" w:hAnsi="Arial" w:cs="Arial"/>
                <w:b w:val="0"/>
                <w:i w:val="0"/>
                <w:strike w:val="0"/>
                <w:color w:val="000000"/>
                <w:sz w:val="13"/>
                <w:u w:val="none"/>
                <w:vertAlign w:val="baseline"/>
              </w:rPr>
              <w:t>3 706</w:t>
            </w:r>
            <w:bookmarkStart w:id="382" w:name="XBRL_CE_a7726e88522f40ad9f922837c7f019d3"/>
            <w:bookmarkEnd w:id="381"/>
            <w:bookmarkEnd w:id="382"/>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Myytävänä olevat omaisuuserät</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383" w:name="XBRL_CS_246ab20c8b014999b6f66ce8cfd61463"/>
            <w:bookmarkEnd w:id="383"/>
            <w:bookmarkStart w:id="384" w:name="246ab20c8b014999b6f66ce8cfd61463"/>
            <w:r>
              <w:rPr>
                <w:rFonts w:ascii="Arial" w:eastAsia="Arial" w:hAnsi="Arial" w:cs="Arial"/>
                <w:b/>
                <w:i w:val="0"/>
                <w:strike w:val="0"/>
                <w:color w:val="000000"/>
                <w:sz w:val="13"/>
                <w:u w:val="none"/>
                <w:vertAlign w:val="baseline"/>
              </w:rPr>
              <w:t>2</w:t>
            </w:r>
            <w:bookmarkStart w:id="385" w:name="XBRL_CE_246ab20c8b014999b6f66ce8cfd61463"/>
            <w:bookmarkEnd w:id="384"/>
            <w:bookmarkEnd w:id="385"/>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386" w:name="XBRL_CS_55e1898d392d4442ac0637f42a049bc4"/>
            <w:bookmarkEnd w:id="386"/>
            <w:bookmarkStart w:id="387" w:name="55e1898d392d4442ac0637f42a049bc4"/>
            <w:r>
              <w:rPr>
                <w:rFonts w:ascii="Arial" w:eastAsia="Arial" w:hAnsi="Arial" w:cs="Arial"/>
                <w:b w:val="0"/>
                <w:i w:val="0"/>
                <w:strike w:val="0"/>
                <w:color w:val="000000"/>
                <w:sz w:val="13"/>
                <w:u w:val="none"/>
                <w:vertAlign w:val="baseline"/>
              </w:rPr>
              <w:t>99</w:t>
            </w:r>
            <w:bookmarkStart w:id="388" w:name="XBRL_CE_55e1898d392d4442ac0637f42a049bc4"/>
            <w:bookmarkEnd w:id="387"/>
            <w:bookmarkEnd w:id="388"/>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6.3.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Varat yhteensä</w:t>
            </w:r>
          </w:p>
        </w:tc>
        <w:tc>
          <w:tcPr>
            <w:tcW w:w="120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389" w:name="XBRL_CS_9fc2fa1332024cbfbe179b2ae23aa7ba"/>
            <w:bookmarkEnd w:id="389"/>
            <w:bookmarkStart w:id="390" w:name="9fc2fa1332024cbfbe179b2ae23aa7ba"/>
            <w:r>
              <w:rPr>
                <w:rFonts w:ascii="Arial" w:eastAsia="Arial" w:hAnsi="Arial" w:cs="Arial"/>
                <w:b/>
                <w:i w:val="0"/>
                <w:strike w:val="0"/>
                <w:color w:val="000000"/>
                <w:sz w:val="13"/>
                <w:u w:val="none"/>
                <w:vertAlign w:val="baseline"/>
              </w:rPr>
              <w:t>6 523</w:t>
            </w:r>
            <w:bookmarkStart w:id="391" w:name="XBRL_CE_9fc2fa1332024cbfbe179b2ae23aa7ba"/>
            <w:bookmarkEnd w:id="390"/>
            <w:bookmarkEnd w:id="391"/>
          </w:p>
        </w:tc>
        <w:tc>
          <w:tcPr>
            <w:tcW w:w="120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392" w:name="XBRL_CS_5dfb5b3a55f24922bdb88d8bc7776c95"/>
            <w:bookmarkEnd w:id="392"/>
            <w:bookmarkStart w:id="393" w:name="5dfb5b3a55f24922bdb88d8bc7776c95"/>
            <w:r>
              <w:rPr>
                <w:rFonts w:ascii="Arial" w:eastAsia="Arial" w:hAnsi="Arial" w:cs="Arial"/>
                <w:b w:val="0"/>
                <w:i w:val="0"/>
                <w:strike w:val="0"/>
                <w:color w:val="000000"/>
                <w:sz w:val="13"/>
                <w:u w:val="none"/>
                <w:vertAlign w:val="baseline"/>
              </w:rPr>
              <w:t>6 232</w:t>
            </w:r>
            <w:bookmarkStart w:id="394" w:name="XBRL_CE_5dfb5b3a55f24922bdb88d8bc7776c95"/>
            <w:bookmarkEnd w:id="393"/>
            <w:bookmarkEnd w:id="394"/>
          </w:p>
        </w:tc>
        <w:tc>
          <w:tcPr>
            <w:tcW w:w="1080" w:type="dxa"/>
            <w:tcBorders>
              <w:top w:val="single" w:sz="8" w:space="0" w:color="0F172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0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Oma pääoma ja velat</w:t>
            </w: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Oma pääoma</w:t>
            </w:r>
          </w:p>
        </w:tc>
        <w:tc>
          <w:tcPr>
            <w:tcW w:w="1200"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00" w:type="dxa"/>
            <w:tcBorders>
              <w:top w:val="nil"/>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nil"/>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Osakepääoma</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395" w:name="XBRL_CS_3bc899d7607148daae2dbf8d566769f6"/>
            <w:bookmarkEnd w:id="395"/>
            <w:bookmarkStart w:id="396" w:name="3bc899d7607148daae2dbf8d566769f6"/>
            <w:r>
              <w:rPr>
                <w:rFonts w:ascii="Arial" w:eastAsia="Arial" w:hAnsi="Arial" w:cs="Arial"/>
                <w:b/>
                <w:i w:val="0"/>
                <w:strike w:val="0"/>
                <w:color w:val="000000"/>
                <w:sz w:val="13"/>
                <w:u w:val="none"/>
                <w:vertAlign w:val="baseline"/>
              </w:rPr>
              <w:t>336</w:t>
            </w:r>
            <w:bookmarkStart w:id="397" w:name="XBRL_CE_3bc899d7607148daae2dbf8d566769f6"/>
            <w:bookmarkEnd w:id="396"/>
            <w:bookmarkEnd w:id="397"/>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398" w:name="XBRL_CS_8d3849ea820346808860bd0eee3a231e"/>
            <w:bookmarkEnd w:id="398"/>
            <w:bookmarkStart w:id="399" w:name="8d3849ea820346808860bd0eee3a231e"/>
            <w:r>
              <w:rPr>
                <w:rFonts w:ascii="Arial" w:eastAsia="Arial" w:hAnsi="Arial" w:cs="Arial"/>
                <w:b w:val="0"/>
                <w:i w:val="0"/>
                <w:strike w:val="0"/>
                <w:color w:val="000000"/>
                <w:sz w:val="13"/>
                <w:u w:val="none"/>
                <w:vertAlign w:val="baseline"/>
              </w:rPr>
              <w:t>336</w:t>
            </w:r>
            <w:bookmarkStart w:id="400" w:name="XBRL_CE_8d3849ea820346808860bd0eee3a231e"/>
            <w:bookmarkEnd w:id="399"/>
            <w:bookmarkEnd w:id="400"/>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5.5.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Ylikurssirahasto</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401" w:name="XBRL_CS_b54bc3ec57be4c709f8f063fbd0743ee"/>
            <w:bookmarkEnd w:id="401"/>
            <w:bookmarkStart w:id="402" w:name="b54bc3ec57be4c709f8f063fbd0743ee"/>
            <w:r>
              <w:rPr>
                <w:rFonts w:ascii="Arial" w:eastAsia="Arial" w:hAnsi="Arial" w:cs="Arial"/>
                <w:b/>
                <w:i w:val="0"/>
                <w:strike w:val="0"/>
                <w:color w:val="000000"/>
                <w:sz w:val="13"/>
                <w:u w:val="none"/>
                <w:vertAlign w:val="baseline"/>
              </w:rPr>
              <w:t>61</w:t>
            </w:r>
            <w:bookmarkStart w:id="403" w:name="XBRL_CE_b54bc3ec57be4c709f8f063fbd0743ee"/>
            <w:bookmarkEnd w:id="402"/>
            <w:bookmarkEnd w:id="403"/>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404" w:name="XBRL_CS_90b0b006be59491883bf9b911fdcada8"/>
            <w:bookmarkEnd w:id="404"/>
            <w:bookmarkStart w:id="405" w:name="90b0b006be59491883bf9b911fdcada8"/>
            <w:r>
              <w:rPr>
                <w:rFonts w:ascii="Arial" w:eastAsia="Arial" w:hAnsi="Arial" w:cs="Arial"/>
                <w:b w:val="0"/>
                <w:i w:val="0"/>
                <w:strike w:val="0"/>
                <w:color w:val="000000"/>
                <w:sz w:val="13"/>
                <w:u w:val="none"/>
                <w:vertAlign w:val="baseline"/>
              </w:rPr>
              <w:t>61</w:t>
            </w:r>
            <w:bookmarkStart w:id="406" w:name="XBRL_CE_90b0b006be59491883bf9b911fdcada8"/>
            <w:bookmarkEnd w:id="405"/>
            <w:bookmarkEnd w:id="406"/>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5.5.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Muuntoerot</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407" w:name="XBRL_CS_9dd56de54cfe4b41bfc75dd037ff2eeb"/>
            <w:bookmarkEnd w:id="407"/>
            <w:bookmarkStart w:id="408" w:name="9dd56de54cfe4b41bfc75dd037ff2eeb"/>
            <w:r>
              <w:rPr>
                <w:rFonts w:ascii="Arial" w:eastAsia="Arial" w:hAnsi="Arial" w:cs="Arial"/>
                <w:b/>
                <w:i w:val="0"/>
                <w:strike w:val="0"/>
                <w:color w:val="000000"/>
                <w:sz w:val="13"/>
                <w:u w:val="none"/>
                <w:vertAlign w:val="baseline"/>
              </w:rPr>
              <w:t>-122</w:t>
            </w:r>
            <w:bookmarkStart w:id="409" w:name="XBRL_CE_9dd56de54cfe4b41bfc75dd037ff2eeb"/>
            <w:bookmarkEnd w:id="408"/>
            <w:bookmarkEnd w:id="409"/>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410" w:name="XBRL_CS_2fe0d9eb3c8a449d9c6f28e93cd457c4"/>
            <w:bookmarkEnd w:id="410"/>
            <w:bookmarkStart w:id="411" w:name="2fe0d9eb3c8a449d9c6f28e93cd457c4"/>
            <w:r>
              <w:rPr>
                <w:rFonts w:ascii="Arial" w:eastAsia="Arial" w:hAnsi="Arial" w:cs="Arial"/>
                <w:b w:val="0"/>
                <w:i w:val="0"/>
                <w:strike w:val="0"/>
                <w:color w:val="000000"/>
                <w:sz w:val="13"/>
                <w:u w:val="none"/>
                <w:vertAlign w:val="baseline"/>
              </w:rPr>
              <w:t>-197</w:t>
            </w:r>
            <w:bookmarkStart w:id="412" w:name="XBRL_CE_2fe0d9eb3c8a449d9c6f28e93cd457c4"/>
            <w:bookmarkEnd w:id="411"/>
            <w:bookmarkEnd w:id="412"/>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5.5.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Arvonmuutosrahasto</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413" w:name="XBRL_CS_f27a551d4aac4f068a06485e1cfdd206"/>
            <w:bookmarkEnd w:id="413"/>
            <w:bookmarkStart w:id="414" w:name="f27a551d4aac4f068a06485e1cfdd206"/>
            <w:r>
              <w:rPr>
                <w:rFonts w:ascii="Arial" w:eastAsia="Arial" w:hAnsi="Arial" w:cs="Arial"/>
                <w:b/>
                <w:i w:val="0"/>
                <w:strike w:val="0"/>
                <w:color w:val="000000"/>
                <w:sz w:val="13"/>
                <w:u w:val="none"/>
                <w:vertAlign w:val="baseline"/>
              </w:rPr>
              <w:t>-18</w:t>
            </w:r>
            <w:bookmarkStart w:id="415" w:name="XBRL_CE_f27a551d4aac4f068a06485e1cfdd206"/>
            <w:bookmarkEnd w:id="414"/>
            <w:bookmarkEnd w:id="415"/>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416" w:name="XBRL_CS_3f6f11238d684cc9958ed5640f20257b"/>
            <w:bookmarkEnd w:id="416"/>
            <w:bookmarkStart w:id="417" w:name="3f6f11238d684cc9958ed5640f20257b"/>
            <w:r>
              <w:rPr>
                <w:rFonts w:ascii="Arial" w:eastAsia="Arial" w:hAnsi="Arial" w:cs="Arial"/>
                <w:b w:val="0"/>
                <w:i w:val="0"/>
                <w:strike w:val="0"/>
                <w:color w:val="000000"/>
                <w:sz w:val="13"/>
                <w:u w:val="none"/>
                <w:vertAlign w:val="baseline"/>
              </w:rPr>
              <w:t>-9</w:t>
            </w:r>
            <w:bookmarkStart w:id="418" w:name="XBRL_CE_3f6f11238d684cc9958ed5640f20257b"/>
            <w:bookmarkEnd w:id="417"/>
            <w:bookmarkEnd w:id="418"/>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5.5.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88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Etuuspohjaisen nettovelan uudelleenmäärittämisestä johtuvat erät</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419" w:name="XBRL_CS_878a7579ec114fa59a9fa909a5d7dd73"/>
            <w:bookmarkEnd w:id="419"/>
            <w:bookmarkStart w:id="420" w:name="878a7579ec114fa59a9fa909a5d7dd73"/>
            <w:r>
              <w:rPr>
                <w:rFonts w:ascii="Arial" w:eastAsia="Arial" w:hAnsi="Arial" w:cs="Arial"/>
                <w:b/>
                <w:i w:val="0"/>
                <w:strike w:val="0"/>
                <w:color w:val="000000"/>
                <w:sz w:val="13"/>
                <w:u w:val="none"/>
                <w:vertAlign w:val="baseline"/>
              </w:rPr>
              <w:t>-36</w:t>
            </w:r>
            <w:bookmarkStart w:id="421" w:name="XBRL_CE_878a7579ec114fa59a9fa909a5d7dd73"/>
            <w:bookmarkEnd w:id="420"/>
            <w:bookmarkEnd w:id="421"/>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422" w:name="XBRL_CS_8476ff2cafda4c8ab6cf12aa1b60e41c"/>
            <w:bookmarkEnd w:id="422"/>
            <w:bookmarkStart w:id="423" w:name="8476ff2cafda4c8ab6cf12aa1b60e41c"/>
            <w:r>
              <w:rPr>
                <w:rFonts w:ascii="Arial" w:eastAsia="Arial" w:hAnsi="Arial" w:cs="Arial"/>
                <w:b w:val="0"/>
                <w:i w:val="0"/>
                <w:strike w:val="0"/>
                <w:color w:val="000000"/>
                <w:sz w:val="13"/>
                <w:u w:val="none"/>
                <w:vertAlign w:val="baseline"/>
              </w:rPr>
              <w:t>-45</w:t>
            </w:r>
            <w:bookmarkStart w:id="424" w:name="XBRL_CE_8476ff2cafda4c8ab6cf12aa1b60e41c"/>
            <w:bookmarkEnd w:id="423"/>
            <w:bookmarkEnd w:id="424"/>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4.7.</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Kertyneet voittovarat</w:t>
            </w:r>
          </w:p>
        </w:tc>
        <w:tc>
          <w:tcPr>
            <w:tcW w:w="120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425" w:name="XBRL_CS_ffc8e2d3d9254add9d3b52468376e858"/>
            <w:bookmarkEnd w:id="425"/>
            <w:bookmarkStart w:id="426" w:name="ffc8e2d3d9254add9d3b52468376e858"/>
            <w:r>
              <w:rPr>
                <w:rFonts w:ascii="Arial" w:eastAsia="Arial" w:hAnsi="Arial" w:cs="Arial"/>
                <w:b/>
                <w:i w:val="0"/>
                <w:strike w:val="0"/>
                <w:color w:val="000000"/>
                <w:sz w:val="13"/>
                <w:u w:val="none"/>
                <w:vertAlign w:val="baseline"/>
              </w:rPr>
              <w:t>2 094</w:t>
            </w:r>
            <w:bookmarkStart w:id="427" w:name="XBRL_CE_ffc8e2d3d9254add9d3b52468376e858"/>
            <w:bookmarkEnd w:id="426"/>
            <w:bookmarkEnd w:id="427"/>
          </w:p>
        </w:tc>
        <w:tc>
          <w:tcPr>
            <w:tcW w:w="120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428" w:name="XBRL_CS_e2fa6735662844e7855370337921fa41"/>
            <w:bookmarkEnd w:id="428"/>
            <w:bookmarkStart w:id="429" w:name="e2fa6735662844e7855370337921fa41"/>
            <w:r>
              <w:rPr>
                <w:rFonts w:ascii="Arial" w:eastAsia="Arial" w:hAnsi="Arial" w:cs="Arial"/>
                <w:b w:val="0"/>
                <w:i w:val="0"/>
                <w:strike w:val="0"/>
                <w:color w:val="000000"/>
                <w:sz w:val="13"/>
                <w:u w:val="none"/>
                <w:vertAlign w:val="baseline"/>
              </w:rPr>
              <w:t>2 030</w:t>
            </w:r>
            <w:bookmarkStart w:id="430" w:name="XBRL_CE_e2fa6735662844e7855370337921fa41"/>
            <w:bookmarkEnd w:id="429"/>
            <w:bookmarkEnd w:id="430"/>
          </w:p>
        </w:tc>
        <w:tc>
          <w:tcPr>
            <w:tcW w:w="108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3885"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Emoyhtiön omistajille kuuluva oma pääoma</w:t>
            </w:r>
          </w:p>
        </w:tc>
        <w:tc>
          <w:tcPr>
            <w:tcW w:w="120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431" w:name="XBRL_CS_9fe422201bbf431988fb02f6f74336cd"/>
            <w:bookmarkEnd w:id="431"/>
            <w:bookmarkStart w:id="432" w:name="9fe422201bbf431988fb02f6f74336cd"/>
            <w:r>
              <w:rPr>
                <w:rFonts w:ascii="Arial" w:eastAsia="Arial" w:hAnsi="Arial" w:cs="Arial"/>
                <w:b/>
                <w:i w:val="0"/>
                <w:strike w:val="0"/>
                <w:color w:val="000000"/>
                <w:sz w:val="13"/>
                <w:u w:val="none"/>
                <w:vertAlign w:val="baseline"/>
              </w:rPr>
              <w:t>2 315</w:t>
            </w:r>
            <w:bookmarkStart w:id="433" w:name="XBRL_CE_9fe422201bbf431988fb02f6f74336cd"/>
            <w:bookmarkEnd w:id="432"/>
            <w:bookmarkEnd w:id="433"/>
          </w:p>
        </w:tc>
        <w:tc>
          <w:tcPr>
            <w:tcW w:w="120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434" w:name="XBRL_CS_2689bfd625af4e96962d50809b99c15a"/>
            <w:bookmarkEnd w:id="434"/>
            <w:bookmarkStart w:id="435" w:name="2689bfd625af4e96962d50809b99c15a"/>
            <w:r>
              <w:rPr>
                <w:rFonts w:ascii="Arial" w:eastAsia="Arial" w:hAnsi="Arial" w:cs="Arial"/>
                <w:b w:val="0"/>
                <w:i w:val="0"/>
                <w:strike w:val="0"/>
                <w:color w:val="000000"/>
                <w:sz w:val="13"/>
                <w:u w:val="none"/>
                <w:vertAlign w:val="baseline"/>
              </w:rPr>
              <w:t>2 177</w:t>
            </w:r>
            <w:bookmarkStart w:id="436" w:name="XBRL_CE_2689bfd625af4e96962d50809b99c15a"/>
            <w:bookmarkEnd w:id="435"/>
            <w:bookmarkEnd w:id="436"/>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nil"/>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Määräysvallattomien omistajien osuus</w:t>
            </w:r>
          </w:p>
        </w:tc>
        <w:tc>
          <w:tcPr>
            <w:tcW w:w="1200" w:type="dxa"/>
            <w:tcBorders>
              <w:top w:val="nil"/>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437" w:name="XBRL_CS_8a8a8846e96d469f8b5fffdabb4484e3"/>
            <w:bookmarkEnd w:id="437"/>
            <w:bookmarkStart w:id="438" w:name="8a8a8846e96d469f8b5fffdabb4484e3"/>
            <w:r>
              <w:rPr>
                <w:rFonts w:ascii="Arial" w:eastAsia="Arial" w:hAnsi="Arial" w:cs="Arial"/>
                <w:b/>
                <w:i w:val="0"/>
                <w:strike w:val="0"/>
                <w:color w:val="000000"/>
                <w:sz w:val="13"/>
                <w:u w:val="none"/>
                <w:vertAlign w:val="baseline"/>
              </w:rPr>
              <w:t>8</w:t>
            </w:r>
            <w:bookmarkStart w:id="439" w:name="XBRL_CE_8a8a8846e96d469f8b5fffdabb4484e3"/>
            <w:bookmarkEnd w:id="438"/>
            <w:bookmarkEnd w:id="439"/>
          </w:p>
        </w:tc>
        <w:tc>
          <w:tcPr>
            <w:tcW w:w="1200" w:type="dxa"/>
            <w:tcBorders>
              <w:top w:val="nil"/>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440" w:name="XBRL_CS_11cd934f96ea483495ba50f3cd813e8a"/>
            <w:bookmarkEnd w:id="440"/>
            <w:bookmarkStart w:id="441" w:name="11cd934f96ea483495ba50f3cd813e8a"/>
            <w:r>
              <w:rPr>
                <w:rFonts w:ascii="Arial" w:eastAsia="Arial" w:hAnsi="Arial" w:cs="Arial"/>
                <w:b w:val="0"/>
                <w:i w:val="0"/>
                <w:strike w:val="0"/>
                <w:color w:val="000000"/>
                <w:sz w:val="13"/>
                <w:u w:val="none"/>
                <w:vertAlign w:val="baseline"/>
              </w:rPr>
              <w:t>11</w:t>
            </w:r>
            <w:bookmarkStart w:id="442" w:name="XBRL_CE_11cd934f96ea483495ba50f3cd813e8a"/>
            <w:bookmarkEnd w:id="441"/>
            <w:bookmarkEnd w:id="442"/>
          </w:p>
        </w:tc>
        <w:tc>
          <w:tcPr>
            <w:tcW w:w="1080" w:type="dxa"/>
            <w:tcBorders>
              <w:top w:val="nil"/>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Oma pääoma yhteensä</w:t>
            </w:r>
          </w:p>
        </w:tc>
        <w:tc>
          <w:tcPr>
            <w:tcW w:w="120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443" w:name="XBRL_CS_8a50c570edec4a7fa55cd588c9be716c"/>
            <w:bookmarkEnd w:id="443"/>
            <w:bookmarkStart w:id="444" w:name="8a50c570edec4a7fa55cd588c9be716c"/>
            <w:r>
              <w:rPr>
                <w:rFonts w:ascii="Arial" w:eastAsia="Arial" w:hAnsi="Arial" w:cs="Arial"/>
                <w:b/>
                <w:i w:val="0"/>
                <w:strike w:val="0"/>
                <w:color w:val="000000"/>
                <w:sz w:val="13"/>
                <w:u w:val="none"/>
                <w:vertAlign w:val="baseline"/>
              </w:rPr>
              <w:t>2 323</w:t>
            </w:r>
            <w:bookmarkStart w:id="445" w:name="XBRL_CE_8a50c570edec4a7fa55cd588c9be716c"/>
            <w:bookmarkEnd w:id="444"/>
            <w:bookmarkEnd w:id="445"/>
          </w:p>
        </w:tc>
        <w:tc>
          <w:tcPr>
            <w:tcW w:w="120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446" w:name="XBRL_CS_224a8a4ba411458ca1a4a38f700324ad"/>
            <w:bookmarkEnd w:id="446"/>
            <w:bookmarkStart w:id="447" w:name="224a8a4ba411458ca1a4a38f700324ad"/>
            <w:r>
              <w:rPr>
                <w:rFonts w:ascii="Arial" w:eastAsia="Arial" w:hAnsi="Arial" w:cs="Arial"/>
                <w:b w:val="0"/>
                <w:i w:val="0"/>
                <w:strike w:val="0"/>
                <w:color w:val="000000"/>
                <w:sz w:val="13"/>
                <w:u w:val="none"/>
                <w:vertAlign w:val="baseline"/>
              </w:rPr>
              <w:t>2 188</w:t>
            </w:r>
            <w:bookmarkStart w:id="448" w:name="XBRL_CE_224a8a4ba411458ca1a4a38f700324ad"/>
            <w:bookmarkEnd w:id="447"/>
            <w:bookmarkEnd w:id="448"/>
          </w:p>
        </w:tc>
        <w:tc>
          <w:tcPr>
            <w:tcW w:w="1080" w:type="dxa"/>
            <w:tcBorders>
              <w:top w:val="single" w:sz="8" w:space="0" w:color="0F172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0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0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Velat</w:t>
            </w: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Pitkäaikaiset velat</w:t>
            </w:r>
          </w:p>
        </w:tc>
        <w:tc>
          <w:tcPr>
            <w:tcW w:w="1200"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00" w:type="dxa"/>
            <w:tcBorders>
              <w:top w:val="nil"/>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nil"/>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Vuokrasopimusvelat</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449" w:name="XBRL_CS_b6fac93e237241ac8fe98b704a810798"/>
            <w:bookmarkEnd w:id="449"/>
            <w:bookmarkStart w:id="450" w:name="b6fac93e237241ac8fe98b704a810798"/>
            <w:r>
              <w:rPr>
                <w:rFonts w:ascii="Arial" w:eastAsia="Arial" w:hAnsi="Arial" w:cs="Arial"/>
                <w:b/>
                <w:i w:val="0"/>
                <w:strike w:val="0"/>
                <w:color w:val="000000"/>
                <w:sz w:val="13"/>
                <w:u w:val="none"/>
                <w:vertAlign w:val="baseline"/>
              </w:rPr>
              <w:t>157</w:t>
            </w:r>
            <w:bookmarkStart w:id="451" w:name="XBRL_CE_b6fac93e237241ac8fe98b704a810798"/>
            <w:bookmarkEnd w:id="450"/>
            <w:bookmarkEnd w:id="451"/>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452" w:name="XBRL_CS_9bfb162a50324e5faddcc92d34145ce1"/>
            <w:bookmarkEnd w:id="452"/>
            <w:bookmarkStart w:id="453" w:name="9bfb162a50324e5faddcc92d34145ce1"/>
            <w:r>
              <w:rPr>
                <w:rFonts w:ascii="Arial" w:eastAsia="Arial" w:hAnsi="Arial" w:cs="Arial"/>
                <w:b w:val="0"/>
                <w:i w:val="0"/>
                <w:strike w:val="0"/>
                <w:color w:val="000000"/>
                <w:sz w:val="13"/>
                <w:u w:val="none"/>
                <w:vertAlign w:val="baseline"/>
              </w:rPr>
              <w:t>124</w:t>
            </w:r>
            <w:bookmarkStart w:id="454" w:name="XBRL_CE_9bfb162a50324e5faddcc92d34145ce1"/>
            <w:bookmarkEnd w:id="453"/>
            <w:bookmarkEnd w:id="454"/>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3.4., 5.4.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korolliset velat</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455" w:name="XBRL_CS_71b25d74a586425fab715f8425997cc7"/>
            <w:bookmarkEnd w:id="455"/>
            <w:bookmarkStart w:id="456" w:name="71b25d74a586425fab715f8425997cc7"/>
            <w:r>
              <w:rPr>
                <w:rFonts w:ascii="Arial" w:eastAsia="Arial" w:hAnsi="Arial" w:cs="Arial"/>
                <w:b/>
                <w:i w:val="0"/>
                <w:strike w:val="0"/>
                <w:color w:val="000000"/>
                <w:sz w:val="13"/>
                <w:u w:val="none"/>
                <w:vertAlign w:val="baseline"/>
              </w:rPr>
              <w:t>694</w:t>
            </w:r>
            <w:bookmarkStart w:id="457" w:name="XBRL_CE_71b25d74a586425fab715f8425997cc7"/>
            <w:bookmarkEnd w:id="456"/>
            <w:bookmarkEnd w:id="457"/>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458" w:name="XBRL_CS_8c38645497124ee5a7b62d38f95fb515"/>
            <w:bookmarkEnd w:id="458"/>
            <w:bookmarkStart w:id="459" w:name="8c38645497124ee5a7b62d38f95fb515"/>
            <w:r>
              <w:rPr>
                <w:rFonts w:ascii="Arial" w:eastAsia="Arial" w:hAnsi="Arial" w:cs="Arial"/>
                <w:b w:val="0"/>
                <w:i w:val="0"/>
                <w:strike w:val="0"/>
                <w:color w:val="000000"/>
                <w:sz w:val="13"/>
                <w:u w:val="none"/>
                <w:vertAlign w:val="baseline"/>
              </w:rPr>
              <w:t>1 005</w:t>
            </w:r>
            <w:bookmarkStart w:id="460" w:name="XBRL_CE_8c38645497124ee5a7b62d38f95fb515"/>
            <w:bookmarkEnd w:id="459"/>
            <w:bookmarkEnd w:id="460"/>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5.2., 5.4., 5.6.</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Laskennalliset verovelat</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461" w:name="XBRL_CS_271a8442599c48238e302555822c32cb"/>
            <w:bookmarkEnd w:id="461"/>
            <w:bookmarkStart w:id="462" w:name="271a8442599c48238e302555822c32cb"/>
            <w:r>
              <w:rPr>
                <w:rFonts w:ascii="Arial" w:eastAsia="Arial" w:hAnsi="Arial" w:cs="Arial"/>
                <w:b/>
                <w:i w:val="0"/>
                <w:strike w:val="0"/>
                <w:color w:val="000000"/>
                <w:sz w:val="13"/>
                <w:u w:val="none"/>
                <w:vertAlign w:val="baseline"/>
              </w:rPr>
              <w:t>65</w:t>
            </w:r>
            <w:bookmarkStart w:id="463" w:name="XBRL_CE_271a8442599c48238e302555822c32cb"/>
            <w:bookmarkEnd w:id="462"/>
            <w:bookmarkEnd w:id="463"/>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464" w:name="XBRL_CS_0f7b1ea0befb4e5787bc47c54e24a17d"/>
            <w:bookmarkEnd w:id="464"/>
            <w:bookmarkStart w:id="465" w:name="0f7b1ea0befb4e5787bc47c54e24a17d"/>
            <w:r>
              <w:rPr>
                <w:rFonts w:ascii="Arial" w:eastAsia="Arial" w:hAnsi="Arial" w:cs="Arial"/>
                <w:b w:val="0"/>
                <w:i w:val="0"/>
                <w:strike w:val="0"/>
                <w:color w:val="000000"/>
                <w:sz w:val="13"/>
                <w:u w:val="none"/>
                <w:vertAlign w:val="baseline"/>
              </w:rPr>
              <w:t>76</w:t>
            </w:r>
            <w:bookmarkStart w:id="466" w:name="XBRL_CE_0f7b1ea0befb4e5787bc47c54e24a17d"/>
            <w:bookmarkEnd w:id="465"/>
            <w:bookmarkEnd w:id="466"/>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4.6.</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Eläkevelvoitteet</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467" w:name="XBRL_CS_e6a6c6ce69d04ef2803431ca24a12d93"/>
            <w:bookmarkEnd w:id="467"/>
            <w:bookmarkStart w:id="468" w:name="e6a6c6ce69d04ef2803431ca24a12d93"/>
            <w:r>
              <w:rPr>
                <w:rFonts w:ascii="Arial" w:eastAsia="Arial" w:hAnsi="Arial" w:cs="Arial"/>
                <w:b/>
                <w:i w:val="0"/>
                <w:strike w:val="0"/>
                <w:color w:val="000000"/>
                <w:sz w:val="13"/>
                <w:u w:val="none"/>
                <w:vertAlign w:val="baseline"/>
              </w:rPr>
              <w:t>126</w:t>
            </w:r>
            <w:bookmarkStart w:id="469" w:name="XBRL_CE_e6a6c6ce69d04ef2803431ca24a12d93"/>
            <w:bookmarkEnd w:id="468"/>
            <w:bookmarkEnd w:id="469"/>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470" w:name="XBRL_CS_b307dc3ebe8445ecaf434d087abc9edb"/>
            <w:bookmarkEnd w:id="470"/>
            <w:bookmarkStart w:id="471" w:name="b307dc3ebe8445ecaf434d087abc9edb"/>
            <w:r>
              <w:rPr>
                <w:rFonts w:ascii="Arial" w:eastAsia="Arial" w:hAnsi="Arial" w:cs="Arial"/>
                <w:b w:val="0"/>
                <w:i w:val="0"/>
                <w:strike w:val="0"/>
                <w:color w:val="000000"/>
                <w:sz w:val="13"/>
                <w:u w:val="none"/>
                <w:vertAlign w:val="baseline"/>
              </w:rPr>
              <w:t>139</w:t>
            </w:r>
            <w:bookmarkStart w:id="472" w:name="XBRL_CE_b307dc3ebe8445ecaf434d087abc9edb"/>
            <w:bookmarkEnd w:id="471"/>
            <w:bookmarkEnd w:id="472"/>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4.7.</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Varaukset</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473" w:name="XBRL_CS_777033d1158e45eb8c6422eb535549d9"/>
            <w:bookmarkEnd w:id="473"/>
            <w:bookmarkStart w:id="474" w:name="777033d1158e45eb8c6422eb535549d9"/>
            <w:r>
              <w:rPr>
                <w:rFonts w:ascii="Arial" w:eastAsia="Arial" w:hAnsi="Arial" w:cs="Arial"/>
                <w:b/>
                <w:i w:val="0"/>
                <w:strike w:val="0"/>
                <w:color w:val="000000"/>
                <w:sz w:val="13"/>
                <w:u w:val="none"/>
                <w:vertAlign w:val="baseline"/>
              </w:rPr>
              <w:t>73</w:t>
            </w:r>
            <w:bookmarkStart w:id="475" w:name="XBRL_CE_777033d1158e45eb8c6422eb535549d9"/>
            <w:bookmarkEnd w:id="474"/>
            <w:bookmarkEnd w:id="475"/>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476" w:name="XBRL_CS_54d1eea9f9e542caa6aca09a6c84745a"/>
            <w:bookmarkEnd w:id="476"/>
            <w:bookmarkStart w:id="477" w:name="54d1eea9f9e542caa6aca09a6c84745a"/>
            <w:r>
              <w:rPr>
                <w:rFonts w:ascii="Arial" w:eastAsia="Arial" w:hAnsi="Arial" w:cs="Arial"/>
                <w:b w:val="0"/>
                <w:i w:val="0"/>
                <w:strike w:val="0"/>
                <w:color w:val="000000"/>
                <w:sz w:val="13"/>
                <w:u w:val="none"/>
                <w:vertAlign w:val="baseline"/>
              </w:rPr>
              <w:t>55</w:t>
            </w:r>
            <w:bookmarkStart w:id="478" w:name="XBRL_CE_54d1eea9f9e542caa6aca09a6c84745a"/>
            <w:bookmarkEnd w:id="477"/>
            <w:bookmarkEnd w:id="478"/>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4.5.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Sopimukseen perustuvat velat</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479" w:name="XBRL_CS_b939053a145047bd8276cd457ddbd177"/>
            <w:bookmarkEnd w:id="479"/>
            <w:bookmarkStart w:id="480" w:name="b939053a145047bd8276cd457ddbd177"/>
            <w:r>
              <w:rPr>
                <w:rFonts w:ascii="Arial" w:eastAsia="Arial" w:hAnsi="Arial" w:cs="Arial"/>
                <w:b/>
                <w:i w:val="0"/>
                <w:strike w:val="0"/>
                <w:color w:val="000000"/>
                <w:sz w:val="13"/>
                <w:u w:val="none"/>
                <w:vertAlign w:val="baseline"/>
              </w:rPr>
              <w:t>37</w:t>
            </w:r>
            <w:bookmarkStart w:id="481" w:name="XBRL_CE_b939053a145047bd8276cd457ddbd177"/>
            <w:bookmarkEnd w:id="480"/>
            <w:bookmarkEnd w:id="481"/>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482" w:name="XBRL_CS_9b630af7c9884aeda65308044fa13c04"/>
            <w:bookmarkEnd w:id="482"/>
            <w:bookmarkStart w:id="483" w:name="9b630af7c9884aeda65308044fa13c04"/>
            <w:r>
              <w:rPr>
                <w:rFonts w:ascii="Arial" w:eastAsia="Arial" w:hAnsi="Arial" w:cs="Arial"/>
                <w:b w:val="0"/>
                <w:i w:val="0"/>
                <w:strike w:val="0"/>
                <w:color w:val="000000"/>
                <w:sz w:val="13"/>
                <w:u w:val="none"/>
                <w:vertAlign w:val="baseline"/>
              </w:rPr>
              <w:t>51</w:t>
            </w:r>
            <w:bookmarkStart w:id="484" w:name="XBRL_CE_9b630af7c9884aeda65308044fa13c04"/>
            <w:bookmarkEnd w:id="483"/>
            <w:bookmarkEnd w:id="484"/>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4.2.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velat</w:t>
            </w:r>
          </w:p>
        </w:tc>
        <w:tc>
          <w:tcPr>
            <w:tcW w:w="120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485" w:name="XBRL_CS_dc890fdaeb084397b1f3d103ebe46e11"/>
            <w:bookmarkEnd w:id="485"/>
            <w:bookmarkStart w:id="486" w:name="dc890fdaeb084397b1f3d103ebe46e11"/>
            <w:r>
              <w:rPr>
                <w:rFonts w:ascii="Arial" w:eastAsia="Arial" w:hAnsi="Arial" w:cs="Arial"/>
                <w:b/>
                <w:i w:val="0"/>
                <w:strike w:val="0"/>
                <w:color w:val="000000"/>
                <w:sz w:val="13"/>
                <w:u w:val="none"/>
                <w:vertAlign w:val="baseline"/>
              </w:rPr>
              <w:t>1</w:t>
            </w:r>
            <w:bookmarkStart w:id="487" w:name="XBRL_CE_dc890fdaeb084397b1f3d103ebe46e11"/>
            <w:bookmarkEnd w:id="486"/>
            <w:bookmarkEnd w:id="487"/>
          </w:p>
        </w:tc>
        <w:tc>
          <w:tcPr>
            <w:tcW w:w="120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488" w:name="XBRL_CS_b39769f4ce1b46658f22602d7a5968bd"/>
            <w:bookmarkEnd w:id="488"/>
            <w:bookmarkStart w:id="489" w:name="b39769f4ce1b46658f22602d7a5968bd"/>
            <w:r>
              <w:rPr>
                <w:rFonts w:ascii="Arial" w:eastAsia="Arial" w:hAnsi="Arial" w:cs="Arial"/>
                <w:b w:val="0"/>
                <w:i w:val="0"/>
                <w:strike w:val="0"/>
                <w:color w:val="000000"/>
                <w:sz w:val="13"/>
                <w:u w:val="none"/>
                <w:vertAlign w:val="baseline"/>
              </w:rPr>
              <w:t>1</w:t>
            </w:r>
            <w:bookmarkStart w:id="490" w:name="XBRL_CE_b39769f4ce1b46658f22602d7a5968bd"/>
            <w:bookmarkEnd w:id="489"/>
            <w:bookmarkEnd w:id="490"/>
          </w:p>
        </w:tc>
        <w:tc>
          <w:tcPr>
            <w:tcW w:w="108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3.4., 4.4.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Pitkäaikaiset velat yhteensä</w:t>
            </w:r>
          </w:p>
        </w:tc>
        <w:tc>
          <w:tcPr>
            <w:tcW w:w="120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491" w:name="XBRL_CS_240d47c1ea6e4aa6939187fcdbf40a1c"/>
            <w:bookmarkEnd w:id="491"/>
            <w:bookmarkStart w:id="492" w:name="240d47c1ea6e4aa6939187fcdbf40a1c"/>
            <w:r>
              <w:rPr>
                <w:rFonts w:ascii="Arial" w:eastAsia="Arial" w:hAnsi="Arial" w:cs="Arial"/>
                <w:b/>
                <w:i w:val="0"/>
                <w:strike w:val="0"/>
                <w:color w:val="000000"/>
                <w:sz w:val="13"/>
                <w:u w:val="none"/>
                <w:vertAlign w:val="baseline"/>
              </w:rPr>
              <w:t>1 153</w:t>
            </w:r>
            <w:bookmarkStart w:id="493" w:name="XBRL_CE_240d47c1ea6e4aa6939187fcdbf40a1c"/>
            <w:bookmarkEnd w:id="492"/>
            <w:bookmarkEnd w:id="493"/>
          </w:p>
        </w:tc>
        <w:tc>
          <w:tcPr>
            <w:tcW w:w="120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494" w:name="XBRL_CS_3561da5bb52241908b97d1fa405962a3"/>
            <w:bookmarkEnd w:id="494"/>
            <w:bookmarkStart w:id="495" w:name="3561da5bb52241908b97d1fa405962a3"/>
            <w:r>
              <w:rPr>
                <w:rFonts w:ascii="Arial" w:eastAsia="Arial" w:hAnsi="Arial" w:cs="Arial"/>
                <w:b w:val="0"/>
                <w:i w:val="0"/>
                <w:strike w:val="0"/>
                <w:color w:val="000000"/>
                <w:sz w:val="13"/>
                <w:u w:val="none"/>
                <w:vertAlign w:val="baseline"/>
              </w:rPr>
              <w:t>1 451</w:t>
            </w:r>
            <w:bookmarkStart w:id="496" w:name="XBRL_CE_3561da5bb52241908b97d1fa405962a3"/>
            <w:bookmarkEnd w:id="495"/>
            <w:bookmarkEnd w:id="496"/>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Lyhytaikaiset velat</w:t>
            </w: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Vuokrasopimusvelat</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497" w:name="XBRL_CS_34f5d36e877c4fd48fc9f12480103643"/>
            <w:bookmarkEnd w:id="497"/>
            <w:bookmarkStart w:id="498" w:name="34f5d36e877c4fd48fc9f12480103643"/>
            <w:r>
              <w:rPr>
                <w:rFonts w:ascii="Arial" w:eastAsia="Arial" w:hAnsi="Arial" w:cs="Arial"/>
                <w:b/>
                <w:i w:val="0"/>
                <w:strike w:val="0"/>
                <w:color w:val="000000"/>
                <w:sz w:val="13"/>
                <w:u w:val="none"/>
                <w:vertAlign w:val="baseline"/>
              </w:rPr>
              <w:t>39</w:t>
            </w:r>
            <w:bookmarkStart w:id="499" w:name="XBRL_CE_34f5d36e877c4fd48fc9f12480103643"/>
            <w:bookmarkEnd w:id="498"/>
            <w:bookmarkEnd w:id="499"/>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500" w:name="XBRL_CS_941b4c463b5448869ee82c85e694065f"/>
            <w:bookmarkEnd w:id="500"/>
            <w:bookmarkStart w:id="501" w:name="941b4c463b5448869ee82c85e694065f"/>
            <w:r>
              <w:rPr>
                <w:rFonts w:ascii="Arial" w:eastAsia="Arial" w:hAnsi="Arial" w:cs="Arial"/>
                <w:b w:val="0"/>
                <w:i w:val="0"/>
                <w:strike w:val="0"/>
                <w:color w:val="000000"/>
                <w:sz w:val="13"/>
                <w:u w:val="none"/>
                <w:vertAlign w:val="baseline"/>
              </w:rPr>
              <w:t>42</w:t>
            </w:r>
            <w:bookmarkStart w:id="502" w:name="XBRL_CE_941b4c463b5448869ee82c85e694065f"/>
            <w:bookmarkEnd w:id="501"/>
            <w:bookmarkEnd w:id="502"/>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3.4., 5.4.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korolliset velat</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503" w:name="XBRL_CS_5c6faf720c2c4bfc8dfeb42143786563"/>
            <w:bookmarkEnd w:id="503"/>
            <w:bookmarkStart w:id="504" w:name="5c6faf720c2c4bfc8dfeb42143786563"/>
            <w:r>
              <w:rPr>
                <w:rFonts w:ascii="Arial" w:eastAsia="Arial" w:hAnsi="Arial" w:cs="Arial"/>
                <w:b/>
                <w:i w:val="0"/>
                <w:strike w:val="0"/>
                <w:color w:val="000000"/>
                <w:sz w:val="13"/>
                <w:u w:val="none"/>
                <w:vertAlign w:val="baseline"/>
              </w:rPr>
              <w:t>82</w:t>
            </w:r>
            <w:bookmarkStart w:id="505" w:name="XBRL_CE_5c6faf720c2c4bfc8dfeb42143786563"/>
            <w:bookmarkEnd w:id="504"/>
            <w:bookmarkEnd w:id="505"/>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506" w:name="XBRL_CS_cbd3c5baee7044b590412e534d4255f7"/>
            <w:bookmarkEnd w:id="506"/>
            <w:bookmarkStart w:id="507" w:name="cbd3c5baee7044b590412e534d4255f7"/>
            <w:r>
              <w:rPr>
                <w:rFonts w:ascii="Arial" w:eastAsia="Arial" w:hAnsi="Arial" w:cs="Arial"/>
                <w:b w:val="0"/>
                <w:i w:val="0"/>
                <w:strike w:val="0"/>
                <w:color w:val="000000"/>
                <w:sz w:val="13"/>
                <w:u w:val="none"/>
                <w:vertAlign w:val="baseline"/>
              </w:rPr>
              <w:t>156</w:t>
            </w:r>
            <w:bookmarkStart w:id="508" w:name="XBRL_CE_cbd3c5baee7044b590412e534d4255f7"/>
            <w:bookmarkEnd w:id="507"/>
            <w:bookmarkEnd w:id="508"/>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5.2., 5.4., 5.6.</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Varaukset</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509" w:name="XBRL_CS_c0ce1666931b49b296e669b81ce4f76b"/>
            <w:bookmarkEnd w:id="509"/>
            <w:bookmarkStart w:id="510" w:name="c0ce1666931b49b296e669b81ce4f76b"/>
            <w:r>
              <w:rPr>
                <w:rFonts w:ascii="Arial" w:eastAsia="Arial" w:hAnsi="Arial" w:cs="Arial"/>
                <w:b/>
                <w:i w:val="0"/>
                <w:strike w:val="0"/>
                <w:color w:val="000000"/>
                <w:sz w:val="13"/>
                <w:u w:val="none"/>
                <w:vertAlign w:val="baseline"/>
              </w:rPr>
              <w:t>241</w:t>
            </w:r>
            <w:bookmarkStart w:id="511" w:name="XBRL_CE_c0ce1666931b49b296e669b81ce4f76b"/>
            <w:bookmarkEnd w:id="510"/>
            <w:bookmarkEnd w:id="511"/>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512" w:name="XBRL_CS_75bafc38d69e458bb697d45fdbc08d18"/>
            <w:bookmarkEnd w:id="512"/>
            <w:bookmarkStart w:id="513" w:name="75bafc38d69e458bb697d45fdbc08d18"/>
            <w:r>
              <w:rPr>
                <w:rFonts w:ascii="Arial" w:eastAsia="Arial" w:hAnsi="Arial" w:cs="Arial"/>
                <w:b w:val="0"/>
                <w:i w:val="0"/>
                <w:strike w:val="0"/>
                <w:color w:val="000000"/>
                <w:sz w:val="13"/>
                <w:u w:val="none"/>
                <w:vertAlign w:val="baseline"/>
              </w:rPr>
              <w:t>269</w:t>
            </w:r>
            <w:bookmarkStart w:id="514" w:name="XBRL_CE_75bafc38d69e458bb697d45fdbc08d18"/>
            <w:bookmarkEnd w:id="513"/>
            <w:bookmarkEnd w:id="514"/>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4.5.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Ostovelat</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515" w:name="XBRL_CS_dc6b948af0a94635a4b02f56a26df416"/>
            <w:bookmarkEnd w:id="515"/>
            <w:bookmarkStart w:id="516" w:name="dc6b948af0a94635a4b02f56a26df416"/>
            <w:r>
              <w:rPr>
                <w:rFonts w:ascii="Arial" w:eastAsia="Arial" w:hAnsi="Arial" w:cs="Arial"/>
                <w:b/>
                <w:i w:val="0"/>
                <w:strike w:val="0"/>
                <w:color w:val="000000"/>
                <w:sz w:val="13"/>
                <w:u w:val="none"/>
                <w:vertAlign w:val="baseline"/>
              </w:rPr>
              <w:t>714</w:t>
            </w:r>
            <w:bookmarkStart w:id="517" w:name="XBRL_CE_dc6b948af0a94635a4b02f56a26df416"/>
            <w:bookmarkEnd w:id="516"/>
            <w:bookmarkEnd w:id="517"/>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518" w:name="XBRL_CS_33326b8a1ee44facb7f4a14b70297343"/>
            <w:bookmarkEnd w:id="518"/>
            <w:bookmarkStart w:id="519" w:name="33326b8a1ee44facb7f4a14b70297343"/>
            <w:r>
              <w:rPr>
                <w:rFonts w:ascii="Arial" w:eastAsia="Arial" w:hAnsi="Arial" w:cs="Arial"/>
                <w:b w:val="0"/>
                <w:i w:val="0"/>
                <w:strike w:val="0"/>
                <w:color w:val="000000"/>
                <w:sz w:val="13"/>
                <w:u w:val="none"/>
                <w:vertAlign w:val="baseline"/>
              </w:rPr>
              <w:t>411</w:t>
            </w:r>
            <w:bookmarkStart w:id="520" w:name="XBRL_CE_33326b8a1ee44facb7f4a14b70297343"/>
            <w:bookmarkEnd w:id="519"/>
            <w:bookmarkEnd w:id="520"/>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4.4., 5.2., 5.6.</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Verovelat</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521" w:name="XBRL_CS_aab6e62bd4784ee9a62ed25d23da837f"/>
            <w:bookmarkEnd w:id="521"/>
            <w:bookmarkStart w:id="522" w:name="aab6e62bd4784ee9a62ed25d23da837f"/>
            <w:r>
              <w:rPr>
                <w:rFonts w:ascii="Arial" w:eastAsia="Arial" w:hAnsi="Arial" w:cs="Arial"/>
                <w:b/>
                <w:i w:val="0"/>
                <w:strike w:val="0"/>
                <w:color w:val="000000"/>
                <w:sz w:val="13"/>
                <w:u w:val="none"/>
                <w:vertAlign w:val="baseline"/>
              </w:rPr>
              <w:t>63</w:t>
            </w:r>
            <w:bookmarkStart w:id="523" w:name="XBRL_CE_aab6e62bd4784ee9a62ed25d23da837f"/>
            <w:bookmarkEnd w:id="522"/>
            <w:bookmarkEnd w:id="523"/>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524" w:name="XBRL_CS_a26a64c2242546e097cbffcb9230f9b8"/>
            <w:bookmarkEnd w:id="524"/>
            <w:bookmarkStart w:id="525" w:name="a26a64c2242546e097cbffcb9230f9b8"/>
            <w:r>
              <w:rPr>
                <w:rFonts w:ascii="Arial" w:eastAsia="Arial" w:hAnsi="Arial" w:cs="Arial"/>
                <w:b w:val="0"/>
                <w:i w:val="0"/>
                <w:strike w:val="0"/>
                <w:color w:val="000000"/>
                <w:sz w:val="13"/>
                <w:u w:val="none"/>
                <w:vertAlign w:val="baseline"/>
              </w:rPr>
              <w:t>56</w:t>
            </w:r>
            <w:bookmarkStart w:id="526" w:name="XBRL_CE_a26a64c2242546e097cbffcb9230f9b8"/>
            <w:bookmarkEnd w:id="525"/>
            <w:bookmarkEnd w:id="526"/>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Sopimukseen perustuvat velat</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527" w:name="XBRL_CS_e7f4cc6aca044cf29226b99614c644ba"/>
            <w:bookmarkEnd w:id="527"/>
            <w:bookmarkStart w:id="528" w:name="e7f4cc6aca044cf29226b99614c644ba"/>
            <w:r>
              <w:rPr>
                <w:rFonts w:ascii="Arial" w:eastAsia="Arial" w:hAnsi="Arial" w:cs="Arial"/>
                <w:b/>
                <w:i w:val="0"/>
                <w:strike w:val="0"/>
                <w:color w:val="000000"/>
                <w:sz w:val="13"/>
                <w:u w:val="none"/>
                <w:vertAlign w:val="baseline"/>
              </w:rPr>
              <w:t>1 231</w:t>
            </w:r>
            <w:bookmarkStart w:id="529" w:name="XBRL_CE_e7f4cc6aca044cf29226b99614c644ba"/>
            <w:bookmarkEnd w:id="528"/>
            <w:bookmarkEnd w:id="529"/>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530" w:name="XBRL_CS_907fbbbba8ac427f937aea5aa68db60c"/>
            <w:bookmarkEnd w:id="530"/>
            <w:bookmarkStart w:id="531" w:name="907fbbbba8ac427f937aea5aa68db60c"/>
            <w:r>
              <w:rPr>
                <w:rFonts w:ascii="Arial" w:eastAsia="Arial" w:hAnsi="Arial" w:cs="Arial"/>
                <w:b w:val="0"/>
                <w:i w:val="0"/>
                <w:strike w:val="0"/>
                <w:color w:val="000000"/>
                <w:sz w:val="13"/>
                <w:u w:val="none"/>
                <w:vertAlign w:val="baseline"/>
              </w:rPr>
              <w:t>926</w:t>
            </w:r>
            <w:bookmarkStart w:id="532" w:name="XBRL_CE_907fbbbba8ac427f937aea5aa68db60c"/>
            <w:bookmarkEnd w:id="531"/>
            <w:bookmarkEnd w:id="532"/>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4.2.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velat</w:t>
            </w:r>
          </w:p>
        </w:tc>
        <w:tc>
          <w:tcPr>
            <w:tcW w:w="120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533" w:name="XBRL_CS_bd1a7f2d021141e285b77ec956a861f0"/>
            <w:bookmarkEnd w:id="533"/>
            <w:bookmarkStart w:id="534" w:name="bd1a7f2d021141e285b77ec956a861f0"/>
            <w:r>
              <w:rPr>
                <w:rFonts w:ascii="Arial" w:eastAsia="Arial" w:hAnsi="Arial" w:cs="Arial"/>
                <w:b/>
                <w:i w:val="0"/>
                <w:strike w:val="0"/>
                <w:color w:val="000000"/>
                <w:sz w:val="13"/>
                <w:u w:val="none"/>
                <w:vertAlign w:val="baseline"/>
              </w:rPr>
              <w:t>676</w:t>
            </w:r>
            <w:bookmarkStart w:id="535" w:name="XBRL_CE_bd1a7f2d021141e285b77ec956a861f0"/>
            <w:bookmarkEnd w:id="534"/>
            <w:bookmarkEnd w:id="535"/>
          </w:p>
        </w:tc>
        <w:tc>
          <w:tcPr>
            <w:tcW w:w="120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536" w:name="XBRL_CS_76443251da8343d5bbe727d0d3a6a408"/>
            <w:bookmarkEnd w:id="536"/>
            <w:bookmarkStart w:id="537" w:name="76443251da8343d5bbe727d0d3a6a408"/>
            <w:r>
              <w:rPr>
                <w:rFonts w:ascii="Arial" w:eastAsia="Arial" w:hAnsi="Arial" w:cs="Arial"/>
                <w:b w:val="0"/>
                <w:i w:val="0"/>
                <w:strike w:val="0"/>
                <w:color w:val="000000"/>
                <w:sz w:val="13"/>
                <w:u w:val="none"/>
                <w:vertAlign w:val="baseline"/>
              </w:rPr>
              <w:t>664</w:t>
            </w:r>
            <w:bookmarkStart w:id="538" w:name="XBRL_CE_76443251da8343d5bbe727d0d3a6a408"/>
            <w:bookmarkEnd w:id="537"/>
            <w:bookmarkEnd w:id="538"/>
          </w:p>
        </w:tc>
        <w:tc>
          <w:tcPr>
            <w:tcW w:w="108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3.4., 4.4.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Lyhytaikaiset velat yhteensä</w:t>
            </w:r>
          </w:p>
        </w:tc>
        <w:tc>
          <w:tcPr>
            <w:tcW w:w="120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539" w:name="XBRL_CS_7b6c9e1ab017414897e7ea9f71aa4ed2"/>
            <w:bookmarkEnd w:id="539"/>
            <w:bookmarkStart w:id="540" w:name="7b6c9e1ab017414897e7ea9f71aa4ed2"/>
            <w:r>
              <w:rPr>
                <w:rFonts w:ascii="Arial" w:eastAsia="Arial" w:hAnsi="Arial" w:cs="Arial"/>
                <w:b/>
                <w:i w:val="0"/>
                <w:strike w:val="0"/>
                <w:color w:val="000000"/>
                <w:sz w:val="13"/>
                <w:u w:val="none"/>
                <w:vertAlign w:val="baseline"/>
              </w:rPr>
              <w:t>3 047</w:t>
            </w:r>
            <w:bookmarkStart w:id="541" w:name="XBRL_CE_7b6c9e1ab017414897e7ea9f71aa4ed2"/>
            <w:bookmarkEnd w:id="540"/>
            <w:bookmarkEnd w:id="541"/>
          </w:p>
        </w:tc>
        <w:tc>
          <w:tcPr>
            <w:tcW w:w="120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542" w:name="XBRL_CS_ed80fcfa4fc64c9587f869a3b723af6e"/>
            <w:bookmarkEnd w:id="542"/>
            <w:bookmarkStart w:id="543" w:name="ed80fcfa4fc64c9587f869a3b723af6e"/>
            <w:r>
              <w:rPr>
                <w:rFonts w:ascii="Arial" w:eastAsia="Arial" w:hAnsi="Arial" w:cs="Arial"/>
                <w:b w:val="0"/>
                <w:i w:val="0"/>
                <w:strike w:val="0"/>
                <w:color w:val="000000"/>
                <w:sz w:val="13"/>
                <w:u w:val="none"/>
                <w:vertAlign w:val="baseline"/>
              </w:rPr>
              <w:t>2 524</w:t>
            </w:r>
            <w:bookmarkStart w:id="544" w:name="XBRL_CE_ed80fcfa4fc64c9587f869a3b723af6e"/>
            <w:bookmarkEnd w:id="543"/>
            <w:bookmarkEnd w:id="544"/>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0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Velat yhteensä</w:t>
            </w:r>
          </w:p>
        </w:tc>
        <w:tc>
          <w:tcPr>
            <w:tcW w:w="120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545" w:name="XBRL_CS_9de84eb8d4e748fb9bbed310e754d9f2"/>
            <w:bookmarkEnd w:id="545"/>
            <w:bookmarkStart w:id="546" w:name="9de84eb8d4e748fb9bbed310e754d9f2"/>
            <w:r>
              <w:rPr>
                <w:rFonts w:ascii="Arial" w:eastAsia="Arial" w:hAnsi="Arial" w:cs="Arial"/>
                <w:b/>
                <w:i w:val="0"/>
                <w:strike w:val="0"/>
                <w:color w:val="000000"/>
                <w:sz w:val="13"/>
                <w:u w:val="none"/>
                <w:vertAlign w:val="baseline"/>
              </w:rPr>
              <w:t>4 199</w:t>
            </w:r>
            <w:bookmarkStart w:id="547" w:name="XBRL_CE_9de84eb8d4e748fb9bbed310e754d9f2"/>
            <w:bookmarkEnd w:id="546"/>
            <w:bookmarkEnd w:id="547"/>
          </w:p>
        </w:tc>
        <w:tc>
          <w:tcPr>
            <w:tcW w:w="120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548" w:name="XBRL_CS_28ddff99f24f485a96c1c2edc24b7107"/>
            <w:bookmarkEnd w:id="548"/>
            <w:bookmarkStart w:id="549" w:name="28ddff99f24f485a96c1c2edc24b7107"/>
            <w:r>
              <w:rPr>
                <w:rFonts w:ascii="Arial" w:eastAsia="Arial" w:hAnsi="Arial" w:cs="Arial"/>
                <w:b w:val="0"/>
                <w:i w:val="0"/>
                <w:strike w:val="0"/>
                <w:color w:val="000000"/>
                <w:sz w:val="13"/>
                <w:u w:val="none"/>
                <w:vertAlign w:val="baseline"/>
              </w:rPr>
              <w:t>3 975</w:t>
            </w:r>
            <w:bookmarkStart w:id="550" w:name="XBRL_CE_28ddff99f24f485a96c1c2edc24b7107"/>
            <w:bookmarkEnd w:id="549"/>
            <w:bookmarkEnd w:id="550"/>
          </w:p>
        </w:tc>
        <w:tc>
          <w:tcPr>
            <w:tcW w:w="1080" w:type="dxa"/>
            <w:tcBorders>
              <w:top w:val="single" w:sz="8" w:space="0" w:color="0F172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0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Myytävänä oleviin omaisuuseriin liittyvät velat</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bookmarkStart w:id="551" w:name="XBRL_CS_8cec0eb4d7cd4f5bae48e5854e64a871"/>
            <w:bookmarkEnd w:id="551"/>
            <w:bookmarkStart w:id="552" w:name="8cec0eb4d7cd4f5bae48e5854e64a871"/>
            <w:r>
              <w:rPr>
                <w:rFonts w:ascii="Arial" w:eastAsia="Arial" w:hAnsi="Arial" w:cs="Arial"/>
                <w:b/>
                <w:i w:val="0"/>
                <w:strike w:val="0"/>
                <w:color w:val="E7EBED"/>
                <w:sz w:val="13"/>
                <w:u w:val="none"/>
                <w:vertAlign w:val="baseline"/>
              </w:rPr>
              <w:t>0</w:t>
            </w:r>
            <w:bookmarkStart w:id="553" w:name="XBRL_CE_8cec0eb4d7cd4f5bae48e5854e64a871"/>
            <w:bookmarkEnd w:id="552"/>
            <w:bookmarkEnd w:id="553"/>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554" w:name="XBRL_CS_029cc8a3b2794051bc2d44d19b5b839f"/>
            <w:bookmarkEnd w:id="554"/>
            <w:bookmarkStart w:id="555" w:name="029cc8a3b2794051bc2d44d19b5b839f"/>
            <w:r>
              <w:rPr>
                <w:rFonts w:ascii="Arial" w:eastAsia="Arial" w:hAnsi="Arial" w:cs="Arial"/>
                <w:b w:val="0"/>
                <w:i w:val="0"/>
                <w:strike w:val="0"/>
                <w:color w:val="000000"/>
                <w:sz w:val="13"/>
                <w:u w:val="none"/>
                <w:vertAlign w:val="baseline"/>
              </w:rPr>
              <w:t>68</w:t>
            </w:r>
            <w:bookmarkStart w:id="556" w:name="XBRL_CE_029cc8a3b2794051bc2d44d19b5b839f"/>
            <w:bookmarkEnd w:id="555"/>
            <w:bookmarkEnd w:id="556"/>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6.3.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388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Oma pääoma ja velat yhteensä</w:t>
            </w:r>
          </w:p>
        </w:tc>
        <w:tc>
          <w:tcPr>
            <w:tcW w:w="120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557" w:name="XBRL_CS_71bf16f28eee4191820e61c892dd0d90"/>
            <w:bookmarkEnd w:id="557"/>
            <w:bookmarkStart w:id="558" w:name="71bf16f28eee4191820e61c892dd0d90"/>
            <w:r>
              <w:rPr>
                <w:rFonts w:ascii="Arial" w:eastAsia="Arial" w:hAnsi="Arial" w:cs="Arial"/>
                <w:b/>
                <w:i w:val="0"/>
                <w:strike w:val="0"/>
                <w:color w:val="000000"/>
                <w:sz w:val="13"/>
                <w:u w:val="none"/>
                <w:vertAlign w:val="baseline"/>
              </w:rPr>
              <w:t>6 523</w:t>
            </w:r>
            <w:bookmarkStart w:id="559" w:name="XBRL_CE_71bf16f28eee4191820e61c892dd0d90"/>
            <w:bookmarkEnd w:id="558"/>
            <w:bookmarkEnd w:id="559"/>
          </w:p>
        </w:tc>
        <w:tc>
          <w:tcPr>
            <w:tcW w:w="120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560" w:name="XBRL_CS_2f813372bfb24ed6874969282c33a90e"/>
            <w:bookmarkEnd w:id="560"/>
            <w:bookmarkStart w:id="561" w:name="2f813372bfb24ed6874969282c33a90e"/>
            <w:r>
              <w:rPr>
                <w:rFonts w:ascii="Arial" w:eastAsia="Arial" w:hAnsi="Arial" w:cs="Arial"/>
                <w:b w:val="0"/>
                <w:i w:val="0"/>
                <w:strike w:val="0"/>
                <w:color w:val="000000"/>
                <w:sz w:val="13"/>
                <w:u w:val="none"/>
                <w:vertAlign w:val="baseline"/>
              </w:rPr>
              <w:t>6 232</w:t>
            </w:r>
            <w:bookmarkStart w:id="562" w:name="XBRL_CE_2f813372bfb24ed6874969282c33a90e"/>
            <w:bookmarkEnd w:id="561"/>
            <w:bookmarkEnd w:id="562"/>
          </w:p>
        </w:tc>
        <w:tc>
          <w:tcPr>
            <w:tcW w:w="1080" w:type="dxa"/>
            <w:tcBorders>
              <w:top w:val="single" w:sz="8" w:space="0" w:color="0F172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99B7C4"/>
                <w:sz w:val="13"/>
                <w:u w:val="none"/>
                <w:vertAlign w:val="baseline"/>
              </w:rPr>
            </w:pPr>
          </w:p>
        </w:tc>
      </w:tr>
    </w:tbl>
    <w:p w:rsidR="00137450" w:rsidP="002642EE" w14:paraId="5597E54E" w14:textId="77777777">
      <w:pPr>
        <w:pStyle w:val="Bodytext2"/>
        <w:rPr>
          <w:lang w:val="fi-FI"/>
        </w:rPr>
      </w:pPr>
      <w:bookmarkStart w:id="563" w:name="RG_MARKER_7426"/>
      <w:bookmarkEnd w:id="563"/>
    </w:p>
    <w:p w:rsidR="002642EE" w:rsidRPr="00D868F7" w:rsidP="002642EE" w14:paraId="1C0B00D4" w14:textId="030AEFA3">
      <w:pPr>
        <w:pStyle w:val="Bodytext2"/>
        <w:rPr>
          <w:sz w:val="2"/>
          <w:szCs w:val="2"/>
          <w:lang w:val="fi-FI"/>
        </w:rPr>
      </w:pPr>
      <w:r w:rsidRPr="00D868F7">
        <w:rPr>
          <w:lang w:val="fi-FI"/>
        </w:rPr>
        <w:t>Liitetiedot ovat osa tätä tilinpäätöstä.</w:t>
      </w:r>
      <w:r w:rsidRPr="00D868F7">
        <w:rPr>
          <w:sz w:val="2"/>
          <w:szCs w:val="2"/>
          <w:lang w:val="fi-FI"/>
        </w:rPr>
        <w:br w:type="column"/>
      </w:r>
    </w:p>
    <w:p w:rsidR="002642EE" w:rsidP="008B15A1" w14:textId="54F1F690">
      <w:pPr>
        <w:pStyle w:val="Heading105"/>
        <w:spacing w:after="120"/>
      </w:pPr>
      <w:bookmarkStart w:id="564" w:name="RG_MARKER_7421"/>
      <w:r>
        <w:t>KONSERNIN RAHAVIRTALASKELMA</w:t>
      </w:r>
      <w:bookmarkEnd w:id="564"/>
    </w:p>
    <w:p/>
    <w:tbl>
      <w:tblPr>
        <w:tblStyle w:val="CDMRange2"/>
        <w:tblW w:w="7365" w:type="dxa"/>
        <w:tblLayout w:type="fixed"/>
        <w:tblLook w:val="0600"/>
      </w:tblPr>
      <w:tblGrid>
        <w:gridCol w:w="3885"/>
        <w:gridCol w:w="1200"/>
        <w:gridCol w:w="1200"/>
        <w:gridCol w:w="1080"/>
      </w:tblGrid>
      <w:tr>
        <w:tblPrEx>
          <w:tblW w:w="7365" w:type="dxa"/>
          <w:tblLayout w:type="fixed"/>
          <w:tblLook w:val="0600"/>
        </w:tblPrEx>
        <w:trPr>
          <w:trHeight w:hRule="exact" w:val="240"/>
        </w:trPr>
        <w:tc>
          <w:tcPr>
            <w:tcW w:w="388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0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20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c>
          <w:tcPr>
            <w:tcW w:w="108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Liite</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Liiketoiminnan rahavirta:</w:t>
            </w:r>
          </w:p>
        </w:tc>
        <w:tc>
          <w:tcPr>
            <w:tcW w:w="120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0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Tilikauden tulos</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565" w:name="XBRL_CS_470167a9d84a4391bd5404c7885503d9"/>
            <w:bookmarkEnd w:id="565"/>
            <w:bookmarkStart w:id="566" w:name="470167a9d84a4391bd5404c7885503d9"/>
            <w:r>
              <w:rPr>
                <w:rFonts w:ascii="Arial" w:eastAsia="Arial" w:hAnsi="Arial" w:cs="Arial"/>
                <w:b/>
                <w:i w:val="0"/>
                <w:strike w:val="0"/>
                <w:color w:val="000000"/>
                <w:sz w:val="13"/>
                <w:u w:val="none"/>
                <w:vertAlign w:val="baseline"/>
              </w:rPr>
              <w:t>193</w:t>
            </w:r>
            <w:bookmarkStart w:id="567" w:name="XBRL_CE_470167a9d84a4391bd5404c7885503d9"/>
            <w:bookmarkEnd w:id="566"/>
            <w:bookmarkEnd w:id="567"/>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568" w:name="XBRL_CS_4627f347a1c14afe9d4ea7627b347473"/>
            <w:bookmarkEnd w:id="568"/>
            <w:bookmarkStart w:id="569" w:name="4627f347a1c14afe9d4ea7627b347473"/>
            <w:r>
              <w:rPr>
                <w:rFonts w:ascii="Arial" w:eastAsia="Arial" w:hAnsi="Arial" w:cs="Arial"/>
                <w:b w:val="0"/>
                <w:i w:val="0"/>
                <w:strike w:val="0"/>
                <w:color w:val="000000"/>
                <w:sz w:val="13"/>
                <w:u w:val="none"/>
                <w:vertAlign w:val="baseline"/>
              </w:rPr>
              <w:t>133</w:t>
            </w:r>
            <w:bookmarkStart w:id="570" w:name="XBRL_CE_4627f347a1c14afe9d4ea7627b347473"/>
            <w:bookmarkEnd w:id="569"/>
            <w:bookmarkEnd w:id="570"/>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Oikaisut:</w:t>
            </w: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auto" w:fill="auto"/>
            <w:noWrap/>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Poistot ja arvonalentumiset</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571" w:name="XBRL_CS_0580d0191f1f4a09ac3819a7a9af32a1"/>
            <w:bookmarkEnd w:id="571"/>
            <w:bookmarkStart w:id="572" w:name="0580d0191f1f4a09ac3819a7a9af32a1"/>
            <w:r>
              <w:rPr>
                <w:rFonts w:ascii="Arial" w:eastAsia="Arial" w:hAnsi="Arial" w:cs="Arial"/>
                <w:b/>
                <w:i w:val="0"/>
                <w:strike w:val="0"/>
                <w:color w:val="000000"/>
                <w:sz w:val="13"/>
                <w:u w:val="none"/>
                <w:vertAlign w:val="baseline"/>
              </w:rPr>
              <w:t>162</w:t>
            </w:r>
            <w:bookmarkStart w:id="573" w:name="XBRL_CE_0580d0191f1f4a09ac3819a7a9af32a1"/>
            <w:bookmarkEnd w:id="572"/>
            <w:bookmarkEnd w:id="573"/>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574" w:name="XBRL_CS_8f2ed0225af6468293f2b31d8ae90a0a"/>
            <w:bookmarkEnd w:id="574"/>
            <w:bookmarkStart w:id="575" w:name="8f2ed0225af6468293f2b31d8ae90a0a"/>
            <w:r>
              <w:rPr>
                <w:rFonts w:ascii="Arial" w:eastAsia="Arial" w:hAnsi="Arial" w:cs="Arial"/>
                <w:b w:val="0"/>
                <w:i w:val="0"/>
                <w:strike w:val="0"/>
                <w:color w:val="000000"/>
                <w:sz w:val="13"/>
                <w:u w:val="none"/>
                <w:vertAlign w:val="baseline"/>
              </w:rPr>
              <w:t>174</w:t>
            </w:r>
            <w:bookmarkStart w:id="576" w:name="XBRL_CE_8f2ed0225af6468293f2b31d8ae90a0a"/>
            <w:bookmarkEnd w:id="575"/>
            <w:bookmarkEnd w:id="576"/>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3.5.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auto" w:fill="auto"/>
            <w:noWrap/>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Rahoitustuotot ja -kulut</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577" w:name="XBRL_CS_c89a34091672442db30dea540341677c"/>
            <w:bookmarkEnd w:id="577"/>
            <w:bookmarkStart w:id="578" w:name="c89a34091672442db30dea540341677c"/>
            <w:r>
              <w:rPr>
                <w:rFonts w:ascii="Arial" w:eastAsia="Arial" w:hAnsi="Arial" w:cs="Arial"/>
                <w:b/>
                <w:i w:val="0"/>
                <w:strike w:val="0"/>
                <w:color w:val="000000"/>
                <w:sz w:val="13"/>
                <w:u w:val="none"/>
                <w:vertAlign w:val="baseline"/>
              </w:rPr>
              <w:t>18</w:t>
            </w:r>
            <w:bookmarkStart w:id="579" w:name="XBRL_CE_c89a34091672442db30dea540341677c"/>
            <w:bookmarkEnd w:id="578"/>
            <w:bookmarkEnd w:id="579"/>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580" w:name="XBRL_CS_ee6652620ab44e5c81e4040ebfea9a5e"/>
            <w:bookmarkEnd w:id="580"/>
            <w:bookmarkStart w:id="581" w:name="ee6652620ab44e5c81e4040ebfea9a5e"/>
            <w:r>
              <w:rPr>
                <w:rFonts w:ascii="Arial" w:eastAsia="Arial" w:hAnsi="Arial" w:cs="Arial"/>
                <w:b w:val="0"/>
                <w:i w:val="0"/>
                <w:strike w:val="0"/>
                <w:color w:val="000000"/>
                <w:sz w:val="13"/>
                <w:u w:val="none"/>
                <w:vertAlign w:val="baseline"/>
              </w:rPr>
              <w:t>43</w:t>
            </w:r>
            <w:bookmarkStart w:id="582" w:name="XBRL_CE_ee6652620ab44e5c81e4040ebfea9a5e"/>
            <w:bookmarkEnd w:id="581"/>
            <w:bookmarkEnd w:id="582"/>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5.1.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val="0"/>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Aineettomien ja aineellisten hyödykkeiden myyntivoitot ja -tappiot ja muut oikaisut</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bookmarkStart w:id="583" w:name="XBRL_CS_635e66ab4d0d4da384955191fe124b3f"/>
            <w:bookmarkEnd w:id="583"/>
            <w:bookmarkStart w:id="584" w:name="635e66ab4d0d4da384955191fe124b3f"/>
            <w:r>
              <w:rPr>
                <w:rFonts w:ascii="Arial" w:eastAsia="Arial" w:hAnsi="Arial" w:cs="Arial"/>
                <w:b/>
                <w:i w:val="0"/>
                <w:strike w:val="0"/>
                <w:color w:val="E7EBED"/>
                <w:sz w:val="13"/>
                <w:u w:val="none"/>
                <w:vertAlign w:val="baseline"/>
              </w:rPr>
              <w:t>0</w:t>
            </w:r>
            <w:bookmarkStart w:id="585" w:name="XBRL_CE_635e66ab4d0d4da384955191fe124b3f"/>
            <w:bookmarkEnd w:id="584"/>
            <w:bookmarkEnd w:id="585"/>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586" w:name="XBRL_CS_86e41ffeddf54ac8a2728e838702a95b"/>
            <w:bookmarkEnd w:id="586"/>
            <w:bookmarkStart w:id="587" w:name="86e41ffeddf54ac8a2728e838702a95b"/>
            <w:r>
              <w:rPr>
                <w:rFonts w:ascii="Arial" w:eastAsia="Arial" w:hAnsi="Arial" w:cs="Arial"/>
                <w:b w:val="0"/>
                <w:i w:val="0"/>
                <w:strike w:val="0"/>
                <w:color w:val="000000"/>
                <w:sz w:val="13"/>
                <w:u w:val="none"/>
                <w:vertAlign w:val="baseline"/>
              </w:rPr>
              <w:t>-9</w:t>
            </w:r>
            <w:bookmarkStart w:id="588" w:name="XBRL_CE_86e41ffeddf54ac8a2728e838702a95b"/>
            <w:bookmarkEnd w:id="587"/>
            <w:bookmarkEnd w:id="588"/>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auto" w:fill="auto"/>
            <w:noWrap/>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Osuus osakkuus- ja yhteisyritysten tuloksista</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589" w:name="XBRL_CS_91ce4ba52d6d4a2c95fd355356bf51cc"/>
            <w:bookmarkEnd w:id="589"/>
            <w:bookmarkStart w:id="590" w:name="91ce4ba52d6d4a2c95fd355356bf51cc"/>
            <w:r>
              <w:rPr>
                <w:rFonts w:ascii="Arial" w:eastAsia="Arial" w:hAnsi="Arial" w:cs="Arial"/>
                <w:b/>
                <w:i w:val="0"/>
                <w:strike w:val="0"/>
                <w:color w:val="000000"/>
                <w:sz w:val="13"/>
                <w:u w:val="none"/>
                <w:vertAlign w:val="baseline"/>
              </w:rPr>
              <w:t>-3</w:t>
            </w:r>
            <w:bookmarkStart w:id="591" w:name="XBRL_CE_91ce4ba52d6d4a2c95fd355356bf51cc"/>
            <w:bookmarkEnd w:id="590"/>
            <w:bookmarkEnd w:id="591"/>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592" w:name="XBRL_CS_3401022329b6432a9e72ce590d4053c9"/>
            <w:bookmarkEnd w:id="592"/>
            <w:bookmarkStart w:id="593" w:name="3401022329b6432a9e72ce590d4053c9"/>
            <w:r>
              <w:rPr>
                <w:rFonts w:ascii="Arial" w:eastAsia="Arial" w:hAnsi="Arial" w:cs="Arial"/>
                <w:b w:val="0"/>
                <w:i w:val="0"/>
                <w:strike w:val="0"/>
                <w:color w:val="000000"/>
                <w:sz w:val="13"/>
                <w:u w:val="none"/>
                <w:vertAlign w:val="baseline"/>
              </w:rPr>
              <w:t>-3</w:t>
            </w:r>
            <w:bookmarkStart w:id="594" w:name="XBRL_CE_3401022329b6432a9e72ce590d4053c9"/>
            <w:bookmarkEnd w:id="593"/>
            <w:bookmarkEnd w:id="594"/>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6.4.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auto" w:fill="auto"/>
            <w:noWrap/>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Tuloverot</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595" w:name="XBRL_CS_e0bc3716bc6f4201b05bd0eaf5c8f45f"/>
            <w:bookmarkEnd w:id="595"/>
            <w:bookmarkStart w:id="596" w:name="e0bc3716bc6f4201b05bd0eaf5c8f45f"/>
            <w:r>
              <w:rPr>
                <w:rFonts w:ascii="Arial" w:eastAsia="Arial" w:hAnsi="Arial" w:cs="Arial"/>
                <w:b/>
                <w:i w:val="0"/>
                <w:strike w:val="0"/>
                <w:color w:val="000000"/>
                <w:sz w:val="13"/>
                <w:u w:val="none"/>
                <w:vertAlign w:val="baseline"/>
              </w:rPr>
              <w:t>103</w:t>
            </w:r>
            <w:bookmarkStart w:id="597" w:name="XBRL_CE_e0bc3716bc6f4201b05bd0eaf5c8f45f"/>
            <w:bookmarkEnd w:id="596"/>
            <w:bookmarkEnd w:id="597"/>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598" w:name="XBRL_CS_1814e53b478a4363ad9a2fed150315e3"/>
            <w:bookmarkEnd w:id="598"/>
            <w:bookmarkStart w:id="599" w:name="1814e53b478a4363ad9a2fed150315e3"/>
            <w:r>
              <w:rPr>
                <w:rFonts w:ascii="Arial" w:eastAsia="Arial" w:hAnsi="Arial" w:cs="Arial"/>
                <w:b w:val="0"/>
                <w:i w:val="0"/>
                <w:strike w:val="0"/>
                <w:color w:val="000000"/>
                <w:sz w:val="13"/>
                <w:u w:val="none"/>
                <w:vertAlign w:val="baseline"/>
              </w:rPr>
              <w:t>58</w:t>
            </w:r>
            <w:bookmarkStart w:id="600" w:name="XBRL_CE_1814e53b478a4363ad9a2fed150315e3"/>
            <w:bookmarkEnd w:id="599"/>
            <w:bookmarkEnd w:id="600"/>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2.6.</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8" w:space="0" w:color="0F172B"/>
              <w:right w:val="nil"/>
              <w:tl2br w:val="nil"/>
              <w:tr2bl w:val="nil"/>
            </w:tcBorders>
            <w:shd w:val="clear" w:color="auto" w:fill="auto"/>
            <w:noWrap/>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 xml:space="preserve">Muut oikaisut, joilla ei ole rahavirtavaikutusta </w:t>
            </w:r>
          </w:p>
        </w:tc>
        <w:tc>
          <w:tcPr>
            <w:tcW w:w="120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601" w:name="XBRL_CS_397f92c9ac384e378bdcf0e1d26fce6d"/>
            <w:bookmarkEnd w:id="601"/>
            <w:bookmarkStart w:id="602" w:name="397f92c9ac384e378bdcf0e1d26fce6d"/>
            <w:r>
              <w:rPr>
                <w:rFonts w:ascii="Arial" w:eastAsia="Arial" w:hAnsi="Arial" w:cs="Arial"/>
                <w:b/>
                <w:i w:val="0"/>
                <w:strike w:val="0"/>
                <w:color w:val="000000"/>
                <w:sz w:val="13"/>
                <w:u w:val="none"/>
                <w:vertAlign w:val="baseline"/>
              </w:rPr>
              <w:t>6</w:t>
            </w:r>
            <w:bookmarkStart w:id="603" w:name="XBRL_CE_397f92c9ac384e378bdcf0e1d26fce6d"/>
            <w:bookmarkEnd w:id="602"/>
            <w:bookmarkEnd w:id="603"/>
          </w:p>
        </w:tc>
        <w:tc>
          <w:tcPr>
            <w:tcW w:w="120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604" w:name="XBRL_CS_98618db01a55403bbda9072c8bd0eb76"/>
            <w:bookmarkEnd w:id="604"/>
            <w:bookmarkStart w:id="605" w:name="98618db01a55403bbda9072c8bd0eb76"/>
            <w:r>
              <w:rPr>
                <w:rFonts w:ascii="Arial" w:eastAsia="Arial" w:hAnsi="Arial" w:cs="Arial"/>
                <w:b w:val="0"/>
                <w:i w:val="0"/>
                <w:strike w:val="0"/>
                <w:color w:val="000000"/>
                <w:sz w:val="13"/>
                <w:u w:val="none"/>
                <w:vertAlign w:val="baseline"/>
              </w:rPr>
              <w:t>7</w:t>
            </w:r>
            <w:bookmarkStart w:id="606" w:name="XBRL_CE_98618db01a55403bbda9072c8bd0eb76"/>
            <w:bookmarkEnd w:id="605"/>
            <w:bookmarkEnd w:id="606"/>
          </w:p>
        </w:tc>
        <w:tc>
          <w:tcPr>
            <w:tcW w:w="108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Liiketoiminnan rahavirta ennen käyttöpääoman muutosta</w:t>
            </w:r>
          </w:p>
        </w:tc>
        <w:tc>
          <w:tcPr>
            <w:tcW w:w="120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607" w:name="XBRL_CS_d85f7dd627034a87acfcc10291e3978e"/>
            <w:bookmarkEnd w:id="607"/>
            <w:bookmarkStart w:id="608" w:name="d85f7dd627034a87acfcc10291e3978e"/>
            <w:r>
              <w:rPr>
                <w:rFonts w:ascii="Arial" w:eastAsia="Arial" w:hAnsi="Arial" w:cs="Arial"/>
                <w:b/>
                <w:i w:val="0"/>
                <w:strike w:val="0"/>
                <w:color w:val="000000"/>
                <w:sz w:val="13"/>
                <w:u w:val="none"/>
                <w:vertAlign w:val="baseline"/>
              </w:rPr>
              <w:t>478</w:t>
            </w:r>
            <w:bookmarkStart w:id="609" w:name="XBRL_CE_d85f7dd627034a87acfcc10291e3978e"/>
            <w:bookmarkEnd w:id="608"/>
            <w:bookmarkEnd w:id="609"/>
          </w:p>
        </w:tc>
        <w:tc>
          <w:tcPr>
            <w:tcW w:w="120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610" w:name="XBRL_CS_1e05be62276349789f965c767437ee20"/>
            <w:bookmarkEnd w:id="610"/>
            <w:bookmarkStart w:id="611" w:name="1e05be62276349789f965c767437ee20"/>
            <w:r>
              <w:rPr>
                <w:rFonts w:ascii="Arial" w:eastAsia="Arial" w:hAnsi="Arial" w:cs="Arial"/>
                <w:b w:val="0"/>
                <w:i w:val="0"/>
                <w:strike w:val="0"/>
                <w:color w:val="000000"/>
                <w:sz w:val="13"/>
                <w:u w:val="none"/>
                <w:vertAlign w:val="baseline"/>
              </w:rPr>
              <w:t>403</w:t>
            </w:r>
            <w:bookmarkStart w:id="612" w:name="XBRL_CE_1e05be62276349789f965c767437ee20"/>
            <w:bookmarkEnd w:id="611"/>
            <w:bookmarkEnd w:id="612"/>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Käyttöpääoman muutos:</w:t>
            </w: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Korottomien saamisten lisäys (-) / vähennys (+)</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613" w:name="XBRL_CS_d995889e1c9647dfac46f71049633df8"/>
            <w:bookmarkEnd w:id="613"/>
            <w:bookmarkStart w:id="614" w:name="d995889e1c9647dfac46f71049633df8"/>
            <w:r>
              <w:rPr>
                <w:rFonts w:ascii="Arial" w:eastAsia="Arial" w:hAnsi="Arial" w:cs="Arial"/>
                <w:b/>
                <w:i w:val="0"/>
                <w:strike w:val="0"/>
                <w:color w:val="000000"/>
                <w:sz w:val="13"/>
                <w:u w:val="none"/>
                <w:vertAlign w:val="baseline"/>
              </w:rPr>
              <w:t>-177</w:t>
            </w:r>
            <w:bookmarkStart w:id="615" w:name="XBRL_CE_d995889e1c9647dfac46f71049633df8"/>
            <w:bookmarkEnd w:id="614"/>
            <w:bookmarkEnd w:id="615"/>
          </w:p>
        </w:tc>
        <w:tc>
          <w:tcPr>
            <w:tcW w:w="120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616" w:name="XBRL_CS_33633314bda240b18ef05301e1073afa"/>
            <w:bookmarkEnd w:id="616"/>
            <w:bookmarkStart w:id="617" w:name="33633314bda240b18ef05301e1073afa"/>
            <w:r>
              <w:rPr>
                <w:rFonts w:ascii="Arial" w:eastAsia="Arial" w:hAnsi="Arial" w:cs="Arial"/>
                <w:b w:val="0"/>
                <w:i w:val="0"/>
                <w:strike w:val="0"/>
                <w:color w:val="000000"/>
                <w:sz w:val="13"/>
                <w:u w:val="none"/>
                <w:vertAlign w:val="baseline"/>
              </w:rPr>
              <w:t>338</w:t>
            </w:r>
            <w:bookmarkStart w:id="618" w:name="XBRL_CE_33633314bda240b18ef05301e1073afa"/>
            <w:bookmarkEnd w:id="617"/>
            <w:bookmarkEnd w:id="618"/>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Vaihto-omaisuuden lisäys (-) / vähennys (+)</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619" w:name="XBRL_CS_4e463b51504f4ccf86007e5d353a0dfb"/>
            <w:bookmarkEnd w:id="619"/>
            <w:bookmarkStart w:id="620" w:name="4e463b51504f4ccf86007e5d353a0dfb"/>
            <w:r>
              <w:rPr>
                <w:rFonts w:ascii="Arial" w:eastAsia="Arial" w:hAnsi="Arial" w:cs="Arial"/>
                <w:b/>
                <w:i w:val="0"/>
                <w:strike w:val="0"/>
                <w:color w:val="000000"/>
                <w:sz w:val="13"/>
                <w:u w:val="none"/>
                <w:vertAlign w:val="baseline"/>
              </w:rPr>
              <w:t>29</w:t>
            </w:r>
            <w:bookmarkStart w:id="621" w:name="XBRL_CE_4e463b51504f4ccf86007e5d353a0dfb"/>
            <w:bookmarkEnd w:id="620"/>
            <w:bookmarkEnd w:id="621"/>
          </w:p>
        </w:tc>
        <w:tc>
          <w:tcPr>
            <w:tcW w:w="120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622" w:name="XBRL_CS_275eccd9b85e488e9bb65df250a06e9e"/>
            <w:bookmarkEnd w:id="622"/>
            <w:bookmarkStart w:id="623" w:name="275eccd9b85e488e9bb65df250a06e9e"/>
            <w:r>
              <w:rPr>
                <w:rFonts w:ascii="Arial" w:eastAsia="Arial" w:hAnsi="Arial" w:cs="Arial"/>
                <w:b w:val="0"/>
                <w:i w:val="0"/>
                <w:strike w:val="0"/>
                <w:color w:val="000000"/>
                <w:sz w:val="13"/>
                <w:u w:val="none"/>
                <w:vertAlign w:val="baseline"/>
              </w:rPr>
              <w:t>122</w:t>
            </w:r>
            <w:bookmarkStart w:id="624" w:name="XBRL_CE_275eccd9b85e488e9bb65df250a06e9e"/>
            <w:bookmarkEnd w:id="623"/>
            <w:bookmarkEnd w:id="624"/>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4.1.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Korottomien velkojen lisäys (+) / vähennys (-)</w:t>
            </w:r>
          </w:p>
        </w:tc>
        <w:tc>
          <w:tcPr>
            <w:tcW w:w="120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625" w:name="XBRL_CS_fd7ad8e887124efeb7337ed2e57f250c"/>
            <w:bookmarkEnd w:id="625"/>
            <w:bookmarkStart w:id="626" w:name="fd7ad8e887124efeb7337ed2e57f250c"/>
            <w:r>
              <w:rPr>
                <w:rFonts w:ascii="Arial" w:eastAsia="Arial" w:hAnsi="Arial" w:cs="Arial"/>
                <w:b/>
                <w:i w:val="0"/>
                <w:strike w:val="0"/>
                <w:color w:val="000000"/>
                <w:sz w:val="13"/>
                <w:u w:val="none"/>
                <w:vertAlign w:val="baseline"/>
              </w:rPr>
              <w:t>512</w:t>
            </w:r>
            <w:bookmarkStart w:id="627" w:name="XBRL_CE_fd7ad8e887124efeb7337ed2e57f250c"/>
            <w:bookmarkEnd w:id="626"/>
            <w:bookmarkEnd w:id="627"/>
          </w:p>
        </w:tc>
        <w:tc>
          <w:tcPr>
            <w:tcW w:w="120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628" w:name="XBRL_CS_5ddd948d7f1449b499645307e435d7ce"/>
            <w:bookmarkEnd w:id="628"/>
            <w:bookmarkStart w:id="629" w:name="5ddd948d7f1449b499645307e435d7ce"/>
            <w:r>
              <w:rPr>
                <w:rFonts w:ascii="Arial" w:eastAsia="Arial" w:hAnsi="Arial" w:cs="Arial"/>
                <w:b w:val="0"/>
                <w:i w:val="0"/>
                <w:strike w:val="0"/>
                <w:color w:val="000000"/>
                <w:sz w:val="13"/>
                <w:u w:val="none"/>
                <w:vertAlign w:val="baseline"/>
              </w:rPr>
              <w:t>-32</w:t>
            </w:r>
            <w:bookmarkStart w:id="630" w:name="XBRL_CE_5ddd948d7f1449b499645307e435d7ce"/>
            <w:bookmarkEnd w:id="629"/>
            <w:bookmarkEnd w:id="630"/>
          </w:p>
        </w:tc>
        <w:tc>
          <w:tcPr>
            <w:tcW w:w="108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Käyttöpääoman muutos</w:t>
            </w:r>
          </w:p>
        </w:tc>
        <w:tc>
          <w:tcPr>
            <w:tcW w:w="120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631" w:name="XBRL_CS_1d758003b8604bb3a1d785fc4cf888e9"/>
            <w:bookmarkEnd w:id="631"/>
            <w:bookmarkStart w:id="632" w:name="1d758003b8604bb3a1d785fc4cf888e9"/>
            <w:r>
              <w:rPr>
                <w:rFonts w:ascii="Arial" w:eastAsia="Arial" w:hAnsi="Arial" w:cs="Arial"/>
                <w:b/>
                <w:i w:val="0"/>
                <w:strike w:val="0"/>
                <w:color w:val="000000"/>
                <w:sz w:val="13"/>
                <w:u w:val="none"/>
                <w:vertAlign w:val="baseline"/>
              </w:rPr>
              <w:t>363</w:t>
            </w:r>
            <w:bookmarkStart w:id="633" w:name="XBRL_CE_1d758003b8604bb3a1d785fc4cf888e9"/>
            <w:bookmarkEnd w:id="632"/>
            <w:bookmarkEnd w:id="633"/>
          </w:p>
        </w:tc>
        <w:tc>
          <w:tcPr>
            <w:tcW w:w="120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634" w:name="XBRL_CS_a1fb1506bdfe436db95168c8b8ad7af4"/>
            <w:bookmarkEnd w:id="634"/>
            <w:bookmarkStart w:id="635" w:name="a1fb1506bdfe436db95168c8b8ad7af4"/>
            <w:r>
              <w:rPr>
                <w:rFonts w:ascii="Arial" w:eastAsia="Arial" w:hAnsi="Arial" w:cs="Arial"/>
                <w:b w:val="0"/>
                <w:i w:val="0"/>
                <w:strike w:val="0"/>
                <w:color w:val="000000"/>
                <w:sz w:val="13"/>
                <w:u w:val="none"/>
                <w:vertAlign w:val="baseline"/>
              </w:rPr>
              <w:t>428</w:t>
            </w:r>
            <w:bookmarkStart w:id="636" w:name="XBRL_CE_a1fb1506bdfe436db95168c8b8ad7af4"/>
            <w:bookmarkEnd w:id="635"/>
            <w:bookmarkEnd w:id="636"/>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Liiketoiminnan rahavirta ennen rahoituseriä ja veroja</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637" w:name="XBRL_CS_4fd779422a1b4c51b46e2ae9426f2ee0"/>
            <w:bookmarkEnd w:id="637"/>
            <w:bookmarkStart w:id="638" w:name="4fd779422a1b4c51b46e2ae9426f2ee0"/>
            <w:r>
              <w:rPr>
                <w:rFonts w:ascii="Arial" w:eastAsia="Arial" w:hAnsi="Arial" w:cs="Arial"/>
                <w:b/>
                <w:i w:val="0"/>
                <w:strike w:val="0"/>
                <w:color w:val="000000"/>
                <w:sz w:val="13"/>
                <w:u w:val="none"/>
                <w:vertAlign w:val="baseline"/>
              </w:rPr>
              <w:t>841</w:t>
            </w:r>
            <w:bookmarkStart w:id="639" w:name="XBRL_CE_4fd779422a1b4c51b46e2ae9426f2ee0"/>
            <w:bookmarkEnd w:id="638"/>
            <w:bookmarkEnd w:id="639"/>
          </w:p>
        </w:tc>
        <w:tc>
          <w:tcPr>
            <w:tcW w:w="120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640" w:name="XBRL_CS_d09b6b301c194fcaa7235b25eeb1172c"/>
            <w:bookmarkEnd w:id="640"/>
            <w:bookmarkStart w:id="641" w:name="d09b6b301c194fcaa7235b25eeb1172c"/>
            <w:r>
              <w:rPr>
                <w:rFonts w:ascii="Arial" w:eastAsia="Arial" w:hAnsi="Arial" w:cs="Arial"/>
                <w:b w:val="0"/>
                <w:i w:val="0"/>
                <w:strike w:val="0"/>
                <w:color w:val="000000"/>
                <w:sz w:val="13"/>
                <w:u w:val="none"/>
                <w:vertAlign w:val="baseline"/>
              </w:rPr>
              <w:t>832</w:t>
            </w:r>
            <w:bookmarkStart w:id="642" w:name="XBRL_CE_d09b6b301c194fcaa7235b25eeb1172c"/>
            <w:bookmarkEnd w:id="641"/>
            <w:bookmarkEnd w:id="642"/>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Rahoituserät ja verot:</w:t>
            </w:r>
          </w:p>
        </w:tc>
        <w:tc>
          <w:tcPr>
            <w:tcW w:w="120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Korkotuotot</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643" w:name="XBRL_CS_f77b8dc72c1747639e838fcdb1f3a545"/>
            <w:bookmarkEnd w:id="643"/>
            <w:bookmarkStart w:id="644" w:name="f77b8dc72c1747639e838fcdb1f3a545"/>
            <w:r>
              <w:rPr>
                <w:rFonts w:ascii="Arial" w:eastAsia="Arial" w:hAnsi="Arial" w:cs="Arial"/>
                <w:b/>
                <w:i w:val="0"/>
                <w:strike w:val="0"/>
                <w:color w:val="000000"/>
                <w:sz w:val="13"/>
                <w:u w:val="none"/>
                <w:vertAlign w:val="baseline"/>
              </w:rPr>
              <w:t>5</w:t>
            </w:r>
            <w:bookmarkStart w:id="645" w:name="XBRL_CE_f77b8dc72c1747639e838fcdb1f3a545"/>
            <w:bookmarkEnd w:id="644"/>
            <w:bookmarkEnd w:id="645"/>
          </w:p>
        </w:tc>
        <w:tc>
          <w:tcPr>
            <w:tcW w:w="120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646" w:name="XBRL_CS_8d897a3289c14c218eee2a8756e6197b"/>
            <w:bookmarkEnd w:id="646"/>
            <w:bookmarkStart w:id="647" w:name="8d897a3289c14c218eee2a8756e6197b"/>
            <w:r>
              <w:rPr>
                <w:rFonts w:ascii="Arial" w:eastAsia="Arial" w:hAnsi="Arial" w:cs="Arial"/>
                <w:b w:val="0"/>
                <w:i w:val="0"/>
                <w:strike w:val="0"/>
                <w:color w:val="000000"/>
                <w:sz w:val="13"/>
                <w:u w:val="none"/>
                <w:vertAlign w:val="baseline"/>
              </w:rPr>
              <w:t>4</w:t>
            </w:r>
            <w:bookmarkStart w:id="648" w:name="XBRL_CE_8d897a3289c14c218eee2a8756e6197b"/>
            <w:bookmarkEnd w:id="647"/>
            <w:bookmarkEnd w:id="648"/>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Korkokulut</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649" w:name="XBRL_CS_53d6336ecb234c25bacc83c1406ab503"/>
            <w:bookmarkEnd w:id="649"/>
            <w:bookmarkStart w:id="650" w:name="53d6336ecb234c25bacc83c1406ab503"/>
            <w:r>
              <w:rPr>
                <w:rFonts w:ascii="Arial" w:eastAsia="Arial" w:hAnsi="Arial" w:cs="Arial"/>
                <w:b/>
                <w:i w:val="0"/>
                <w:strike w:val="0"/>
                <w:color w:val="000000"/>
                <w:sz w:val="13"/>
                <w:u w:val="none"/>
                <w:vertAlign w:val="baseline"/>
              </w:rPr>
              <w:t>-16</w:t>
            </w:r>
            <w:bookmarkStart w:id="651" w:name="XBRL_CE_53d6336ecb234c25bacc83c1406ab503"/>
            <w:bookmarkEnd w:id="650"/>
            <w:bookmarkEnd w:id="651"/>
          </w:p>
        </w:tc>
        <w:tc>
          <w:tcPr>
            <w:tcW w:w="120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652" w:name="XBRL_CS_bcac003d07de4783aac3908bb12d3984"/>
            <w:bookmarkEnd w:id="652"/>
            <w:bookmarkStart w:id="653" w:name="bcac003d07de4783aac3908bb12d3984"/>
            <w:r>
              <w:rPr>
                <w:rFonts w:ascii="Arial" w:eastAsia="Arial" w:hAnsi="Arial" w:cs="Arial"/>
                <w:b w:val="0"/>
                <w:i w:val="0"/>
                <w:strike w:val="0"/>
                <w:color w:val="000000"/>
                <w:sz w:val="13"/>
                <w:u w:val="none"/>
                <w:vertAlign w:val="baseline"/>
              </w:rPr>
              <w:t>-14</w:t>
            </w:r>
            <w:bookmarkStart w:id="654" w:name="XBRL_CE_bcac003d07de4783aac3908bb12d3984"/>
            <w:bookmarkEnd w:id="653"/>
            <w:bookmarkEnd w:id="654"/>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rahoitustuotot ja -kulut</w:t>
            </w:r>
          </w:p>
        </w:tc>
        <w:tc>
          <w:tcPr>
            <w:tcW w:w="120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655" w:name="XBRL_CS_c94130f44174484dbb15e79951b99bf9"/>
            <w:bookmarkEnd w:id="655"/>
            <w:bookmarkStart w:id="656" w:name="c94130f44174484dbb15e79951b99bf9"/>
            <w:r>
              <w:rPr>
                <w:rFonts w:ascii="Arial" w:eastAsia="Arial" w:hAnsi="Arial" w:cs="Arial"/>
                <w:b/>
                <w:i w:val="0"/>
                <w:strike w:val="0"/>
                <w:color w:val="000000"/>
                <w:sz w:val="13"/>
                <w:u w:val="none"/>
                <w:vertAlign w:val="baseline"/>
              </w:rPr>
              <w:t>1</w:t>
            </w:r>
            <w:bookmarkStart w:id="657" w:name="XBRL_CE_c94130f44174484dbb15e79951b99bf9"/>
            <w:bookmarkEnd w:id="656"/>
            <w:bookmarkEnd w:id="657"/>
          </w:p>
        </w:tc>
        <w:tc>
          <w:tcPr>
            <w:tcW w:w="120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658" w:name="XBRL_CS_95fc953887c743c0a29830166186e383"/>
            <w:bookmarkEnd w:id="658"/>
            <w:bookmarkStart w:id="659" w:name="95fc953887c743c0a29830166186e383"/>
            <w:r>
              <w:rPr>
                <w:rFonts w:ascii="Arial" w:eastAsia="Arial" w:hAnsi="Arial" w:cs="Arial"/>
                <w:b w:val="0"/>
                <w:i w:val="0"/>
                <w:strike w:val="0"/>
                <w:color w:val="000000"/>
                <w:sz w:val="13"/>
                <w:u w:val="none"/>
                <w:vertAlign w:val="baseline"/>
              </w:rPr>
              <w:t>-19</w:t>
            </w:r>
            <w:bookmarkStart w:id="660" w:name="XBRL_CE_95fc953887c743c0a29830166186e383"/>
            <w:bookmarkEnd w:id="659"/>
            <w:bookmarkEnd w:id="660"/>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Maksetut verot</w:t>
            </w:r>
          </w:p>
        </w:tc>
        <w:tc>
          <w:tcPr>
            <w:tcW w:w="120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661" w:name="XBRL_CS_010fab4e5e3946e581d0de4722f9bb0e"/>
            <w:bookmarkEnd w:id="661"/>
            <w:bookmarkStart w:id="662" w:name="010fab4e5e3946e581d0de4722f9bb0e"/>
            <w:r>
              <w:rPr>
                <w:rFonts w:ascii="Arial" w:eastAsia="Arial" w:hAnsi="Arial" w:cs="Arial"/>
                <w:b/>
                <w:i w:val="0"/>
                <w:strike w:val="0"/>
                <w:color w:val="000000"/>
                <w:sz w:val="13"/>
                <w:u w:val="none"/>
                <w:vertAlign w:val="baseline"/>
              </w:rPr>
              <w:t>-100</w:t>
            </w:r>
            <w:bookmarkStart w:id="663" w:name="XBRL_CE_010fab4e5e3946e581d0de4722f9bb0e"/>
            <w:bookmarkEnd w:id="662"/>
            <w:bookmarkEnd w:id="663"/>
          </w:p>
        </w:tc>
        <w:tc>
          <w:tcPr>
            <w:tcW w:w="120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664" w:name="XBRL_CS_c5d127ee97b7456c9c34ca54e47a7f84"/>
            <w:bookmarkEnd w:id="664"/>
            <w:bookmarkStart w:id="665" w:name="c5d127ee97b7456c9c34ca54e47a7f84"/>
            <w:r>
              <w:rPr>
                <w:rFonts w:ascii="Arial" w:eastAsia="Arial" w:hAnsi="Arial" w:cs="Arial"/>
                <w:b w:val="0"/>
                <w:i w:val="0"/>
                <w:strike w:val="0"/>
                <w:color w:val="000000"/>
                <w:sz w:val="13"/>
                <w:u w:val="none"/>
                <w:vertAlign w:val="baseline"/>
              </w:rPr>
              <w:t>-122</w:t>
            </w:r>
            <w:bookmarkStart w:id="666" w:name="XBRL_CE_c5d127ee97b7456c9c34ca54e47a7f84"/>
            <w:bookmarkEnd w:id="665"/>
            <w:bookmarkEnd w:id="666"/>
          </w:p>
        </w:tc>
        <w:tc>
          <w:tcPr>
            <w:tcW w:w="108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Rahoituserät ja verot</w:t>
            </w:r>
          </w:p>
        </w:tc>
        <w:tc>
          <w:tcPr>
            <w:tcW w:w="1200" w:type="dxa"/>
            <w:tcBorders>
              <w:top w:val="single" w:sz="8" w:space="0" w:color="0F172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667" w:name="XBRL_CS_7827834fb4a54cb1beacbcee0619805a"/>
            <w:bookmarkEnd w:id="667"/>
            <w:bookmarkStart w:id="668" w:name="7827834fb4a54cb1beacbcee0619805a"/>
            <w:r>
              <w:rPr>
                <w:rFonts w:ascii="Arial" w:eastAsia="Arial" w:hAnsi="Arial" w:cs="Arial"/>
                <w:b/>
                <w:i w:val="0"/>
                <w:strike w:val="0"/>
                <w:color w:val="000000"/>
                <w:sz w:val="13"/>
                <w:u w:val="none"/>
                <w:vertAlign w:val="baseline"/>
              </w:rPr>
              <w:t>-111</w:t>
            </w:r>
            <w:bookmarkStart w:id="669" w:name="XBRL_CE_7827834fb4a54cb1beacbcee0619805a"/>
            <w:bookmarkEnd w:id="668"/>
            <w:bookmarkEnd w:id="669"/>
          </w:p>
        </w:tc>
        <w:tc>
          <w:tcPr>
            <w:tcW w:w="120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670" w:name="XBRL_CS_fdfb6481931a48d1ba3212e3785d2b41"/>
            <w:bookmarkEnd w:id="670"/>
            <w:bookmarkStart w:id="671" w:name="fdfb6481931a48d1ba3212e3785d2b41"/>
            <w:r>
              <w:rPr>
                <w:rFonts w:ascii="Arial" w:eastAsia="Arial" w:hAnsi="Arial" w:cs="Arial"/>
                <w:b w:val="0"/>
                <w:i w:val="0"/>
                <w:strike w:val="0"/>
                <w:color w:val="000000"/>
                <w:sz w:val="13"/>
                <w:u w:val="none"/>
                <w:vertAlign w:val="baseline"/>
              </w:rPr>
              <w:t>-150</w:t>
            </w:r>
            <w:bookmarkStart w:id="672" w:name="XBRL_CE_fdfb6481931a48d1ba3212e3785d2b41"/>
            <w:bookmarkEnd w:id="671"/>
            <w:bookmarkEnd w:id="672"/>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0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Liiketoiminnan rahavirta</w:t>
            </w:r>
          </w:p>
        </w:tc>
        <w:tc>
          <w:tcPr>
            <w:tcW w:w="120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673" w:name="XBRL_CS_21b7145edf524412809efb42034aab72"/>
            <w:bookmarkEnd w:id="673"/>
            <w:bookmarkStart w:id="674" w:name="21b7145edf524412809efb42034aab72"/>
            <w:r>
              <w:rPr>
                <w:rFonts w:ascii="Arial" w:eastAsia="Arial" w:hAnsi="Arial" w:cs="Arial"/>
                <w:b/>
                <w:i w:val="0"/>
                <w:strike w:val="0"/>
                <w:color w:val="000000"/>
                <w:sz w:val="13"/>
                <w:u w:val="none"/>
                <w:vertAlign w:val="baseline"/>
              </w:rPr>
              <w:t>731</w:t>
            </w:r>
            <w:bookmarkStart w:id="675" w:name="XBRL_CE_21b7145edf524412809efb42034aab72"/>
            <w:bookmarkEnd w:id="674"/>
            <w:bookmarkEnd w:id="675"/>
          </w:p>
        </w:tc>
        <w:tc>
          <w:tcPr>
            <w:tcW w:w="120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676" w:name="XBRL_CS_7f2028d2ed3f4dd193b5caedbaf1e59d"/>
            <w:bookmarkEnd w:id="676"/>
            <w:bookmarkStart w:id="677" w:name="7f2028d2ed3f4dd193b5caedbaf1e59d"/>
            <w:r>
              <w:rPr>
                <w:rFonts w:ascii="Arial" w:eastAsia="Arial" w:hAnsi="Arial" w:cs="Arial"/>
                <w:b w:val="0"/>
                <w:i w:val="0"/>
                <w:strike w:val="0"/>
                <w:color w:val="000000"/>
                <w:sz w:val="13"/>
                <w:u w:val="none"/>
                <w:vertAlign w:val="baseline"/>
              </w:rPr>
              <w:t>681</w:t>
            </w:r>
            <w:bookmarkStart w:id="678" w:name="XBRL_CE_7f2028d2ed3f4dd193b5caedbaf1e59d"/>
            <w:bookmarkEnd w:id="677"/>
            <w:bookmarkEnd w:id="678"/>
          </w:p>
        </w:tc>
        <w:tc>
          <w:tcPr>
            <w:tcW w:w="1080" w:type="dxa"/>
            <w:tcBorders>
              <w:top w:val="single" w:sz="8" w:space="0" w:color="0F172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00" w:type="dxa"/>
            <w:tcBorders>
              <w:top w:val="single" w:sz="8" w:space="0" w:color="0F172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Investointien rahavirta:</w:t>
            </w:r>
          </w:p>
        </w:tc>
        <w:tc>
          <w:tcPr>
            <w:tcW w:w="1200" w:type="dxa"/>
            <w:tcBorders>
              <w:top w:val="single" w:sz="4" w:space="0" w:color="004A6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Yrityshankinnat</w:t>
            </w:r>
          </w:p>
        </w:tc>
        <w:tc>
          <w:tcPr>
            <w:tcW w:w="120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bookmarkStart w:id="679" w:name="XBRL_CS_e37eb51fc64e4d6da9c2bcca80e24736"/>
            <w:bookmarkEnd w:id="679"/>
            <w:bookmarkStart w:id="680" w:name="e37eb51fc64e4d6da9c2bcca80e24736"/>
            <w:r>
              <w:rPr>
                <w:rFonts w:ascii="Arial" w:eastAsia="Arial" w:hAnsi="Arial" w:cs="Arial"/>
                <w:b/>
                <w:i w:val="0"/>
                <w:strike w:val="0"/>
                <w:color w:val="E7EBED"/>
                <w:sz w:val="13"/>
                <w:u w:val="none"/>
                <w:vertAlign w:val="baseline"/>
              </w:rPr>
              <w:t>0</w:t>
            </w:r>
            <w:bookmarkStart w:id="681" w:name="XBRL_CE_e37eb51fc64e4d6da9c2bcca80e24736"/>
            <w:bookmarkEnd w:id="680"/>
            <w:bookmarkEnd w:id="681"/>
          </w:p>
        </w:tc>
        <w:tc>
          <w:tcPr>
            <w:tcW w:w="120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682" w:name="XBRL_CS_9d4b59ad3d2e453dab143e4c9c203348"/>
            <w:bookmarkEnd w:id="682"/>
            <w:bookmarkStart w:id="683" w:name="9d4b59ad3d2e453dab143e4c9c203348"/>
            <w:r>
              <w:rPr>
                <w:rFonts w:ascii="Arial" w:eastAsia="Arial" w:hAnsi="Arial" w:cs="Arial"/>
                <w:b w:val="0"/>
                <w:i w:val="0"/>
                <w:strike w:val="0"/>
                <w:color w:val="000000"/>
                <w:sz w:val="13"/>
                <w:u w:val="none"/>
                <w:vertAlign w:val="baseline"/>
              </w:rPr>
              <w:t>-1</w:t>
            </w:r>
            <w:bookmarkStart w:id="684" w:name="XBRL_CE_9d4b59ad3d2e453dab143e4c9c203348"/>
            <w:bookmarkEnd w:id="683"/>
            <w:bookmarkEnd w:id="684"/>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6.1.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sijoitukset</w:t>
            </w:r>
          </w:p>
        </w:tc>
        <w:tc>
          <w:tcPr>
            <w:tcW w:w="1200" w:type="dxa"/>
            <w:tcBorders>
              <w:top w:val="nil"/>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685" w:name="XBRL_CS_fc975c3216ef442397c6000bab65e8f1"/>
            <w:bookmarkEnd w:id="685"/>
            <w:bookmarkStart w:id="686" w:name="fc975c3216ef442397c6000bab65e8f1"/>
            <w:r>
              <w:rPr>
                <w:rFonts w:ascii="Arial" w:eastAsia="Arial" w:hAnsi="Arial" w:cs="Arial"/>
                <w:b/>
                <w:i w:val="0"/>
                <w:strike w:val="0"/>
                <w:color w:val="000000"/>
                <w:sz w:val="13"/>
                <w:u w:val="none"/>
                <w:vertAlign w:val="baseline"/>
              </w:rPr>
              <w:t>-1</w:t>
            </w:r>
            <w:bookmarkStart w:id="687" w:name="XBRL_CE_fc975c3216ef442397c6000bab65e8f1"/>
            <w:bookmarkEnd w:id="686"/>
            <w:bookmarkEnd w:id="687"/>
          </w:p>
        </w:tc>
        <w:tc>
          <w:tcPr>
            <w:tcW w:w="1200" w:type="dxa"/>
            <w:tcBorders>
              <w:top w:val="nil"/>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688" w:name="XBRL_CS_7a196b4751e7496a952db1ee226119ec"/>
            <w:bookmarkEnd w:id="688"/>
            <w:bookmarkStart w:id="689" w:name="7a196b4751e7496a952db1ee226119ec"/>
            <w:r>
              <w:rPr>
                <w:rFonts w:ascii="Arial" w:eastAsia="Arial" w:hAnsi="Arial" w:cs="Arial"/>
                <w:b w:val="0"/>
                <w:i w:val="0"/>
                <w:strike w:val="0"/>
                <w:color w:val="000000"/>
                <w:sz w:val="13"/>
                <w:u w:val="none"/>
                <w:vertAlign w:val="baseline"/>
              </w:rPr>
              <w:t>-1</w:t>
            </w:r>
            <w:bookmarkStart w:id="690" w:name="XBRL_CE_7a196b4751e7496a952db1ee226119ec"/>
            <w:bookmarkEnd w:id="689"/>
            <w:bookmarkEnd w:id="690"/>
          </w:p>
        </w:tc>
        <w:tc>
          <w:tcPr>
            <w:tcW w:w="1080"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5.2.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Investoinnit aineellisiin ja aineettomiin hyödykkeisiin</w:t>
            </w:r>
          </w:p>
        </w:tc>
        <w:tc>
          <w:tcPr>
            <w:tcW w:w="120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691" w:name="XBRL_CS_ee55be94d82245ba909779afac00c028"/>
            <w:bookmarkEnd w:id="691"/>
            <w:bookmarkStart w:id="692" w:name="ee55be94d82245ba909779afac00c028"/>
            <w:r>
              <w:rPr>
                <w:rFonts w:ascii="Arial" w:eastAsia="Arial" w:hAnsi="Arial" w:cs="Arial"/>
                <w:b/>
                <w:i w:val="0"/>
                <w:strike w:val="0"/>
                <w:color w:val="000000"/>
                <w:sz w:val="13"/>
                <w:u w:val="none"/>
                <w:vertAlign w:val="baseline"/>
              </w:rPr>
              <w:t>-142</w:t>
            </w:r>
            <w:bookmarkStart w:id="693" w:name="XBRL_CE_ee55be94d82245ba909779afac00c028"/>
            <w:bookmarkEnd w:id="692"/>
            <w:bookmarkEnd w:id="693"/>
          </w:p>
        </w:tc>
        <w:tc>
          <w:tcPr>
            <w:tcW w:w="120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694" w:name="XBRL_CS_7c0e49a8150b4e429cedbc2f55430c1e"/>
            <w:bookmarkEnd w:id="694"/>
            <w:bookmarkStart w:id="695" w:name="7c0e49a8150b4e429cedbc2f55430c1e"/>
            <w:r>
              <w:rPr>
                <w:rFonts w:ascii="Arial" w:eastAsia="Arial" w:hAnsi="Arial" w:cs="Arial"/>
                <w:b w:val="0"/>
                <w:i w:val="0"/>
                <w:strike w:val="0"/>
                <w:color w:val="000000"/>
                <w:sz w:val="13"/>
                <w:u w:val="none"/>
                <w:vertAlign w:val="baseline"/>
              </w:rPr>
              <w:t>-115</w:t>
            </w:r>
            <w:bookmarkStart w:id="696" w:name="XBRL_CE_7c0e49a8150b4e429cedbc2f55430c1e"/>
            <w:bookmarkEnd w:id="695"/>
            <w:bookmarkEnd w:id="696"/>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3.2., 3.3.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nil"/>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Aineellisten ja aineettomien hyödykkeiden myynnit</w:t>
            </w:r>
          </w:p>
        </w:tc>
        <w:tc>
          <w:tcPr>
            <w:tcW w:w="1200" w:type="dxa"/>
            <w:tcBorders>
              <w:top w:val="nil"/>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697" w:name="XBRL_CS_b6bf413db6164d0894b701ff5fc50ef8"/>
            <w:bookmarkEnd w:id="697"/>
            <w:bookmarkStart w:id="698" w:name="b6bf413db6164d0894b701ff5fc50ef8"/>
            <w:r>
              <w:rPr>
                <w:rFonts w:ascii="Arial" w:eastAsia="Arial" w:hAnsi="Arial" w:cs="Arial"/>
                <w:b/>
                <w:i w:val="0"/>
                <w:strike w:val="0"/>
                <w:color w:val="000000"/>
                <w:sz w:val="13"/>
                <w:u w:val="none"/>
                <w:vertAlign w:val="baseline"/>
              </w:rPr>
              <w:t>5</w:t>
            </w:r>
            <w:bookmarkStart w:id="699" w:name="XBRL_CE_b6bf413db6164d0894b701ff5fc50ef8"/>
            <w:bookmarkEnd w:id="698"/>
            <w:bookmarkEnd w:id="699"/>
          </w:p>
        </w:tc>
        <w:tc>
          <w:tcPr>
            <w:tcW w:w="1200" w:type="dxa"/>
            <w:tcBorders>
              <w:top w:val="nil"/>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700" w:name="XBRL_CS_df08af39cf984ef3a7f9e148b3d34b71"/>
            <w:bookmarkEnd w:id="700"/>
            <w:bookmarkStart w:id="701" w:name="df08af39cf984ef3a7f9e148b3d34b71"/>
            <w:r>
              <w:rPr>
                <w:rFonts w:ascii="Arial" w:eastAsia="Arial" w:hAnsi="Arial" w:cs="Arial"/>
                <w:b w:val="0"/>
                <w:i w:val="0"/>
                <w:strike w:val="0"/>
                <w:color w:val="000000"/>
                <w:sz w:val="13"/>
                <w:u w:val="none"/>
                <w:vertAlign w:val="baseline"/>
              </w:rPr>
              <w:t>13</w:t>
            </w:r>
            <w:bookmarkStart w:id="702" w:name="XBRL_CE_df08af39cf984ef3a7f9e148b3d34b71"/>
            <w:bookmarkEnd w:id="701"/>
            <w:bookmarkEnd w:id="702"/>
          </w:p>
        </w:tc>
        <w:tc>
          <w:tcPr>
            <w:tcW w:w="1080"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3.2., 3.3.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Tytäryhtiöosakkeiden myynnit</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703" w:name="XBRL_CS_358877dee2be48518dd454d7008df8c9"/>
            <w:bookmarkEnd w:id="703"/>
            <w:bookmarkStart w:id="704" w:name="358877dee2be48518dd454d7008df8c9"/>
            <w:r>
              <w:rPr>
                <w:rFonts w:ascii="Arial" w:eastAsia="Arial" w:hAnsi="Arial" w:cs="Arial"/>
                <w:b/>
                <w:i w:val="0"/>
                <w:strike w:val="0"/>
                <w:color w:val="000000"/>
                <w:sz w:val="13"/>
                <w:u w:val="none"/>
                <w:vertAlign w:val="baseline"/>
              </w:rPr>
              <w:t>10</w:t>
            </w:r>
            <w:bookmarkStart w:id="705" w:name="XBRL_CE_358877dee2be48518dd454d7008df8c9"/>
            <w:bookmarkEnd w:id="704"/>
            <w:bookmarkEnd w:id="705"/>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706" w:name="XBRL_CS_a216527084d94393ae80a3eb6b331113"/>
            <w:bookmarkEnd w:id="706"/>
            <w:bookmarkStart w:id="707" w:name="a216527084d94393ae80a3eb6b331113"/>
            <w:r>
              <w:rPr>
                <w:rFonts w:ascii="Arial" w:eastAsia="Arial" w:hAnsi="Arial" w:cs="Arial"/>
                <w:b w:val="0"/>
                <w:i w:val="0"/>
                <w:strike w:val="0"/>
                <w:color w:val="000000"/>
                <w:sz w:val="13"/>
                <w:u w:val="none"/>
                <w:vertAlign w:val="baseline"/>
              </w:rPr>
              <w:t>22</w:t>
            </w:r>
            <w:bookmarkStart w:id="708" w:name="XBRL_CE_a216527084d94393ae80a3eb6b331113"/>
            <w:bookmarkEnd w:id="707"/>
            <w:bookmarkEnd w:id="708"/>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6.2.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Osakkuusyhtiö- ja yhteisyritysosakkeiden myynnit</w:t>
            </w:r>
          </w:p>
        </w:tc>
        <w:tc>
          <w:tcPr>
            <w:tcW w:w="120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bookmarkStart w:id="709" w:name="XBRL_CS_3d65e25634bc49789ad98cefd1a51eaf"/>
            <w:bookmarkEnd w:id="709"/>
            <w:bookmarkStart w:id="710" w:name="3d65e25634bc49789ad98cefd1a51eaf"/>
            <w:r>
              <w:rPr>
                <w:rFonts w:ascii="Arial" w:eastAsia="Arial" w:hAnsi="Arial" w:cs="Arial"/>
                <w:b/>
                <w:i w:val="0"/>
                <w:strike w:val="0"/>
                <w:color w:val="E7EBED"/>
                <w:sz w:val="13"/>
                <w:u w:val="none"/>
                <w:vertAlign w:val="baseline"/>
              </w:rPr>
              <w:t>0</w:t>
            </w:r>
            <w:bookmarkStart w:id="711" w:name="XBRL_CE_3d65e25634bc49789ad98cefd1a51eaf"/>
            <w:bookmarkEnd w:id="710"/>
            <w:bookmarkEnd w:id="711"/>
          </w:p>
        </w:tc>
        <w:tc>
          <w:tcPr>
            <w:tcW w:w="120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712" w:name="XBRL_CS_5946098d4f774a8b89ca504668823305"/>
            <w:bookmarkEnd w:id="712"/>
            <w:bookmarkStart w:id="713" w:name="5946098d4f774a8b89ca504668823305"/>
            <w:r>
              <w:rPr>
                <w:rFonts w:ascii="Arial" w:eastAsia="Arial" w:hAnsi="Arial" w:cs="Arial"/>
                <w:b w:val="0"/>
                <w:i w:val="0"/>
                <w:strike w:val="0"/>
                <w:color w:val="000000"/>
                <w:sz w:val="13"/>
                <w:u w:val="none"/>
                <w:vertAlign w:val="baseline"/>
              </w:rPr>
              <w:t>27</w:t>
            </w:r>
            <w:bookmarkStart w:id="714" w:name="XBRL_CE_5946098d4f774a8b89ca504668823305"/>
            <w:bookmarkEnd w:id="713"/>
            <w:bookmarkEnd w:id="714"/>
          </w:p>
        </w:tc>
        <w:tc>
          <w:tcPr>
            <w:tcW w:w="108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6.4.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nil"/>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Investointien rahavirta</w:t>
            </w:r>
          </w:p>
        </w:tc>
        <w:tc>
          <w:tcPr>
            <w:tcW w:w="1200" w:type="dxa"/>
            <w:tcBorders>
              <w:top w:val="nil"/>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715" w:name="XBRL_CS_54d1f5a7131d4b9b9becf3b785fd9b90"/>
            <w:bookmarkEnd w:id="715"/>
            <w:bookmarkStart w:id="716" w:name="54d1f5a7131d4b9b9becf3b785fd9b90"/>
            <w:r>
              <w:rPr>
                <w:rFonts w:ascii="Arial" w:eastAsia="Arial" w:hAnsi="Arial" w:cs="Arial"/>
                <w:b/>
                <w:i w:val="0"/>
                <w:strike w:val="0"/>
                <w:color w:val="000000"/>
                <w:sz w:val="13"/>
                <w:u w:val="none"/>
                <w:vertAlign w:val="baseline"/>
              </w:rPr>
              <w:t>-128</w:t>
            </w:r>
            <w:bookmarkStart w:id="717" w:name="XBRL_CE_54d1f5a7131d4b9b9becf3b785fd9b90"/>
            <w:bookmarkEnd w:id="716"/>
            <w:bookmarkEnd w:id="717"/>
          </w:p>
        </w:tc>
        <w:tc>
          <w:tcPr>
            <w:tcW w:w="1200" w:type="dxa"/>
            <w:tcBorders>
              <w:top w:val="nil"/>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718" w:name="XBRL_CS_e0b1a5e5b1ab4a5d922cc65e34e2e2e0"/>
            <w:bookmarkEnd w:id="718"/>
            <w:bookmarkStart w:id="719" w:name="e0b1a5e5b1ab4a5d922cc65e34e2e2e0"/>
            <w:r>
              <w:rPr>
                <w:rFonts w:ascii="Arial" w:eastAsia="Arial" w:hAnsi="Arial" w:cs="Arial"/>
                <w:b w:val="0"/>
                <w:i w:val="0"/>
                <w:strike w:val="0"/>
                <w:color w:val="000000"/>
                <w:sz w:val="13"/>
                <w:u w:val="none"/>
                <w:vertAlign w:val="baseline"/>
              </w:rPr>
              <w:t>-55</w:t>
            </w:r>
            <w:bookmarkStart w:id="720" w:name="XBRL_CE_e0b1a5e5b1ab4a5d922cc65e34e2e2e0"/>
            <w:bookmarkEnd w:id="719"/>
            <w:bookmarkEnd w:id="720"/>
          </w:p>
        </w:tc>
        <w:tc>
          <w:tcPr>
            <w:tcW w:w="1080" w:type="dxa"/>
            <w:tcBorders>
              <w:top w:val="nil"/>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00" w:type="dxa"/>
            <w:tcBorders>
              <w:top w:val="single" w:sz="8" w:space="0" w:color="0F172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Rahavirta investointien jälkeen</w:t>
            </w:r>
          </w:p>
        </w:tc>
        <w:tc>
          <w:tcPr>
            <w:tcW w:w="120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721" w:name="XBRL_CS_8efe89add87e4aff9ed4cac6caf476f3"/>
            <w:bookmarkEnd w:id="721"/>
            <w:bookmarkStart w:id="722" w:name="8efe89add87e4aff9ed4cac6caf476f3"/>
            <w:r>
              <w:rPr>
                <w:rFonts w:ascii="Arial" w:eastAsia="Arial" w:hAnsi="Arial" w:cs="Arial"/>
                <w:b/>
                <w:i w:val="0"/>
                <w:strike w:val="0"/>
                <w:color w:val="000000"/>
                <w:sz w:val="13"/>
                <w:u w:val="none"/>
                <w:vertAlign w:val="baseline"/>
              </w:rPr>
              <w:t>603</w:t>
            </w:r>
            <w:bookmarkStart w:id="723" w:name="XBRL_CE_8efe89add87e4aff9ed4cac6caf476f3"/>
            <w:bookmarkEnd w:id="722"/>
            <w:bookmarkEnd w:id="723"/>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724" w:name="XBRL_CS_d47ef0fd764f458e89545a29b0f4e506"/>
            <w:bookmarkEnd w:id="724"/>
            <w:bookmarkStart w:id="725" w:name="d47ef0fd764f458e89545a29b0f4e506"/>
            <w:r>
              <w:rPr>
                <w:rFonts w:ascii="Arial" w:eastAsia="Arial" w:hAnsi="Arial" w:cs="Arial"/>
                <w:b w:val="0"/>
                <w:i w:val="0"/>
                <w:strike w:val="0"/>
                <w:color w:val="000000"/>
                <w:sz w:val="13"/>
                <w:u w:val="none"/>
                <w:vertAlign w:val="baseline"/>
              </w:rPr>
              <w:t>627</w:t>
            </w:r>
            <w:bookmarkStart w:id="726" w:name="XBRL_CE_d47ef0fd764f458e89545a29b0f4e506"/>
            <w:bookmarkEnd w:id="725"/>
            <w:bookmarkEnd w:id="726"/>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Rahoituksen rahavirta:</w:t>
            </w:r>
          </w:p>
        </w:tc>
        <w:tc>
          <w:tcPr>
            <w:tcW w:w="1200" w:type="dxa"/>
            <w:tcBorders>
              <w:top w:val="single" w:sz="4" w:space="0" w:color="004A6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Omien osakkeiden takaisinosto</w:t>
            </w:r>
          </w:p>
        </w:tc>
        <w:tc>
          <w:tcPr>
            <w:tcW w:w="1200" w:type="dxa"/>
            <w:tcBorders>
              <w:top w:val="nil"/>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727" w:name="XBRL_CS_96f2d9d890f4451aa15384635f9e71e9"/>
            <w:bookmarkEnd w:id="727"/>
            <w:bookmarkStart w:id="728" w:name="96f2d9d890f4451aa15384635f9e71e9"/>
            <w:r>
              <w:rPr>
                <w:rFonts w:ascii="Arial" w:eastAsia="Arial" w:hAnsi="Arial" w:cs="Arial"/>
                <w:b/>
                <w:i w:val="0"/>
                <w:strike w:val="0"/>
                <w:color w:val="000000"/>
                <w:sz w:val="13"/>
                <w:u w:val="none"/>
                <w:vertAlign w:val="baseline"/>
              </w:rPr>
              <w:t>-18</w:t>
            </w:r>
            <w:bookmarkStart w:id="729" w:name="XBRL_CE_96f2d9d890f4451aa15384635f9e71e9"/>
            <w:bookmarkEnd w:id="728"/>
            <w:bookmarkEnd w:id="729"/>
          </w:p>
        </w:tc>
        <w:tc>
          <w:tcPr>
            <w:tcW w:w="1200" w:type="dxa"/>
            <w:tcBorders>
              <w:top w:val="nil"/>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nil"/>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Pitkäaikaisten lainojen nostot</w:t>
            </w:r>
          </w:p>
        </w:tc>
        <w:tc>
          <w:tcPr>
            <w:tcW w:w="120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bookmarkStart w:id="730" w:name="XBRL_CS_20b7511e09794e2cac3e6f398d70c9af"/>
            <w:bookmarkEnd w:id="730"/>
            <w:bookmarkStart w:id="731" w:name="20b7511e09794e2cac3e6f398d70c9af"/>
            <w:r>
              <w:rPr>
                <w:rFonts w:ascii="Arial" w:eastAsia="Arial" w:hAnsi="Arial" w:cs="Arial"/>
                <w:b/>
                <w:i w:val="0"/>
                <w:strike w:val="0"/>
                <w:color w:val="E7EBED"/>
                <w:sz w:val="13"/>
                <w:u w:val="none"/>
                <w:vertAlign w:val="baseline"/>
              </w:rPr>
              <w:t>0</w:t>
            </w:r>
            <w:bookmarkStart w:id="732" w:name="XBRL_CE_20b7511e09794e2cac3e6f398d70c9af"/>
            <w:bookmarkEnd w:id="731"/>
            <w:bookmarkEnd w:id="732"/>
          </w:p>
        </w:tc>
        <w:tc>
          <w:tcPr>
            <w:tcW w:w="120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733" w:name="XBRL_CS_248ff79d3d0246b893cd19a4a7e44ae7"/>
            <w:bookmarkEnd w:id="733"/>
            <w:bookmarkStart w:id="734" w:name="248ff79d3d0246b893cd19a4a7e44ae7"/>
            <w:r>
              <w:rPr>
                <w:rFonts w:ascii="Arial" w:eastAsia="Arial" w:hAnsi="Arial" w:cs="Arial"/>
                <w:b w:val="0"/>
                <w:i w:val="0"/>
                <w:strike w:val="0"/>
                <w:color w:val="000000"/>
                <w:sz w:val="13"/>
                <w:u w:val="none"/>
                <w:vertAlign w:val="baseline"/>
              </w:rPr>
              <w:t>317</w:t>
            </w:r>
            <w:bookmarkStart w:id="735" w:name="XBRL_CE_248ff79d3d0246b893cd19a4a7e44ae7"/>
            <w:bookmarkEnd w:id="734"/>
            <w:bookmarkEnd w:id="735"/>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Pitkäaikaisten lainojen takaisinmaksut ja muut muutokset</w:t>
            </w:r>
          </w:p>
        </w:tc>
        <w:tc>
          <w:tcPr>
            <w:tcW w:w="120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736" w:name="XBRL_CS_c52fe0d0e62e4bada36282b0ff7e0c0e"/>
            <w:bookmarkEnd w:id="736"/>
            <w:bookmarkStart w:id="737" w:name="c52fe0d0e62e4bada36282b0ff7e0c0e"/>
            <w:r>
              <w:rPr>
                <w:rFonts w:ascii="Arial" w:eastAsia="Arial" w:hAnsi="Arial" w:cs="Arial"/>
                <w:b/>
                <w:i w:val="0"/>
                <w:strike w:val="0"/>
                <w:color w:val="000000"/>
                <w:sz w:val="13"/>
                <w:u w:val="none"/>
                <w:vertAlign w:val="baseline"/>
              </w:rPr>
              <w:t>-433</w:t>
            </w:r>
            <w:bookmarkStart w:id="738" w:name="XBRL_CE_c52fe0d0e62e4bada36282b0ff7e0c0e"/>
            <w:bookmarkEnd w:id="737"/>
            <w:bookmarkEnd w:id="738"/>
          </w:p>
        </w:tc>
        <w:tc>
          <w:tcPr>
            <w:tcW w:w="120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739" w:name="XBRL_CS_0689f267cc5d4775bb94821e1820563d"/>
            <w:bookmarkEnd w:id="739"/>
            <w:bookmarkStart w:id="740" w:name="0689f267cc5d4775bb94821e1820563d"/>
            <w:r>
              <w:rPr>
                <w:rFonts w:ascii="Arial" w:eastAsia="Arial" w:hAnsi="Arial" w:cs="Arial"/>
                <w:b w:val="0"/>
                <w:i w:val="0"/>
                <w:strike w:val="0"/>
                <w:color w:val="000000"/>
                <w:sz w:val="13"/>
                <w:u w:val="none"/>
                <w:vertAlign w:val="baseline"/>
              </w:rPr>
              <w:t>-76</w:t>
            </w:r>
            <w:bookmarkStart w:id="741" w:name="XBRL_CE_0689f267cc5d4775bb94821e1820563d"/>
            <w:bookmarkEnd w:id="740"/>
            <w:bookmarkEnd w:id="741"/>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99B7C4"/>
                <w:sz w:val="13"/>
                <w:u w:val="none"/>
                <w:vertAlign w:val="baseline"/>
              </w:rPr>
            </w:pPr>
            <w:r>
              <w:rPr>
                <w:rFonts w:ascii="Arial" w:eastAsia="Arial" w:hAnsi="Arial" w:cs="Arial"/>
                <w:b w:val="0"/>
                <w:i w:val="0"/>
                <w:strike w:val="0"/>
                <w:color w:val="99B7C4"/>
                <w:sz w:val="13"/>
                <w:u w:val="none"/>
                <w:vertAlign w:val="baseline"/>
              </w:rPr>
              <w:t>5.6.</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Lainasaamisten lisäys (-) / vähennys (+)</w:t>
            </w:r>
          </w:p>
        </w:tc>
        <w:tc>
          <w:tcPr>
            <w:tcW w:w="120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742" w:name="XBRL_CS_546b38c1f3a44fc8af13581cfc3d2e83"/>
            <w:bookmarkEnd w:id="742"/>
            <w:bookmarkStart w:id="743" w:name="546b38c1f3a44fc8af13581cfc3d2e83"/>
            <w:r>
              <w:rPr>
                <w:rFonts w:ascii="Arial" w:eastAsia="Arial" w:hAnsi="Arial" w:cs="Arial"/>
                <w:b/>
                <w:i w:val="0"/>
                <w:strike w:val="0"/>
                <w:color w:val="000000"/>
                <w:sz w:val="13"/>
                <w:u w:val="none"/>
                <w:vertAlign w:val="baseline"/>
              </w:rPr>
              <w:t>-4</w:t>
            </w:r>
            <w:bookmarkStart w:id="744" w:name="XBRL_CE_546b38c1f3a44fc8af13581cfc3d2e83"/>
            <w:bookmarkEnd w:id="743"/>
            <w:bookmarkEnd w:id="744"/>
          </w:p>
        </w:tc>
        <w:tc>
          <w:tcPr>
            <w:tcW w:w="120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745" w:name="XBRL_CS_4574cea57ca644e3bb559dd3d5bb7216"/>
            <w:bookmarkEnd w:id="745"/>
            <w:bookmarkStart w:id="746" w:name="4574cea57ca644e3bb559dd3d5bb7216"/>
            <w:r>
              <w:rPr>
                <w:rFonts w:ascii="Arial" w:eastAsia="Arial" w:hAnsi="Arial" w:cs="Arial"/>
                <w:b w:val="0"/>
                <w:i w:val="0"/>
                <w:strike w:val="0"/>
                <w:color w:val="000000"/>
                <w:sz w:val="13"/>
                <w:u w:val="none"/>
                <w:vertAlign w:val="baseline"/>
              </w:rPr>
              <w:t>1</w:t>
            </w:r>
            <w:bookmarkStart w:id="747" w:name="XBRL_CE_4574cea57ca644e3bb559dd3d5bb7216"/>
            <w:bookmarkEnd w:id="746"/>
            <w:bookmarkEnd w:id="747"/>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Lyhytaikaisten lainojen lisäys (+) / vähennys (-)</w:t>
            </w:r>
          </w:p>
        </w:tc>
        <w:tc>
          <w:tcPr>
            <w:tcW w:w="120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748" w:name="XBRL_CS_d65c29078aa142e3b33001ed4b774723"/>
            <w:bookmarkEnd w:id="748"/>
            <w:bookmarkStart w:id="749" w:name="d65c29078aa142e3b33001ed4b774723"/>
            <w:r>
              <w:rPr>
                <w:rFonts w:ascii="Arial" w:eastAsia="Arial" w:hAnsi="Arial" w:cs="Arial"/>
                <w:b/>
                <w:i w:val="0"/>
                <w:strike w:val="0"/>
                <w:color w:val="000000"/>
                <w:sz w:val="13"/>
                <w:u w:val="none"/>
                <w:vertAlign w:val="baseline"/>
              </w:rPr>
              <w:t>-4</w:t>
            </w:r>
            <w:bookmarkStart w:id="750" w:name="XBRL_CE_d65c29078aa142e3b33001ed4b774723"/>
            <w:bookmarkEnd w:id="749"/>
            <w:bookmarkEnd w:id="750"/>
          </w:p>
        </w:tc>
        <w:tc>
          <w:tcPr>
            <w:tcW w:w="120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751" w:name="XBRL_CS_dcfc4541c78442b28243da885b9f2908"/>
            <w:bookmarkEnd w:id="751"/>
            <w:bookmarkStart w:id="752" w:name="dcfc4541c78442b28243da885b9f2908"/>
            <w:bookmarkStart w:id="753" w:name="XBRL_CE_dcfc4541c78442b28243da885b9f2908"/>
            <w:bookmarkEnd w:id="752"/>
            <w:bookmarkEnd w:id="753"/>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 xml:space="preserve">Maksetut osingot </w:t>
            </w:r>
          </w:p>
        </w:tc>
        <w:tc>
          <w:tcPr>
            <w:tcW w:w="120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754" w:name="XBRL_CS_446eadabad3f4d58973e9753f32b2475"/>
            <w:bookmarkEnd w:id="754"/>
            <w:bookmarkStart w:id="755" w:name="446eadabad3f4d58973e9753f32b2475"/>
            <w:r>
              <w:rPr>
                <w:rFonts w:ascii="Arial" w:eastAsia="Arial" w:hAnsi="Arial" w:cs="Arial"/>
                <w:b/>
                <w:i w:val="0"/>
                <w:strike w:val="0"/>
                <w:color w:val="000000"/>
                <w:sz w:val="13"/>
                <w:u w:val="none"/>
                <w:vertAlign w:val="baseline"/>
              </w:rPr>
              <w:t>-121</w:t>
            </w:r>
            <w:bookmarkStart w:id="756" w:name="XBRL_CE_446eadabad3f4d58973e9753f32b2475"/>
            <w:bookmarkEnd w:id="755"/>
            <w:bookmarkEnd w:id="756"/>
          </w:p>
        </w:tc>
        <w:tc>
          <w:tcPr>
            <w:tcW w:w="120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757" w:name="XBRL_CS_8d98939760ea46df8be96fe444ebef63"/>
            <w:bookmarkEnd w:id="757"/>
            <w:bookmarkStart w:id="758" w:name="8d98939760ea46df8be96fe444ebef63"/>
            <w:r>
              <w:rPr>
                <w:rFonts w:ascii="Arial" w:eastAsia="Arial" w:hAnsi="Arial" w:cs="Arial"/>
                <w:b w:val="0"/>
                <w:i w:val="0"/>
                <w:strike w:val="0"/>
                <w:color w:val="000000"/>
                <w:sz w:val="13"/>
                <w:u w:val="none"/>
                <w:vertAlign w:val="baseline"/>
              </w:rPr>
              <w:t>-286</w:t>
            </w:r>
            <w:bookmarkStart w:id="759" w:name="XBRL_CE_8d98939760ea46df8be96fe444ebef63"/>
            <w:bookmarkEnd w:id="758"/>
            <w:bookmarkEnd w:id="759"/>
          </w:p>
        </w:tc>
        <w:tc>
          <w:tcPr>
            <w:tcW w:w="108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8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Rahoituksen rahavirta</w:t>
            </w:r>
          </w:p>
        </w:tc>
        <w:tc>
          <w:tcPr>
            <w:tcW w:w="120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760" w:name="XBRL_CS_b95c15b6553e4ae4acb26967e0cbef5f"/>
            <w:bookmarkEnd w:id="760"/>
            <w:bookmarkStart w:id="761" w:name="b95c15b6553e4ae4acb26967e0cbef5f"/>
            <w:r>
              <w:rPr>
                <w:rFonts w:ascii="Arial" w:eastAsia="Arial" w:hAnsi="Arial" w:cs="Arial"/>
                <w:b/>
                <w:i w:val="0"/>
                <w:strike w:val="0"/>
                <w:color w:val="000000"/>
                <w:sz w:val="13"/>
                <w:u w:val="none"/>
                <w:vertAlign w:val="baseline"/>
              </w:rPr>
              <w:t>-580</w:t>
            </w:r>
            <w:bookmarkStart w:id="762" w:name="XBRL_CE_b95c15b6553e4ae4acb26967e0cbef5f"/>
            <w:bookmarkEnd w:id="761"/>
            <w:bookmarkEnd w:id="762"/>
          </w:p>
        </w:tc>
        <w:tc>
          <w:tcPr>
            <w:tcW w:w="120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763" w:name="XBRL_CS_168a7342aa1e4069bd22371f40b881f2"/>
            <w:bookmarkEnd w:id="763"/>
            <w:bookmarkStart w:id="764" w:name="168a7342aa1e4069bd22371f40b881f2"/>
            <w:r>
              <w:rPr>
                <w:rFonts w:ascii="Arial" w:eastAsia="Arial" w:hAnsi="Arial" w:cs="Arial"/>
                <w:b w:val="0"/>
                <w:i w:val="0"/>
                <w:strike w:val="0"/>
                <w:color w:val="000000"/>
                <w:sz w:val="13"/>
                <w:u w:val="none"/>
                <w:vertAlign w:val="baseline"/>
              </w:rPr>
              <w:t>-44</w:t>
            </w:r>
            <w:bookmarkStart w:id="765" w:name="XBRL_CE_168a7342aa1e4069bd22371f40b881f2"/>
            <w:bookmarkEnd w:id="764"/>
            <w:bookmarkEnd w:id="765"/>
          </w:p>
        </w:tc>
        <w:tc>
          <w:tcPr>
            <w:tcW w:w="1080" w:type="dxa"/>
            <w:tcBorders>
              <w:top w:val="single" w:sz="8" w:space="0" w:color="0F172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00" w:type="dxa"/>
            <w:tcBorders>
              <w:top w:val="single" w:sz="8" w:space="0" w:color="0F172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Rahavarojen muutos, lisäys (+) / vähennys (-)</w:t>
            </w:r>
          </w:p>
        </w:tc>
        <w:tc>
          <w:tcPr>
            <w:tcW w:w="120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766" w:name="XBRL_CS_5a0330a20a9941449713e5b55864de94"/>
            <w:bookmarkEnd w:id="766"/>
            <w:bookmarkStart w:id="767" w:name="5a0330a20a9941449713e5b55864de94"/>
            <w:r>
              <w:rPr>
                <w:rFonts w:ascii="Arial" w:eastAsia="Arial" w:hAnsi="Arial" w:cs="Arial"/>
                <w:b/>
                <w:i w:val="0"/>
                <w:strike w:val="0"/>
                <w:color w:val="000000"/>
                <w:sz w:val="13"/>
                <w:u w:val="none"/>
                <w:vertAlign w:val="baseline"/>
              </w:rPr>
              <w:t>22</w:t>
            </w:r>
            <w:bookmarkStart w:id="768" w:name="XBRL_CE_5a0330a20a9941449713e5b55864de94"/>
            <w:bookmarkEnd w:id="767"/>
            <w:bookmarkEnd w:id="768"/>
          </w:p>
        </w:tc>
        <w:tc>
          <w:tcPr>
            <w:tcW w:w="120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769" w:name="XBRL_CS_ec736a117c814874967b22fb8fa0c569"/>
            <w:bookmarkEnd w:id="769"/>
            <w:bookmarkStart w:id="770" w:name="ec736a117c814874967b22fb8fa0c569"/>
            <w:r>
              <w:rPr>
                <w:rFonts w:ascii="Arial" w:eastAsia="Arial" w:hAnsi="Arial" w:cs="Arial"/>
                <w:b w:val="0"/>
                <w:i w:val="0"/>
                <w:strike w:val="0"/>
                <w:color w:val="000000"/>
                <w:sz w:val="13"/>
                <w:u w:val="none"/>
                <w:vertAlign w:val="baseline"/>
              </w:rPr>
              <w:t>582</w:t>
            </w:r>
            <w:bookmarkStart w:id="771" w:name="XBRL_CE_ec736a117c814874967b22fb8fa0c569"/>
            <w:bookmarkEnd w:id="770"/>
            <w:bookmarkEnd w:id="771"/>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0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Rahavarat tilikauden alussa*</w:t>
            </w:r>
          </w:p>
        </w:tc>
        <w:tc>
          <w:tcPr>
            <w:tcW w:w="120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772" w:name="XBRL_CS_967453ded2d2439d8776838fdbd878b9"/>
            <w:bookmarkEnd w:id="772"/>
            <w:bookmarkStart w:id="773" w:name="967453ded2d2439d8776838fdbd878b9"/>
            <w:r>
              <w:rPr>
                <w:rFonts w:ascii="Arial" w:eastAsia="Arial" w:hAnsi="Arial" w:cs="Arial"/>
                <w:b/>
                <w:i w:val="0"/>
                <w:strike w:val="0"/>
                <w:color w:val="000000"/>
                <w:sz w:val="13"/>
                <w:u w:val="none"/>
                <w:vertAlign w:val="baseline"/>
              </w:rPr>
              <w:t>932</w:t>
            </w:r>
            <w:bookmarkStart w:id="774" w:name="XBRL_CE_967453ded2d2439d8776838fdbd878b9"/>
            <w:bookmarkEnd w:id="773"/>
            <w:bookmarkEnd w:id="774"/>
          </w:p>
        </w:tc>
        <w:tc>
          <w:tcPr>
            <w:tcW w:w="120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775" w:name="XBRL_CS_797dc7dcd29d411e94433b35020bda27"/>
            <w:bookmarkEnd w:id="775"/>
            <w:bookmarkStart w:id="776" w:name="797dc7dcd29d411e94433b35020bda27"/>
            <w:r>
              <w:rPr>
                <w:rFonts w:ascii="Arial" w:eastAsia="Arial" w:hAnsi="Arial" w:cs="Arial"/>
                <w:b w:val="0"/>
                <w:i w:val="0"/>
                <w:strike w:val="0"/>
                <w:color w:val="000000"/>
                <w:sz w:val="13"/>
                <w:u w:val="none"/>
                <w:vertAlign w:val="baseline"/>
              </w:rPr>
              <w:t>369</w:t>
            </w:r>
            <w:bookmarkStart w:id="777" w:name="XBRL_CE_797dc7dcd29d411e94433b35020bda27"/>
            <w:bookmarkEnd w:id="776"/>
            <w:bookmarkEnd w:id="777"/>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Valuuttakurssien muutosten vaikutus</w:t>
            </w:r>
          </w:p>
        </w:tc>
        <w:tc>
          <w:tcPr>
            <w:tcW w:w="120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778" w:name="XBRL_CS_6fd739f14025463aa9331c8994ff16b6"/>
            <w:bookmarkEnd w:id="778"/>
            <w:bookmarkStart w:id="779" w:name="6fd739f14025463aa9331c8994ff16b6"/>
            <w:r>
              <w:rPr>
                <w:rFonts w:ascii="Arial" w:eastAsia="Arial" w:hAnsi="Arial" w:cs="Arial"/>
                <w:b/>
                <w:i w:val="0"/>
                <w:strike w:val="0"/>
                <w:color w:val="000000"/>
                <w:sz w:val="13"/>
                <w:u w:val="none"/>
                <w:vertAlign w:val="baseline"/>
              </w:rPr>
              <w:t>10</w:t>
            </w:r>
            <w:bookmarkStart w:id="780" w:name="XBRL_CE_6fd739f14025463aa9331c8994ff16b6"/>
            <w:bookmarkEnd w:id="779"/>
            <w:bookmarkEnd w:id="780"/>
          </w:p>
        </w:tc>
        <w:tc>
          <w:tcPr>
            <w:tcW w:w="120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781" w:name="XBRL_CS_ca0caa05a52c4a689309baa3981356c9"/>
            <w:bookmarkEnd w:id="781"/>
            <w:bookmarkStart w:id="782" w:name="ca0caa05a52c4a689309baa3981356c9"/>
            <w:r>
              <w:rPr>
                <w:rFonts w:ascii="Arial" w:eastAsia="Arial" w:hAnsi="Arial" w:cs="Arial"/>
                <w:b w:val="0"/>
                <w:i w:val="0"/>
                <w:strike w:val="0"/>
                <w:color w:val="000000"/>
                <w:sz w:val="13"/>
                <w:u w:val="none"/>
                <w:vertAlign w:val="baseline"/>
              </w:rPr>
              <w:t>-19</w:t>
            </w:r>
            <w:bookmarkStart w:id="783" w:name="XBRL_CE_ca0caa05a52c4a689309baa3981356c9"/>
            <w:bookmarkEnd w:id="782"/>
            <w:bookmarkEnd w:id="783"/>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99B7C4"/>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Rahavarat tilikauden lopussa*</w:t>
            </w:r>
          </w:p>
        </w:tc>
        <w:tc>
          <w:tcPr>
            <w:tcW w:w="120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784" w:name="XBRL_CS_7872e522db824127923233528d786550"/>
            <w:bookmarkEnd w:id="784"/>
            <w:bookmarkStart w:id="785" w:name="7872e522db824127923233528d786550"/>
            <w:r>
              <w:rPr>
                <w:rFonts w:ascii="Arial" w:eastAsia="Arial" w:hAnsi="Arial" w:cs="Arial"/>
                <w:b/>
                <w:i w:val="0"/>
                <w:strike w:val="0"/>
                <w:color w:val="000000"/>
                <w:sz w:val="13"/>
                <w:u w:val="none"/>
                <w:vertAlign w:val="baseline"/>
              </w:rPr>
              <w:t>964</w:t>
            </w:r>
            <w:bookmarkStart w:id="786" w:name="XBRL_CE_7872e522db824127923233528d786550"/>
            <w:bookmarkEnd w:id="785"/>
            <w:bookmarkEnd w:id="786"/>
          </w:p>
        </w:tc>
        <w:tc>
          <w:tcPr>
            <w:tcW w:w="120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787" w:name="XBRL_CS_a2febcb8af764fd8a8227596c0827d8a"/>
            <w:bookmarkEnd w:id="787"/>
            <w:bookmarkStart w:id="788" w:name="a2febcb8af764fd8a8227596c0827d8a"/>
            <w:r>
              <w:rPr>
                <w:rFonts w:ascii="Arial" w:eastAsia="Arial" w:hAnsi="Arial" w:cs="Arial"/>
                <w:b w:val="0"/>
                <w:i w:val="0"/>
                <w:strike w:val="0"/>
                <w:color w:val="000000"/>
                <w:sz w:val="13"/>
                <w:u w:val="none"/>
                <w:vertAlign w:val="baseline"/>
              </w:rPr>
              <w:t>932</w:t>
            </w:r>
            <w:bookmarkStart w:id="789" w:name="XBRL_CE_a2febcb8af764fd8a8227596c0827d8a"/>
            <w:bookmarkEnd w:id="788"/>
            <w:bookmarkEnd w:id="789"/>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99B7C4"/>
                <w:sz w:val="13"/>
                <w:u w:val="none"/>
                <w:vertAlign w:val="baseline"/>
              </w:rPr>
            </w:pPr>
          </w:p>
        </w:tc>
      </w:tr>
    </w:tbl>
    <w:p w:rsidR="00976719" w:rsidP="002642EE" w14:paraId="4D2D19D7" w14:textId="77777777">
      <w:pPr>
        <w:pStyle w:val="Bodytext2"/>
        <w:rPr>
          <w:lang w:val="fi-FI"/>
        </w:rPr>
      </w:pPr>
      <w:bookmarkStart w:id="790" w:name="RG_MARKER_7424"/>
      <w:bookmarkEnd w:id="790"/>
    </w:p>
    <w:p w:rsidR="00382358" w:rsidRPr="001C44EE" w:rsidP="002642EE" w14:paraId="26457CE1" w14:textId="0DBA75F3">
      <w:pPr>
        <w:pStyle w:val="Bodytext2"/>
        <w:rPr>
          <w:lang w:val="fi-FI"/>
        </w:rPr>
      </w:pPr>
      <w:r w:rsidRPr="001C44EE">
        <w:rPr>
          <w:lang w:val="fi-FI"/>
        </w:rPr>
        <w:t>*</w:t>
      </w:r>
      <w:r w:rsidRPr="001C44EE">
        <w:rPr>
          <w:lang w:val="fi-FI"/>
        </w:rPr>
        <w:t xml:space="preserve"> </w:t>
      </w:r>
      <w:r w:rsidRPr="001C44EE">
        <w:rPr>
          <w:lang w:val="fi-FI"/>
        </w:rPr>
        <w:t xml:space="preserve">Rahavarat </w:t>
      </w:r>
      <w:r w:rsidRPr="001C44EE">
        <w:rPr>
          <w:lang w:val="fi-FI"/>
        </w:rPr>
        <w:t>sisältävät myytävänä oleviin omaisuuseriin liittyvät rahavarat.</w:t>
      </w:r>
    </w:p>
    <w:p w:rsidR="00382358" w:rsidRPr="001C44EE" w:rsidP="002642EE" w14:paraId="413B0D9C" w14:textId="77777777">
      <w:pPr>
        <w:pStyle w:val="Bodytext2"/>
        <w:rPr>
          <w:lang w:val="fi-FI"/>
        </w:rPr>
      </w:pPr>
    </w:p>
    <w:p w:rsidR="00264F8A" w:rsidRPr="00264F8A" w:rsidP="002642EE" w14:textId="52D49A94">
      <w:pPr>
        <w:pStyle w:val="Bodytext2"/>
        <w:rPr>
          <w:sz w:val="2"/>
          <w:szCs w:val="2"/>
          <w:lang w:val="fi-FI"/>
        </w:rPr>
      </w:pPr>
      <w:r w:rsidRPr="00E04C42">
        <w:rPr>
          <w:lang w:val="fi-FI"/>
        </w:rPr>
        <w:t>Liitetiedot ovat osa tätä tilinpäätöstä.</w:t>
      </w:r>
      <w:r w:rsidRPr="00BE0A68">
        <w:rPr>
          <w:sz w:val="2"/>
          <w:szCs w:val="2"/>
          <w:lang w:val="fi-FI"/>
        </w:rPr>
        <w:br w:type="page"/>
      </w:r>
    </w:p>
    <w:p w:rsidR="002642EE" w:rsidRPr="00E04C42" w:rsidP="002642EE" w14:paraId="1321C265" w14:textId="77777777">
      <w:pPr>
        <w:pStyle w:val="Bodytext2"/>
        <w:rPr>
          <w:sz w:val="2"/>
          <w:szCs w:val="2"/>
          <w:lang w:val="fi-FI"/>
        </w:rPr>
        <w:sectPr w:rsidSect="00515210">
          <w:headerReference w:type="even" r:id="rId46"/>
          <w:headerReference w:type="default" r:id="rId47"/>
          <w:footerReference w:type="even" r:id="rId48"/>
          <w:footerReference w:type="default" r:id="rId49"/>
          <w:headerReference w:type="first" r:id="rId50"/>
          <w:footerReference w:type="first" r:id="rId51"/>
          <w:type w:val="continuous"/>
          <w:pgSz w:w="16838" w:h="11906" w:orient="landscape"/>
          <w:pgMar w:top="1814" w:right="737" w:bottom="1247" w:left="737" w:header="720" w:footer="720" w:gutter="0"/>
          <w:pgBorders w:zOrder="front" w:display="allPages" w:offsetFrom="text">
            <w:top w:val="nil"/>
            <w:left w:val="nil"/>
            <w:bottom w:val="nil"/>
            <w:right w:val="nil"/>
          </w:pgBorders>
          <w:cols w:num="2" w:space="624"/>
          <w:vAlign w:val="top"/>
          <w:titlePg w:val="0"/>
          <w:rtlGutter w:val="0"/>
          <w:docGrid w:linePitch="360"/>
        </w:sectPr>
      </w:pPr>
      <w:r>
        <w:t xml:space="preserve"> </w:t>
      </w:r>
    </w:p>
    <w:p w:rsidR="002642EE" w:rsidP="00B01AA6" w14:textId="6C9BB1D0">
      <w:pPr>
        <w:pStyle w:val="Heading105"/>
        <w:spacing w:after="120"/>
      </w:pPr>
      <w:bookmarkStart w:id="791" w:name="RG_MARKER_7422"/>
      <w:r>
        <w:t>LASKELMA OMAN PÄÄOMAN MUUTOKSISTA</w:t>
      </w:r>
      <w:bookmarkEnd w:id="791"/>
    </w:p>
    <w:p/>
    <w:tbl>
      <w:tblPr>
        <w:tblStyle w:val="CDMRange1"/>
        <w:tblW w:w="15300" w:type="dxa"/>
        <w:tblLayout w:type="fixed"/>
        <w:tblLook w:val="0600"/>
      </w:tblPr>
      <w:tblGrid>
        <w:gridCol w:w="3825"/>
        <w:gridCol w:w="1275"/>
        <w:gridCol w:w="1275"/>
        <w:gridCol w:w="1275"/>
        <w:gridCol w:w="1275"/>
        <w:gridCol w:w="1275"/>
        <w:gridCol w:w="1275"/>
        <w:gridCol w:w="1275"/>
        <w:gridCol w:w="1275"/>
        <w:gridCol w:w="1275"/>
      </w:tblGrid>
      <w:tr>
        <w:tblPrEx>
          <w:tblW w:w="15300" w:type="dxa"/>
          <w:tblLayout w:type="fixed"/>
          <w:tblLook w:val="0600"/>
        </w:tblPrEx>
        <w:trPr>
          <w:trHeight w:val="240"/>
        </w:trPr>
        <w:tc>
          <w:tcPr>
            <w:tcW w:w="3825"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925" w:type="dxa"/>
            <w:gridSpan w:val="7"/>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Emoyhtiön omistajille kuuluva oma pääoma</w:t>
            </w:r>
          </w:p>
        </w:tc>
        <w:tc>
          <w:tcPr>
            <w:tcW w:w="127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Määräysval-</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lattomien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omistajien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osuus</w:t>
            </w:r>
          </w:p>
        </w:tc>
        <w:tc>
          <w:tcPr>
            <w:tcW w:w="127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Oma pääoma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8" w:space="0" w:color="0F172B"/>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75" w:type="dxa"/>
            <w:tcBorders>
              <w:top w:val="single" w:sz="8" w:space="0" w:color="0F172B"/>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Osake-</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pääoma</w:t>
            </w:r>
          </w:p>
        </w:tc>
        <w:tc>
          <w:tcPr>
            <w:tcW w:w="1275" w:type="dxa"/>
            <w:tcBorders>
              <w:top w:val="single" w:sz="8" w:space="0" w:color="0F172B"/>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Ylikurssi-</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rahasto</w:t>
            </w:r>
          </w:p>
        </w:tc>
        <w:tc>
          <w:tcPr>
            <w:tcW w:w="1275" w:type="dxa"/>
            <w:tcBorders>
              <w:top w:val="single" w:sz="8" w:space="0" w:color="0F172B"/>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Muunto-</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erot</w:t>
            </w:r>
          </w:p>
        </w:tc>
        <w:tc>
          <w:tcPr>
            <w:tcW w:w="1275" w:type="dxa"/>
            <w:tcBorders>
              <w:top w:val="single" w:sz="8" w:space="0" w:color="0F172B"/>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Arvonmuu-</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tosrahasto</w:t>
            </w:r>
          </w:p>
        </w:tc>
        <w:tc>
          <w:tcPr>
            <w:tcW w:w="1275" w:type="dxa"/>
            <w:tcBorders>
              <w:top w:val="single" w:sz="8" w:space="0" w:color="0F172B"/>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Etuuspohaisen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nettovelan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uudelleenmää-</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rittämisestä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johtuvat erät</w:t>
            </w:r>
          </w:p>
        </w:tc>
        <w:tc>
          <w:tcPr>
            <w:tcW w:w="1275" w:type="dxa"/>
            <w:tcBorders>
              <w:top w:val="single" w:sz="8" w:space="0" w:color="0F172B"/>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Kertyneet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voittovarat</w:t>
            </w:r>
          </w:p>
        </w:tc>
        <w:tc>
          <w:tcPr>
            <w:tcW w:w="1275" w:type="dxa"/>
            <w:tcBorders>
              <w:top w:val="single" w:sz="8" w:space="0" w:color="0F172B"/>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275" w:type="dxa"/>
            <w:tcBorders>
              <w:top w:val="single" w:sz="8" w:space="0" w:color="0F172B"/>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75" w:type="dxa"/>
            <w:tcBorders>
              <w:top w:val="single" w:sz="8" w:space="0" w:color="0F172B"/>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Oma pääoma 1.1.2021</w:t>
            </w:r>
          </w:p>
        </w:tc>
        <w:tc>
          <w:tcPr>
            <w:tcW w:w="127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792" w:name="XBRL_CS_5dc68ec25aa846978244c1fa8a8d0cd0"/>
            <w:bookmarkEnd w:id="792"/>
            <w:bookmarkStart w:id="793" w:name="5dc68ec25aa846978244c1fa8a8d0cd0"/>
            <w:r>
              <w:rPr>
                <w:rFonts w:ascii="Arial" w:eastAsia="Arial" w:hAnsi="Arial" w:cs="Arial"/>
                <w:b/>
                <w:i w:val="0"/>
                <w:strike w:val="0"/>
                <w:color w:val="000000"/>
                <w:sz w:val="13"/>
                <w:u w:val="none"/>
                <w:vertAlign w:val="baseline"/>
              </w:rPr>
              <w:t>336</w:t>
            </w:r>
            <w:bookmarkStart w:id="794" w:name="XBRL_CE_5dc68ec25aa846978244c1fa8a8d0cd0"/>
            <w:bookmarkEnd w:id="793"/>
            <w:bookmarkEnd w:id="794"/>
          </w:p>
        </w:tc>
        <w:tc>
          <w:tcPr>
            <w:tcW w:w="127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795" w:name="XBRL_CS_d4cc7552d4b84ad8ab08e4abb60b4186"/>
            <w:bookmarkEnd w:id="795"/>
            <w:bookmarkStart w:id="796" w:name="d4cc7552d4b84ad8ab08e4abb60b4186"/>
            <w:r>
              <w:rPr>
                <w:rFonts w:ascii="Arial" w:eastAsia="Arial" w:hAnsi="Arial" w:cs="Arial"/>
                <w:b/>
                <w:i w:val="0"/>
                <w:strike w:val="0"/>
                <w:color w:val="000000"/>
                <w:sz w:val="13"/>
                <w:u w:val="none"/>
                <w:vertAlign w:val="baseline"/>
              </w:rPr>
              <w:t>61</w:t>
            </w:r>
            <w:bookmarkStart w:id="797" w:name="XBRL_CE_d4cc7552d4b84ad8ab08e4abb60b4186"/>
            <w:bookmarkEnd w:id="796"/>
            <w:bookmarkEnd w:id="797"/>
          </w:p>
        </w:tc>
        <w:tc>
          <w:tcPr>
            <w:tcW w:w="127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798" w:name="XBRL_CS_1926f6ca6c454be6a40e4d2ae3715650"/>
            <w:bookmarkEnd w:id="798"/>
            <w:bookmarkStart w:id="799" w:name="1926f6ca6c454be6a40e4d2ae3715650"/>
            <w:r>
              <w:rPr>
                <w:rFonts w:ascii="Arial" w:eastAsia="Arial" w:hAnsi="Arial" w:cs="Arial"/>
                <w:b/>
                <w:i w:val="0"/>
                <w:strike w:val="0"/>
                <w:color w:val="000000"/>
                <w:sz w:val="13"/>
                <w:u w:val="none"/>
                <w:vertAlign w:val="baseline"/>
              </w:rPr>
              <w:t>-197</w:t>
            </w:r>
            <w:bookmarkStart w:id="800" w:name="XBRL_CE_1926f6ca6c454be6a40e4d2ae3715650"/>
            <w:bookmarkEnd w:id="799"/>
            <w:bookmarkEnd w:id="800"/>
          </w:p>
        </w:tc>
        <w:tc>
          <w:tcPr>
            <w:tcW w:w="127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01" w:name="XBRL_CS_6ef09fc2270c4d36a9819bd290851eb6"/>
            <w:bookmarkEnd w:id="801"/>
            <w:bookmarkStart w:id="802" w:name="6ef09fc2270c4d36a9819bd290851eb6"/>
            <w:r>
              <w:rPr>
                <w:rFonts w:ascii="Arial" w:eastAsia="Arial" w:hAnsi="Arial" w:cs="Arial"/>
                <w:b/>
                <w:i w:val="0"/>
                <w:strike w:val="0"/>
                <w:color w:val="000000"/>
                <w:sz w:val="13"/>
                <w:u w:val="none"/>
                <w:vertAlign w:val="baseline"/>
              </w:rPr>
              <w:t>-9</w:t>
            </w:r>
            <w:bookmarkStart w:id="803" w:name="XBRL_CE_6ef09fc2270c4d36a9819bd290851eb6"/>
            <w:bookmarkEnd w:id="802"/>
            <w:bookmarkEnd w:id="803"/>
          </w:p>
        </w:tc>
        <w:tc>
          <w:tcPr>
            <w:tcW w:w="127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04" w:name="XBRL_CS_ae516ef41ce84f42ba2c8e4505710308"/>
            <w:bookmarkEnd w:id="804"/>
            <w:bookmarkStart w:id="805" w:name="ae516ef41ce84f42ba2c8e4505710308"/>
            <w:r>
              <w:rPr>
                <w:rFonts w:ascii="Arial" w:eastAsia="Arial" w:hAnsi="Arial" w:cs="Arial"/>
                <w:b/>
                <w:i w:val="0"/>
                <w:strike w:val="0"/>
                <w:color w:val="000000"/>
                <w:sz w:val="13"/>
                <w:u w:val="none"/>
                <w:vertAlign w:val="baseline"/>
              </w:rPr>
              <w:t>-45</w:t>
            </w:r>
            <w:bookmarkStart w:id="806" w:name="XBRL_CE_ae516ef41ce84f42ba2c8e4505710308"/>
            <w:bookmarkEnd w:id="805"/>
            <w:bookmarkEnd w:id="806"/>
          </w:p>
        </w:tc>
        <w:tc>
          <w:tcPr>
            <w:tcW w:w="127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07" w:name="XBRL_CS_7bac6fdd5df942e4a792aec52926c874"/>
            <w:bookmarkEnd w:id="807"/>
            <w:bookmarkStart w:id="808" w:name="7bac6fdd5df942e4a792aec52926c874"/>
            <w:r>
              <w:rPr>
                <w:rFonts w:ascii="Arial" w:eastAsia="Arial" w:hAnsi="Arial" w:cs="Arial"/>
                <w:b/>
                <w:i w:val="0"/>
                <w:strike w:val="0"/>
                <w:color w:val="000000"/>
                <w:sz w:val="13"/>
                <w:u w:val="none"/>
                <w:vertAlign w:val="baseline"/>
              </w:rPr>
              <w:t>2 030</w:t>
            </w:r>
            <w:bookmarkStart w:id="809" w:name="XBRL_CE_7bac6fdd5df942e4a792aec52926c874"/>
            <w:bookmarkEnd w:id="808"/>
            <w:bookmarkEnd w:id="809"/>
          </w:p>
        </w:tc>
        <w:tc>
          <w:tcPr>
            <w:tcW w:w="127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10" w:name="XBRL_CS_f72b4e1e7f4649b0a128abcd24567ddb"/>
            <w:bookmarkEnd w:id="810"/>
            <w:bookmarkStart w:id="811" w:name="f72b4e1e7f4649b0a128abcd24567ddb"/>
            <w:r>
              <w:rPr>
                <w:rFonts w:ascii="Arial" w:eastAsia="Arial" w:hAnsi="Arial" w:cs="Arial"/>
                <w:b/>
                <w:i w:val="0"/>
                <w:strike w:val="0"/>
                <w:color w:val="000000"/>
                <w:sz w:val="13"/>
                <w:u w:val="none"/>
                <w:vertAlign w:val="baseline"/>
              </w:rPr>
              <w:t>2 177</w:t>
            </w:r>
            <w:bookmarkStart w:id="812" w:name="XBRL_CE_f72b4e1e7f4649b0a128abcd24567ddb"/>
            <w:bookmarkEnd w:id="811"/>
            <w:bookmarkEnd w:id="812"/>
          </w:p>
        </w:tc>
        <w:tc>
          <w:tcPr>
            <w:tcW w:w="127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13" w:name="XBRL_CS_413d2ad6f3b94c44b15c1c60cc300c92"/>
            <w:bookmarkEnd w:id="813"/>
            <w:bookmarkStart w:id="814" w:name="413d2ad6f3b94c44b15c1c60cc300c92"/>
            <w:r>
              <w:rPr>
                <w:rFonts w:ascii="Arial" w:eastAsia="Arial" w:hAnsi="Arial" w:cs="Arial"/>
                <w:b/>
                <w:i w:val="0"/>
                <w:strike w:val="0"/>
                <w:color w:val="000000"/>
                <w:sz w:val="13"/>
                <w:u w:val="none"/>
                <w:vertAlign w:val="baseline"/>
              </w:rPr>
              <w:t>11</w:t>
            </w:r>
            <w:bookmarkStart w:id="815" w:name="XBRL_CE_413d2ad6f3b94c44b15c1c60cc300c92"/>
            <w:bookmarkEnd w:id="814"/>
            <w:bookmarkEnd w:id="815"/>
          </w:p>
        </w:tc>
        <w:tc>
          <w:tcPr>
            <w:tcW w:w="127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16" w:name="XBRL_CS_ddaa3afcbec9452990025c9995af9fe5"/>
            <w:bookmarkEnd w:id="816"/>
            <w:bookmarkStart w:id="817" w:name="ddaa3afcbec9452990025c9995af9fe5"/>
            <w:r>
              <w:rPr>
                <w:rFonts w:ascii="Arial" w:eastAsia="Arial" w:hAnsi="Arial" w:cs="Arial"/>
                <w:b/>
                <w:i w:val="0"/>
                <w:strike w:val="0"/>
                <w:color w:val="000000"/>
                <w:sz w:val="13"/>
                <w:u w:val="none"/>
                <w:vertAlign w:val="baseline"/>
              </w:rPr>
              <w:t>2 188</w:t>
            </w:r>
            <w:bookmarkStart w:id="818" w:name="XBRL_CE_ddaa3afcbec9452990025c9995af9fe5"/>
            <w:bookmarkEnd w:id="817"/>
            <w:bookmarkEnd w:id="818"/>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Muuntoerot</w:t>
            </w:r>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19" w:name="XBRL_CS_aebf6468024b43d3b0206df9d164a4ea"/>
            <w:bookmarkEnd w:id="819"/>
            <w:bookmarkStart w:id="820" w:name="aebf6468024b43d3b0206df9d164a4ea"/>
            <w:bookmarkStart w:id="821" w:name="XBRL_CE_aebf6468024b43d3b0206df9d164a4ea"/>
            <w:bookmarkEnd w:id="820"/>
            <w:bookmarkEnd w:id="821"/>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22" w:name="XBRL_CS_ba9b715dc6bb41208c04dc3906c9cbb5"/>
            <w:bookmarkEnd w:id="822"/>
            <w:bookmarkStart w:id="823" w:name="ba9b715dc6bb41208c04dc3906c9cbb5"/>
            <w:bookmarkStart w:id="824" w:name="XBRL_CE_ba9b715dc6bb41208c04dc3906c9cbb5"/>
            <w:bookmarkEnd w:id="823"/>
            <w:bookmarkEnd w:id="824"/>
          </w:p>
        </w:tc>
        <w:tc>
          <w:tcPr>
            <w:tcW w:w="127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25" w:name="XBRL_CS_87c252917b424b59918970f0920a57bf"/>
            <w:bookmarkEnd w:id="825"/>
            <w:bookmarkStart w:id="826" w:name="87c252917b424b59918970f0920a57bf"/>
            <w:r>
              <w:rPr>
                <w:rFonts w:ascii="Arial" w:eastAsia="Arial" w:hAnsi="Arial" w:cs="Arial"/>
                <w:b/>
                <w:i w:val="0"/>
                <w:strike w:val="0"/>
                <w:color w:val="000000"/>
                <w:sz w:val="13"/>
                <w:u w:val="none"/>
                <w:vertAlign w:val="baseline"/>
              </w:rPr>
              <w:t>74</w:t>
            </w:r>
            <w:bookmarkStart w:id="827" w:name="XBRL_CE_87c252917b424b59918970f0920a57bf"/>
            <w:bookmarkEnd w:id="826"/>
            <w:bookmarkEnd w:id="827"/>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28" w:name="XBRL_CS_5b7dc572049942cab86b419f55d8e069"/>
            <w:bookmarkEnd w:id="828"/>
            <w:bookmarkStart w:id="829" w:name="5b7dc572049942cab86b419f55d8e069"/>
            <w:bookmarkStart w:id="830" w:name="XBRL_CE_5b7dc572049942cab86b419f55d8e069"/>
            <w:bookmarkEnd w:id="829"/>
            <w:bookmarkEnd w:id="830"/>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31" w:name="XBRL_CS_2442a4fae67049e8a374a88bb4f71429"/>
            <w:bookmarkEnd w:id="831"/>
            <w:bookmarkStart w:id="832" w:name="2442a4fae67049e8a374a88bb4f71429"/>
            <w:bookmarkStart w:id="833" w:name="XBRL_CE_2442a4fae67049e8a374a88bb4f71429"/>
            <w:bookmarkEnd w:id="832"/>
            <w:bookmarkEnd w:id="833"/>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34" w:name="XBRL_CS_fba85df0f42e465b8838b3794fd7e781"/>
            <w:bookmarkEnd w:id="834"/>
            <w:bookmarkStart w:id="835" w:name="fba85df0f42e465b8838b3794fd7e781"/>
            <w:bookmarkStart w:id="836" w:name="XBRL_CE_fba85df0f42e465b8838b3794fd7e781"/>
            <w:bookmarkEnd w:id="835"/>
            <w:bookmarkEnd w:id="836"/>
          </w:p>
        </w:tc>
        <w:tc>
          <w:tcPr>
            <w:tcW w:w="127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37" w:name="XBRL_CS_8efe61fcd6ed4042954a4309bf51855e"/>
            <w:bookmarkEnd w:id="837"/>
            <w:bookmarkStart w:id="838" w:name="8efe61fcd6ed4042954a4309bf51855e"/>
            <w:r>
              <w:rPr>
                <w:rFonts w:ascii="Arial" w:eastAsia="Arial" w:hAnsi="Arial" w:cs="Arial"/>
                <w:b/>
                <w:i w:val="0"/>
                <w:strike w:val="0"/>
                <w:color w:val="000000"/>
                <w:sz w:val="13"/>
                <w:u w:val="none"/>
                <w:vertAlign w:val="baseline"/>
              </w:rPr>
              <w:t>74</w:t>
            </w:r>
            <w:bookmarkStart w:id="839" w:name="XBRL_CE_8efe61fcd6ed4042954a4309bf51855e"/>
            <w:bookmarkEnd w:id="838"/>
            <w:bookmarkEnd w:id="839"/>
          </w:p>
        </w:tc>
        <w:tc>
          <w:tcPr>
            <w:tcW w:w="127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40" w:name="XBRL_CS_da19f8ec541a4845a07b38a284b0d0a0"/>
            <w:bookmarkEnd w:id="840"/>
            <w:bookmarkStart w:id="841" w:name="da19f8ec541a4845a07b38a284b0d0a0"/>
            <w:r>
              <w:rPr>
                <w:rFonts w:ascii="Arial" w:eastAsia="Arial" w:hAnsi="Arial" w:cs="Arial"/>
                <w:b/>
                <w:i w:val="0"/>
                <w:strike w:val="0"/>
                <w:color w:val="000000"/>
                <w:sz w:val="13"/>
                <w:u w:val="none"/>
                <w:vertAlign w:val="baseline"/>
              </w:rPr>
              <w:t>-1</w:t>
            </w:r>
            <w:bookmarkStart w:id="842" w:name="XBRL_CE_da19f8ec541a4845a07b38a284b0d0a0"/>
            <w:bookmarkEnd w:id="841"/>
            <w:bookmarkEnd w:id="842"/>
          </w:p>
        </w:tc>
        <w:tc>
          <w:tcPr>
            <w:tcW w:w="127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43" w:name="XBRL_CS_fb815a08b68941c48e95513ce5c5c573"/>
            <w:bookmarkEnd w:id="843"/>
            <w:bookmarkStart w:id="844" w:name="fb815a08b68941c48e95513ce5c5c573"/>
            <w:r>
              <w:rPr>
                <w:rFonts w:ascii="Arial" w:eastAsia="Arial" w:hAnsi="Arial" w:cs="Arial"/>
                <w:b/>
                <w:i w:val="0"/>
                <w:strike w:val="0"/>
                <w:color w:val="000000"/>
                <w:sz w:val="13"/>
                <w:u w:val="none"/>
                <w:vertAlign w:val="baseline"/>
              </w:rPr>
              <w:t>74</w:t>
            </w:r>
            <w:bookmarkStart w:id="845" w:name="XBRL_CE_fb815a08b68941c48e95513ce5c5c573"/>
            <w:bookmarkEnd w:id="844"/>
            <w:bookmarkEnd w:id="845"/>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nil"/>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Rahavirran suojaukset</w:t>
            </w:r>
          </w:p>
        </w:tc>
        <w:tc>
          <w:tcPr>
            <w:tcW w:w="1275"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75"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75"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75"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75"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75"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75"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75"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75"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4" w:space="0" w:color="004A6B"/>
              <w:left w:val="nil"/>
              <w:bottom w:val="single" w:sz="4" w:space="0" w:color="004A6B"/>
              <w:right w:val="nil"/>
              <w:tl2br w:val="nil"/>
              <w:tr2bl w:val="nil"/>
            </w:tcBorders>
            <w:shd w:val="clear" w:color="auto" w:fill="auto"/>
            <w:noWrap w:val="0"/>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käyvän arvon nettomuutos verojen jälkeen</w:t>
            </w:r>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46" w:name="XBRL_CS_55e2277071ca44aba30d8cb46f593c90"/>
            <w:bookmarkEnd w:id="846"/>
            <w:bookmarkStart w:id="847" w:name="55e2277071ca44aba30d8cb46f593c90"/>
            <w:bookmarkStart w:id="848" w:name="XBRL_CE_55e2277071ca44aba30d8cb46f593c90"/>
            <w:bookmarkEnd w:id="847"/>
            <w:bookmarkEnd w:id="848"/>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49" w:name="XBRL_CS_52e70fde217b407ea7a36ff2f1a7cfce"/>
            <w:bookmarkEnd w:id="849"/>
            <w:bookmarkStart w:id="850" w:name="52e70fde217b407ea7a36ff2f1a7cfce"/>
            <w:bookmarkStart w:id="851" w:name="XBRL_CE_52e70fde217b407ea7a36ff2f1a7cfce"/>
            <w:bookmarkEnd w:id="850"/>
            <w:bookmarkEnd w:id="851"/>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52" w:name="XBRL_CS_7287c921aa1041babc697e0df6ad79f1"/>
            <w:bookmarkEnd w:id="852"/>
            <w:bookmarkStart w:id="853" w:name="7287c921aa1041babc697e0df6ad79f1"/>
            <w:bookmarkStart w:id="854" w:name="XBRL_CE_7287c921aa1041babc697e0df6ad79f1"/>
            <w:bookmarkEnd w:id="853"/>
            <w:bookmarkEnd w:id="854"/>
          </w:p>
        </w:tc>
        <w:tc>
          <w:tcPr>
            <w:tcW w:w="127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55" w:name="XBRL_CS_28c07d6617d546a69f1740b4832bdda0"/>
            <w:bookmarkEnd w:id="855"/>
            <w:bookmarkStart w:id="856" w:name="28c07d6617d546a69f1740b4832bdda0"/>
            <w:r>
              <w:rPr>
                <w:rFonts w:ascii="Arial" w:eastAsia="Arial" w:hAnsi="Arial" w:cs="Arial"/>
                <w:b/>
                <w:i w:val="0"/>
                <w:strike w:val="0"/>
                <w:color w:val="000000"/>
                <w:sz w:val="13"/>
                <w:u w:val="none"/>
                <w:vertAlign w:val="baseline"/>
              </w:rPr>
              <w:t>-11</w:t>
            </w:r>
            <w:bookmarkStart w:id="857" w:name="XBRL_CE_28c07d6617d546a69f1740b4832bdda0"/>
            <w:bookmarkEnd w:id="856"/>
            <w:bookmarkEnd w:id="857"/>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58" w:name="XBRL_CS_0c0132b638e1427f834d0ed6b3f981b1"/>
            <w:bookmarkEnd w:id="858"/>
            <w:bookmarkStart w:id="859" w:name="0c0132b638e1427f834d0ed6b3f981b1"/>
            <w:bookmarkStart w:id="860" w:name="XBRL_CE_0c0132b638e1427f834d0ed6b3f981b1"/>
            <w:bookmarkEnd w:id="859"/>
            <w:bookmarkEnd w:id="860"/>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61" w:name="XBRL_CS_da53bb30c4b64b9e88ff9d56e174ef09"/>
            <w:bookmarkEnd w:id="861"/>
            <w:bookmarkStart w:id="862" w:name="da53bb30c4b64b9e88ff9d56e174ef09"/>
            <w:bookmarkStart w:id="863" w:name="XBRL_CE_da53bb30c4b64b9e88ff9d56e174ef09"/>
            <w:bookmarkEnd w:id="862"/>
            <w:bookmarkEnd w:id="863"/>
          </w:p>
        </w:tc>
        <w:tc>
          <w:tcPr>
            <w:tcW w:w="127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64" w:name="XBRL_CS_47f8b01bb8d9490297070ee548f326fa"/>
            <w:bookmarkEnd w:id="864"/>
            <w:bookmarkStart w:id="865" w:name="47f8b01bb8d9490297070ee548f326fa"/>
            <w:r>
              <w:rPr>
                <w:rFonts w:ascii="Arial" w:eastAsia="Arial" w:hAnsi="Arial" w:cs="Arial"/>
                <w:b/>
                <w:i w:val="0"/>
                <w:strike w:val="0"/>
                <w:color w:val="000000"/>
                <w:sz w:val="13"/>
                <w:u w:val="none"/>
                <w:vertAlign w:val="baseline"/>
              </w:rPr>
              <w:t>-11</w:t>
            </w:r>
            <w:bookmarkStart w:id="866" w:name="XBRL_CE_47f8b01bb8d9490297070ee548f326fa"/>
            <w:bookmarkEnd w:id="865"/>
            <w:bookmarkEnd w:id="866"/>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67" w:name="XBRL_CS_41e791595c8b4cd192c02932782f804c"/>
            <w:bookmarkEnd w:id="867"/>
            <w:bookmarkStart w:id="868" w:name="41e791595c8b4cd192c02932782f804c"/>
            <w:bookmarkStart w:id="869" w:name="XBRL_CE_41e791595c8b4cd192c02932782f804c"/>
            <w:bookmarkEnd w:id="868"/>
            <w:bookmarkEnd w:id="869"/>
          </w:p>
        </w:tc>
        <w:tc>
          <w:tcPr>
            <w:tcW w:w="127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70" w:name="XBRL_CS_ca5269a501fa4f919b935fba523b040a"/>
            <w:bookmarkEnd w:id="870"/>
            <w:bookmarkStart w:id="871" w:name="ca5269a501fa4f919b935fba523b040a"/>
            <w:r>
              <w:rPr>
                <w:rFonts w:ascii="Arial" w:eastAsia="Arial" w:hAnsi="Arial" w:cs="Arial"/>
                <w:b/>
                <w:i w:val="0"/>
                <w:strike w:val="0"/>
                <w:color w:val="000000"/>
                <w:sz w:val="13"/>
                <w:u w:val="none"/>
                <w:vertAlign w:val="baseline"/>
              </w:rPr>
              <w:t>-11</w:t>
            </w:r>
            <w:bookmarkStart w:id="872" w:name="XBRL_CE_ca5269a501fa4f919b935fba523b040a"/>
            <w:bookmarkEnd w:id="871"/>
            <w:bookmarkEnd w:id="872"/>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4" w:space="0" w:color="004A6B"/>
              <w:left w:val="nil"/>
              <w:bottom w:val="single" w:sz="4" w:space="0" w:color="004A6B"/>
              <w:right w:val="nil"/>
              <w:tl2br w:val="nil"/>
              <w:tr2bl w:val="nil"/>
            </w:tcBorders>
            <w:shd w:val="clear" w:color="auto" w:fill="auto"/>
            <w:noWrap w:val="0"/>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siirretty tuloslaskelmaan, veroilla vähennettynä</w:t>
            </w:r>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73" w:name="XBRL_CS_f400103e69024513b68d4918aed4c29e"/>
            <w:bookmarkEnd w:id="873"/>
            <w:bookmarkStart w:id="874" w:name="f400103e69024513b68d4918aed4c29e"/>
            <w:bookmarkStart w:id="875" w:name="XBRL_CE_f400103e69024513b68d4918aed4c29e"/>
            <w:bookmarkEnd w:id="874"/>
            <w:bookmarkEnd w:id="875"/>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76" w:name="XBRL_CS_487068ac9b714e44bdd1ebf8541c8933"/>
            <w:bookmarkEnd w:id="876"/>
            <w:bookmarkStart w:id="877" w:name="487068ac9b714e44bdd1ebf8541c8933"/>
            <w:bookmarkStart w:id="878" w:name="XBRL_CE_487068ac9b714e44bdd1ebf8541c8933"/>
            <w:bookmarkEnd w:id="877"/>
            <w:bookmarkEnd w:id="878"/>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79" w:name="XBRL_CS_7418e4441cd34c8cb93b97628ed77800"/>
            <w:bookmarkEnd w:id="879"/>
            <w:bookmarkStart w:id="880" w:name="7418e4441cd34c8cb93b97628ed77800"/>
            <w:bookmarkStart w:id="881" w:name="XBRL_CE_7418e4441cd34c8cb93b97628ed77800"/>
            <w:bookmarkEnd w:id="880"/>
            <w:bookmarkEnd w:id="881"/>
          </w:p>
        </w:tc>
        <w:tc>
          <w:tcPr>
            <w:tcW w:w="127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82" w:name="XBRL_CS_6e9cd90cf8dd400ea2ba29781908ddb9"/>
            <w:bookmarkEnd w:id="882"/>
            <w:bookmarkStart w:id="883" w:name="6e9cd90cf8dd400ea2ba29781908ddb9"/>
            <w:r>
              <w:rPr>
                <w:rFonts w:ascii="Arial" w:eastAsia="Arial" w:hAnsi="Arial" w:cs="Arial"/>
                <w:b/>
                <w:i w:val="0"/>
                <w:strike w:val="0"/>
                <w:color w:val="000000"/>
                <w:sz w:val="13"/>
                <w:u w:val="none"/>
                <w:vertAlign w:val="baseline"/>
              </w:rPr>
              <w:t>2</w:t>
            </w:r>
            <w:bookmarkStart w:id="884" w:name="XBRL_CE_6e9cd90cf8dd400ea2ba29781908ddb9"/>
            <w:bookmarkEnd w:id="883"/>
            <w:bookmarkEnd w:id="884"/>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85" w:name="XBRL_CS_e94f0ae73b24465a9c964dd990ca5801"/>
            <w:bookmarkEnd w:id="885"/>
            <w:bookmarkStart w:id="886" w:name="e94f0ae73b24465a9c964dd990ca5801"/>
            <w:bookmarkStart w:id="887" w:name="XBRL_CE_e94f0ae73b24465a9c964dd990ca5801"/>
            <w:bookmarkEnd w:id="886"/>
            <w:bookmarkEnd w:id="887"/>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88" w:name="XBRL_CS_9f8ac23d45704a32be686a9f1ed6611c"/>
            <w:bookmarkEnd w:id="888"/>
            <w:bookmarkStart w:id="889" w:name="9f8ac23d45704a32be686a9f1ed6611c"/>
            <w:bookmarkStart w:id="890" w:name="XBRL_CE_9f8ac23d45704a32be686a9f1ed6611c"/>
            <w:bookmarkEnd w:id="889"/>
            <w:bookmarkEnd w:id="890"/>
          </w:p>
        </w:tc>
        <w:tc>
          <w:tcPr>
            <w:tcW w:w="127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91" w:name="XBRL_CS_3495f7f96c474224a43e4340e0936f18"/>
            <w:bookmarkEnd w:id="891"/>
            <w:bookmarkStart w:id="892" w:name="3495f7f96c474224a43e4340e0936f18"/>
            <w:r>
              <w:rPr>
                <w:rFonts w:ascii="Arial" w:eastAsia="Arial" w:hAnsi="Arial" w:cs="Arial"/>
                <w:b/>
                <w:i w:val="0"/>
                <w:strike w:val="0"/>
                <w:color w:val="000000"/>
                <w:sz w:val="13"/>
                <w:u w:val="none"/>
                <w:vertAlign w:val="baseline"/>
              </w:rPr>
              <w:t>2</w:t>
            </w:r>
            <w:bookmarkStart w:id="893" w:name="XBRL_CE_3495f7f96c474224a43e4340e0936f18"/>
            <w:bookmarkEnd w:id="892"/>
            <w:bookmarkEnd w:id="893"/>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94" w:name="XBRL_CS_b5283220838848eca16e90fddfe71916"/>
            <w:bookmarkEnd w:id="894"/>
            <w:bookmarkStart w:id="895" w:name="b5283220838848eca16e90fddfe71916"/>
            <w:bookmarkStart w:id="896" w:name="XBRL_CE_b5283220838848eca16e90fddfe71916"/>
            <w:bookmarkEnd w:id="895"/>
            <w:bookmarkEnd w:id="896"/>
          </w:p>
        </w:tc>
        <w:tc>
          <w:tcPr>
            <w:tcW w:w="127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897" w:name="XBRL_CS_b3c5a49799884ce190aa12777775f33d"/>
            <w:bookmarkEnd w:id="897"/>
            <w:bookmarkStart w:id="898" w:name="b3c5a49799884ce190aa12777775f33d"/>
            <w:r>
              <w:rPr>
                <w:rFonts w:ascii="Arial" w:eastAsia="Arial" w:hAnsi="Arial" w:cs="Arial"/>
                <w:b/>
                <w:i w:val="0"/>
                <w:strike w:val="0"/>
                <w:color w:val="000000"/>
                <w:sz w:val="13"/>
                <w:u w:val="none"/>
                <w:vertAlign w:val="baseline"/>
              </w:rPr>
              <w:t>2</w:t>
            </w:r>
            <w:bookmarkStart w:id="899" w:name="XBRL_CE_b3c5a49799884ce190aa12777775f33d"/>
            <w:bookmarkEnd w:id="898"/>
            <w:bookmarkEnd w:id="899"/>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4" w:space="0" w:color="004A6B"/>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Etuuspohjaiset eläkejärjestelyt</w:t>
            </w:r>
          </w:p>
        </w:tc>
        <w:tc>
          <w:tcPr>
            <w:tcW w:w="127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00" w:name="XBRL_CS_2862436a764546a484a8063d0e8166e7"/>
            <w:bookmarkEnd w:id="900"/>
            <w:bookmarkStart w:id="901" w:name="2862436a764546a484a8063d0e8166e7"/>
            <w:bookmarkStart w:id="902" w:name="XBRL_CE_2862436a764546a484a8063d0e8166e7"/>
            <w:bookmarkEnd w:id="901"/>
            <w:bookmarkEnd w:id="902"/>
          </w:p>
        </w:tc>
        <w:tc>
          <w:tcPr>
            <w:tcW w:w="127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03" w:name="XBRL_CS_075bf11016264da1b3d43a4c080f8c4f"/>
            <w:bookmarkEnd w:id="903"/>
            <w:bookmarkStart w:id="904" w:name="075bf11016264da1b3d43a4c080f8c4f"/>
            <w:bookmarkStart w:id="905" w:name="XBRL_CE_075bf11016264da1b3d43a4c080f8c4f"/>
            <w:bookmarkEnd w:id="904"/>
            <w:bookmarkEnd w:id="905"/>
          </w:p>
        </w:tc>
        <w:tc>
          <w:tcPr>
            <w:tcW w:w="127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06" w:name="XBRL_CS_3e6bb6513919474b87fada3507327ae8"/>
            <w:bookmarkEnd w:id="906"/>
            <w:bookmarkStart w:id="907" w:name="3e6bb6513919474b87fada3507327ae8"/>
            <w:bookmarkStart w:id="908" w:name="XBRL_CE_3e6bb6513919474b87fada3507327ae8"/>
            <w:bookmarkEnd w:id="907"/>
            <w:bookmarkEnd w:id="908"/>
          </w:p>
        </w:tc>
        <w:tc>
          <w:tcPr>
            <w:tcW w:w="127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09" w:name="XBRL_CS_27b4813da80b4e29aa6b58bbbf0d6ba0"/>
            <w:bookmarkEnd w:id="909"/>
            <w:bookmarkStart w:id="910" w:name="27b4813da80b4e29aa6b58bbbf0d6ba0"/>
            <w:bookmarkStart w:id="911" w:name="XBRL_CE_27b4813da80b4e29aa6b58bbbf0d6ba0"/>
            <w:bookmarkEnd w:id="910"/>
            <w:bookmarkEnd w:id="911"/>
          </w:p>
        </w:tc>
        <w:tc>
          <w:tcPr>
            <w:tcW w:w="127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12" w:name="XBRL_CS_ff7fc553134d436bb0533b6c63b9a100"/>
            <w:bookmarkEnd w:id="912"/>
            <w:bookmarkStart w:id="913" w:name="ff7fc553134d436bb0533b6c63b9a100"/>
            <w:r>
              <w:rPr>
                <w:rFonts w:ascii="Arial" w:eastAsia="Arial" w:hAnsi="Arial" w:cs="Arial"/>
                <w:b/>
                <w:i w:val="0"/>
                <w:strike w:val="0"/>
                <w:color w:val="000000"/>
                <w:sz w:val="13"/>
                <w:u w:val="none"/>
                <w:vertAlign w:val="baseline"/>
              </w:rPr>
              <w:t>9</w:t>
            </w:r>
            <w:bookmarkStart w:id="914" w:name="XBRL_CE_ff7fc553134d436bb0533b6c63b9a100"/>
            <w:bookmarkEnd w:id="913"/>
            <w:bookmarkEnd w:id="914"/>
          </w:p>
        </w:tc>
        <w:tc>
          <w:tcPr>
            <w:tcW w:w="127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15" w:name="XBRL_CS_a1faf273910347a5be650a5934fb8b55"/>
            <w:bookmarkEnd w:id="915"/>
            <w:bookmarkStart w:id="916" w:name="a1faf273910347a5be650a5934fb8b55"/>
            <w:bookmarkStart w:id="917" w:name="XBRL_CE_a1faf273910347a5be650a5934fb8b55"/>
            <w:bookmarkEnd w:id="916"/>
            <w:bookmarkEnd w:id="917"/>
          </w:p>
        </w:tc>
        <w:tc>
          <w:tcPr>
            <w:tcW w:w="127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18" w:name="XBRL_CS_fe56cccfbdb04d34951aedbdc4b78253"/>
            <w:bookmarkEnd w:id="918"/>
            <w:bookmarkStart w:id="919" w:name="fe56cccfbdb04d34951aedbdc4b78253"/>
            <w:r>
              <w:rPr>
                <w:rFonts w:ascii="Arial" w:eastAsia="Arial" w:hAnsi="Arial" w:cs="Arial"/>
                <w:b/>
                <w:i w:val="0"/>
                <w:strike w:val="0"/>
                <w:color w:val="000000"/>
                <w:sz w:val="13"/>
                <w:u w:val="none"/>
                <w:vertAlign w:val="baseline"/>
              </w:rPr>
              <w:t>9</w:t>
            </w:r>
            <w:bookmarkStart w:id="920" w:name="XBRL_CE_fe56cccfbdb04d34951aedbdc4b78253"/>
            <w:bookmarkEnd w:id="919"/>
            <w:bookmarkEnd w:id="920"/>
          </w:p>
        </w:tc>
        <w:tc>
          <w:tcPr>
            <w:tcW w:w="127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21" w:name="XBRL_CS_9b02eac6ea1e43c6aa5a30b89f73ea12"/>
            <w:bookmarkEnd w:id="921"/>
            <w:bookmarkStart w:id="922" w:name="9b02eac6ea1e43c6aa5a30b89f73ea12"/>
            <w:bookmarkStart w:id="923" w:name="XBRL_CE_9b02eac6ea1e43c6aa5a30b89f73ea12"/>
            <w:bookmarkEnd w:id="922"/>
            <w:bookmarkEnd w:id="923"/>
          </w:p>
        </w:tc>
        <w:tc>
          <w:tcPr>
            <w:tcW w:w="127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24" w:name="XBRL_CS_9db8aed91ca14a08bf81db6c09eb7a4a"/>
            <w:bookmarkEnd w:id="924"/>
            <w:bookmarkStart w:id="925" w:name="9db8aed91ca14a08bf81db6c09eb7a4a"/>
            <w:r>
              <w:rPr>
                <w:rFonts w:ascii="Arial" w:eastAsia="Arial" w:hAnsi="Arial" w:cs="Arial"/>
                <w:b/>
                <w:i w:val="0"/>
                <w:strike w:val="0"/>
                <w:color w:val="000000"/>
                <w:sz w:val="13"/>
                <w:u w:val="none"/>
                <w:vertAlign w:val="baseline"/>
              </w:rPr>
              <w:t>9</w:t>
            </w:r>
            <w:bookmarkStart w:id="926" w:name="XBRL_CE_9db8aed91ca14a08bf81db6c09eb7a4a"/>
            <w:bookmarkEnd w:id="925"/>
            <w:bookmarkEnd w:id="926"/>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nil"/>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Laajan tuloksen erät</w:t>
            </w:r>
          </w:p>
        </w:tc>
        <w:tc>
          <w:tcPr>
            <w:tcW w:w="1275"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27" w:name="XBRL_CS_6fb375d00bae4c40bdd271b796ac895b"/>
            <w:bookmarkEnd w:id="927"/>
            <w:bookmarkStart w:id="928" w:name="6fb375d00bae4c40bdd271b796ac895b"/>
            <w:bookmarkStart w:id="929" w:name="XBRL_CE_6fb375d00bae4c40bdd271b796ac895b"/>
            <w:bookmarkEnd w:id="928"/>
            <w:bookmarkEnd w:id="929"/>
          </w:p>
        </w:tc>
        <w:tc>
          <w:tcPr>
            <w:tcW w:w="1275"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30" w:name="XBRL_CS_f641d7e394fe4524bb1e93813e80f9ae"/>
            <w:bookmarkEnd w:id="930"/>
            <w:bookmarkStart w:id="931" w:name="f641d7e394fe4524bb1e93813e80f9ae"/>
            <w:bookmarkStart w:id="932" w:name="XBRL_CE_f641d7e394fe4524bb1e93813e80f9ae"/>
            <w:bookmarkEnd w:id="931"/>
            <w:bookmarkEnd w:id="932"/>
          </w:p>
        </w:tc>
        <w:tc>
          <w:tcPr>
            <w:tcW w:w="127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33" w:name="XBRL_CS_410f794413974a42b83465420dd173d7"/>
            <w:bookmarkEnd w:id="933"/>
            <w:bookmarkStart w:id="934" w:name="410f794413974a42b83465420dd173d7"/>
            <w:r>
              <w:rPr>
                <w:rFonts w:ascii="Arial" w:eastAsia="Arial" w:hAnsi="Arial" w:cs="Arial"/>
                <w:b/>
                <w:i w:val="0"/>
                <w:strike w:val="0"/>
                <w:color w:val="000000"/>
                <w:sz w:val="13"/>
                <w:u w:val="none"/>
                <w:vertAlign w:val="baseline"/>
              </w:rPr>
              <w:t>74</w:t>
            </w:r>
            <w:bookmarkStart w:id="935" w:name="XBRL_CE_410f794413974a42b83465420dd173d7"/>
            <w:bookmarkEnd w:id="934"/>
            <w:bookmarkEnd w:id="935"/>
          </w:p>
        </w:tc>
        <w:tc>
          <w:tcPr>
            <w:tcW w:w="127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36" w:name="XBRL_CS_cd6886d8a27741a7a638bf915dfd844c"/>
            <w:bookmarkEnd w:id="936"/>
            <w:bookmarkStart w:id="937" w:name="cd6886d8a27741a7a638bf915dfd844c"/>
            <w:r>
              <w:rPr>
                <w:rFonts w:ascii="Arial" w:eastAsia="Arial" w:hAnsi="Arial" w:cs="Arial"/>
                <w:b/>
                <w:i w:val="0"/>
                <w:strike w:val="0"/>
                <w:color w:val="000000"/>
                <w:sz w:val="13"/>
                <w:u w:val="none"/>
                <w:vertAlign w:val="baseline"/>
              </w:rPr>
              <w:t>-9</w:t>
            </w:r>
            <w:bookmarkStart w:id="938" w:name="XBRL_CE_cd6886d8a27741a7a638bf915dfd844c"/>
            <w:bookmarkEnd w:id="937"/>
            <w:bookmarkEnd w:id="938"/>
          </w:p>
        </w:tc>
        <w:tc>
          <w:tcPr>
            <w:tcW w:w="127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39" w:name="XBRL_CS_e83cd3764b044a9d864e9c27ad8bbc49"/>
            <w:bookmarkEnd w:id="939"/>
            <w:bookmarkStart w:id="940" w:name="e83cd3764b044a9d864e9c27ad8bbc49"/>
            <w:r>
              <w:rPr>
                <w:rFonts w:ascii="Arial" w:eastAsia="Arial" w:hAnsi="Arial" w:cs="Arial"/>
                <w:b/>
                <w:i w:val="0"/>
                <w:strike w:val="0"/>
                <w:color w:val="000000"/>
                <w:sz w:val="13"/>
                <w:u w:val="none"/>
                <w:vertAlign w:val="baseline"/>
              </w:rPr>
              <w:t>9</w:t>
            </w:r>
            <w:bookmarkStart w:id="941" w:name="XBRL_CE_e83cd3764b044a9d864e9c27ad8bbc49"/>
            <w:bookmarkEnd w:id="940"/>
            <w:bookmarkEnd w:id="941"/>
          </w:p>
        </w:tc>
        <w:tc>
          <w:tcPr>
            <w:tcW w:w="1275"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42" w:name="XBRL_CS_0b9ec6e5e9b849448a09ee4b666fc473"/>
            <w:bookmarkEnd w:id="942"/>
            <w:bookmarkStart w:id="943" w:name="0b9ec6e5e9b849448a09ee4b666fc473"/>
            <w:bookmarkStart w:id="944" w:name="XBRL_CE_0b9ec6e5e9b849448a09ee4b666fc473"/>
            <w:bookmarkEnd w:id="943"/>
            <w:bookmarkEnd w:id="944"/>
          </w:p>
        </w:tc>
        <w:tc>
          <w:tcPr>
            <w:tcW w:w="127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45" w:name="XBRL_CS_dea4f7952d2344ae9890792520778ea7"/>
            <w:bookmarkEnd w:id="945"/>
            <w:bookmarkStart w:id="946" w:name="dea4f7952d2344ae9890792520778ea7"/>
            <w:r>
              <w:rPr>
                <w:rFonts w:ascii="Arial" w:eastAsia="Arial" w:hAnsi="Arial" w:cs="Arial"/>
                <w:b/>
                <w:i w:val="0"/>
                <w:strike w:val="0"/>
                <w:color w:val="000000"/>
                <w:sz w:val="13"/>
                <w:u w:val="none"/>
                <w:vertAlign w:val="baseline"/>
              </w:rPr>
              <w:t>74</w:t>
            </w:r>
            <w:bookmarkStart w:id="947" w:name="XBRL_CE_dea4f7952d2344ae9890792520778ea7"/>
            <w:bookmarkEnd w:id="946"/>
            <w:bookmarkEnd w:id="947"/>
          </w:p>
        </w:tc>
        <w:tc>
          <w:tcPr>
            <w:tcW w:w="127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48" w:name="XBRL_CS_61da3b741b1f491e9a20c11e2b984580"/>
            <w:bookmarkEnd w:id="948"/>
            <w:bookmarkStart w:id="949" w:name="61da3b741b1f491e9a20c11e2b984580"/>
            <w:r>
              <w:rPr>
                <w:rFonts w:ascii="Arial" w:eastAsia="Arial" w:hAnsi="Arial" w:cs="Arial"/>
                <w:b/>
                <w:i w:val="0"/>
                <w:strike w:val="0"/>
                <w:color w:val="000000"/>
                <w:sz w:val="13"/>
                <w:u w:val="none"/>
                <w:vertAlign w:val="baseline"/>
              </w:rPr>
              <w:t>-1</w:t>
            </w:r>
            <w:bookmarkStart w:id="950" w:name="XBRL_CE_61da3b741b1f491e9a20c11e2b984580"/>
            <w:bookmarkEnd w:id="949"/>
            <w:bookmarkEnd w:id="950"/>
          </w:p>
        </w:tc>
        <w:tc>
          <w:tcPr>
            <w:tcW w:w="127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51" w:name="XBRL_CS_d70648b85bdd4403909e99f05959997d"/>
            <w:bookmarkEnd w:id="951"/>
            <w:bookmarkStart w:id="952" w:name="d70648b85bdd4403909e99f05959997d"/>
            <w:r>
              <w:rPr>
                <w:rFonts w:ascii="Arial" w:eastAsia="Arial" w:hAnsi="Arial" w:cs="Arial"/>
                <w:b/>
                <w:i w:val="0"/>
                <w:strike w:val="0"/>
                <w:color w:val="000000"/>
                <w:sz w:val="13"/>
                <w:u w:val="none"/>
                <w:vertAlign w:val="baseline"/>
              </w:rPr>
              <w:t>73</w:t>
            </w:r>
            <w:bookmarkStart w:id="953" w:name="XBRL_CE_d70648b85bdd4403909e99f05959997d"/>
            <w:bookmarkEnd w:id="952"/>
            <w:bookmarkEnd w:id="953"/>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4" w:space="0" w:color="004A6B"/>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Tilikauden tulos</w:t>
            </w:r>
          </w:p>
        </w:tc>
        <w:tc>
          <w:tcPr>
            <w:tcW w:w="127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54" w:name="XBRL_CS_ce69f467561d47f6962a0bd70be1d920"/>
            <w:bookmarkEnd w:id="954"/>
            <w:bookmarkStart w:id="955" w:name="ce69f467561d47f6962a0bd70be1d920"/>
            <w:bookmarkStart w:id="956" w:name="XBRL_CE_ce69f467561d47f6962a0bd70be1d920"/>
            <w:bookmarkEnd w:id="955"/>
            <w:bookmarkEnd w:id="956"/>
          </w:p>
        </w:tc>
        <w:tc>
          <w:tcPr>
            <w:tcW w:w="127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57" w:name="XBRL_CS_9cb4b289fa7c488b836e4cca286988ab"/>
            <w:bookmarkEnd w:id="957"/>
            <w:bookmarkStart w:id="958" w:name="9cb4b289fa7c488b836e4cca286988ab"/>
            <w:bookmarkStart w:id="959" w:name="XBRL_CE_9cb4b289fa7c488b836e4cca286988ab"/>
            <w:bookmarkEnd w:id="958"/>
            <w:bookmarkEnd w:id="959"/>
          </w:p>
        </w:tc>
        <w:tc>
          <w:tcPr>
            <w:tcW w:w="127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60" w:name="XBRL_CS_ff376d1b2e304a638c84595411c01dd6"/>
            <w:bookmarkEnd w:id="960"/>
            <w:bookmarkStart w:id="961" w:name="ff376d1b2e304a638c84595411c01dd6"/>
            <w:bookmarkStart w:id="962" w:name="XBRL_CE_ff376d1b2e304a638c84595411c01dd6"/>
            <w:bookmarkEnd w:id="961"/>
            <w:bookmarkEnd w:id="962"/>
          </w:p>
        </w:tc>
        <w:tc>
          <w:tcPr>
            <w:tcW w:w="127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63" w:name="XBRL_CS_d0aed8cc88a543bea9eb758543b382d4"/>
            <w:bookmarkEnd w:id="963"/>
            <w:bookmarkStart w:id="964" w:name="d0aed8cc88a543bea9eb758543b382d4"/>
            <w:bookmarkStart w:id="965" w:name="XBRL_CE_d0aed8cc88a543bea9eb758543b382d4"/>
            <w:bookmarkEnd w:id="964"/>
            <w:bookmarkEnd w:id="965"/>
          </w:p>
        </w:tc>
        <w:tc>
          <w:tcPr>
            <w:tcW w:w="127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66" w:name="XBRL_CS_7ee9e22c72b84033aabd01dc1c3e9c20"/>
            <w:bookmarkEnd w:id="966"/>
            <w:bookmarkStart w:id="967" w:name="7ee9e22c72b84033aabd01dc1c3e9c20"/>
            <w:bookmarkStart w:id="968" w:name="XBRL_CE_7ee9e22c72b84033aabd01dc1c3e9c20"/>
            <w:bookmarkEnd w:id="967"/>
            <w:bookmarkEnd w:id="968"/>
          </w:p>
        </w:tc>
        <w:tc>
          <w:tcPr>
            <w:tcW w:w="127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69" w:name="XBRL_CS_8913877613884ffd916731c7c696cce6"/>
            <w:bookmarkEnd w:id="969"/>
            <w:bookmarkStart w:id="970" w:name="8913877613884ffd916731c7c696cce6"/>
            <w:r>
              <w:rPr>
                <w:rFonts w:ascii="Arial" w:eastAsia="Arial" w:hAnsi="Arial" w:cs="Arial"/>
                <w:b/>
                <w:i w:val="0"/>
                <w:strike w:val="0"/>
                <w:color w:val="000000"/>
                <w:sz w:val="13"/>
                <w:u w:val="none"/>
                <w:vertAlign w:val="baseline"/>
              </w:rPr>
              <w:t>194</w:t>
            </w:r>
            <w:bookmarkStart w:id="971" w:name="XBRL_CE_8913877613884ffd916731c7c696cce6"/>
            <w:bookmarkEnd w:id="970"/>
            <w:bookmarkEnd w:id="971"/>
          </w:p>
        </w:tc>
        <w:tc>
          <w:tcPr>
            <w:tcW w:w="127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72" w:name="XBRL_CS_f8b289b611bb4c07b95b6160e1a01437"/>
            <w:bookmarkEnd w:id="972"/>
            <w:bookmarkStart w:id="973" w:name="f8b289b611bb4c07b95b6160e1a01437"/>
            <w:r>
              <w:rPr>
                <w:rFonts w:ascii="Arial" w:eastAsia="Arial" w:hAnsi="Arial" w:cs="Arial"/>
                <w:b/>
                <w:i w:val="0"/>
                <w:strike w:val="0"/>
                <w:color w:val="000000"/>
                <w:sz w:val="13"/>
                <w:u w:val="none"/>
                <w:vertAlign w:val="baseline"/>
              </w:rPr>
              <w:t>194</w:t>
            </w:r>
            <w:bookmarkStart w:id="974" w:name="XBRL_CE_f8b289b611bb4c07b95b6160e1a01437"/>
            <w:bookmarkEnd w:id="973"/>
            <w:bookmarkEnd w:id="974"/>
          </w:p>
        </w:tc>
        <w:tc>
          <w:tcPr>
            <w:tcW w:w="127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75" w:name="XBRL_CS_2dfffc14b4224d30ac260d74ce26a5e7"/>
            <w:bookmarkEnd w:id="975"/>
            <w:bookmarkStart w:id="976" w:name="2dfffc14b4224d30ac260d74ce26a5e7"/>
            <w:bookmarkStart w:id="977" w:name="XBRL_CE_2dfffc14b4224d30ac260d74ce26a5e7"/>
            <w:bookmarkEnd w:id="976"/>
            <w:bookmarkEnd w:id="977"/>
          </w:p>
        </w:tc>
        <w:tc>
          <w:tcPr>
            <w:tcW w:w="127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78" w:name="XBRL_CS_426dfc5e1ddc48c883f21782ecd4b533"/>
            <w:bookmarkEnd w:id="978"/>
            <w:bookmarkStart w:id="979" w:name="426dfc5e1ddc48c883f21782ecd4b533"/>
            <w:r>
              <w:rPr>
                <w:rFonts w:ascii="Arial" w:eastAsia="Arial" w:hAnsi="Arial" w:cs="Arial"/>
                <w:b/>
                <w:i w:val="0"/>
                <w:strike w:val="0"/>
                <w:color w:val="000000"/>
                <w:sz w:val="13"/>
                <w:u w:val="none"/>
                <w:vertAlign w:val="baseline"/>
              </w:rPr>
              <w:t>193</w:t>
            </w:r>
            <w:bookmarkStart w:id="980" w:name="XBRL_CE_426dfc5e1ddc48c883f21782ecd4b533"/>
            <w:bookmarkEnd w:id="979"/>
            <w:bookmarkEnd w:id="980"/>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Tilikauden laaja tulos yhteensä</w:t>
            </w:r>
          </w:p>
        </w:tc>
        <w:tc>
          <w:tcPr>
            <w:tcW w:w="127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81" w:name="XBRL_CS_944a6dfb52f349ccb617cf8fd84fdb62"/>
            <w:bookmarkEnd w:id="981"/>
            <w:bookmarkStart w:id="982" w:name="944a6dfb52f349ccb617cf8fd84fdb62"/>
            <w:bookmarkStart w:id="983" w:name="XBRL_CE_944a6dfb52f349ccb617cf8fd84fdb62"/>
            <w:bookmarkEnd w:id="982"/>
            <w:bookmarkEnd w:id="983"/>
          </w:p>
        </w:tc>
        <w:tc>
          <w:tcPr>
            <w:tcW w:w="127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84" w:name="XBRL_CS_8e459f6a3169460a8df00848466c451a"/>
            <w:bookmarkEnd w:id="984"/>
            <w:bookmarkStart w:id="985" w:name="8e459f6a3169460a8df00848466c451a"/>
            <w:bookmarkStart w:id="986" w:name="XBRL_CE_8e459f6a3169460a8df00848466c451a"/>
            <w:bookmarkEnd w:id="985"/>
            <w:bookmarkEnd w:id="986"/>
          </w:p>
        </w:tc>
        <w:tc>
          <w:tcPr>
            <w:tcW w:w="127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87" w:name="XBRL_CS_2034f63a6feb4bf6908df1b821c18dbe"/>
            <w:bookmarkEnd w:id="987"/>
            <w:bookmarkStart w:id="988" w:name="2034f63a6feb4bf6908df1b821c18dbe"/>
            <w:r>
              <w:rPr>
                <w:rFonts w:ascii="Arial" w:eastAsia="Arial" w:hAnsi="Arial" w:cs="Arial"/>
                <w:b/>
                <w:i w:val="0"/>
                <w:strike w:val="0"/>
                <w:color w:val="000000"/>
                <w:sz w:val="13"/>
                <w:u w:val="none"/>
                <w:vertAlign w:val="baseline"/>
              </w:rPr>
              <w:t>74</w:t>
            </w:r>
            <w:bookmarkStart w:id="989" w:name="XBRL_CE_2034f63a6feb4bf6908df1b821c18dbe"/>
            <w:bookmarkEnd w:id="988"/>
            <w:bookmarkEnd w:id="989"/>
          </w:p>
        </w:tc>
        <w:tc>
          <w:tcPr>
            <w:tcW w:w="127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90" w:name="XBRL_CS_018eb199e1c54206978042c07cc4696e"/>
            <w:bookmarkEnd w:id="990"/>
            <w:bookmarkStart w:id="991" w:name="018eb199e1c54206978042c07cc4696e"/>
            <w:r>
              <w:rPr>
                <w:rFonts w:ascii="Arial" w:eastAsia="Arial" w:hAnsi="Arial" w:cs="Arial"/>
                <w:b/>
                <w:i w:val="0"/>
                <w:strike w:val="0"/>
                <w:color w:val="000000"/>
                <w:sz w:val="13"/>
                <w:u w:val="none"/>
                <w:vertAlign w:val="baseline"/>
              </w:rPr>
              <w:t>-9</w:t>
            </w:r>
            <w:bookmarkStart w:id="992" w:name="XBRL_CE_018eb199e1c54206978042c07cc4696e"/>
            <w:bookmarkEnd w:id="991"/>
            <w:bookmarkEnd w:id="992"/>
          </w:p>
        </w:tc>
        <w:tc>
          <w:tcPr>
            <w:tcW w:w="127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93" w:name="XBRL_CS_a9d177c4ad7140ceb587461a6ff08470"/>
            <w:bookmarkEnd w:id="993"/>
            <w:bookmarkStart w:id="994" w:name="a9d177c4ad7140ceb587461a6ff08470"/>
            <w:r>
              <w:rPr>
                <w:rFonts w:ascii="Arial" w:eastAsia="Arial" w:hAnsi="Arial" w:cs="Arial"/>
                <w:b/>
                <w:i w:val="0"/>
                <w:strike w:val="0"/>
                <w:color w:val="000000"/>
                <w:sz w:val="13"/>
                <w:u w:val="none"/>
                <w:vertAlign w:val="baseline"/>
              </w:rPr>
              <w:t>9</w:t>
            </w:r>
            <w:bookmarkStart w:id="995" w:name="XBRL_CE_a9d177c4ad7140ceb587461a6ff08470"/>
            <w:bookmarkEnd w:id="994"/>
            <w:bookmarkEnd w:id="995"/>
          </w:p>
        </w:tc>
        <w:tc>
          <w:tcPr>
            <w:tcW w:w="127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96" w:name="XBRL_CS_7e5d88d1897b4ecbbe9adb23c3b0d1af"/>
            <w:bookmarkEnd w:id="996"/>
            <w:bookmarkStart w:id="997" w:name="7e5d88d1897b4ecbbe9adb23c3b0d1af"/>
            <w:r>
              <w:rPr>
                <w:rFonts w:ascii="Arial" w:eastAsia="Arial" w:hAnsi="Arial" w:cs="Arial"/>
                <w:b/>
                <w:i w:val="0"/>
                <w:strike w:val="0"/>
                <w:color w:val="000000"/>
                <w:sz w:val="13"/>
                <w:u w:val="none"/>
                <w:vertAlign w:val="baseline"/>
              </w:rPr>
              <w:t>194</w:t>
            </w:r>
            <w:bookmarkStart w:id="998" w:name="XBRL_CE_7e5d88d1897b4ecbbe9adb23c3b0d1af"/>
            <w:bookmarkEnd w:id="997"/>
            <w:bookmarkEnd w:id="998"/>
          </w:p>
        </w:tc>
        <w:tc>
          <w:tcPr>
            <w:tcW w:w="127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999" w:name="XBRL_CS_95b252bd7bb443a0a6b88f8ae4c4f057"/>
            <w:bookmarkEnd w:id="999"/>
            <w:bookmarkStart w:id="1000" w:name="95b252bd7bb443a0a6b88f8ae4c4f057"/>
            <w:r>
              <w:rPr>
                <w:rFonts w:ascii="Arial" w:eastAsia="Arial" w:hAnsi="Arial" w:cs="Arial"/>
                <w:b/>
                <w:i w:val="0"/>
                <w:strike w:val="0"/>
                <w:color w:val="000000"/>
                <w:sz w:val="13"/>
                <w:u w:val="none"/>
                <w:vertAlign w:val="baseline"/>
              </w:rPr>
              <w:t>268</w:t>
            </w:r>
            <w:bookmarkStart w:id="1001" w:name="XBRL_CE_95b252bd7bb443a0a6b88f8ae4c4f057"/>
            <w:bookmarkEnd w:id="1000"/>
            <w:bookmarkEnd w:id="1001"/>
          </w:p>
        </w:tc>
        <w:tc>
          <w:tcPr>
            <w:tcW w:w="127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02" w:name="XBRL_CS_bdbcf8d5a81d4ecf8f65e5f1570d6259"/>
            <w:bookmarkEnd w:id="1002"/>
            <w:bookmarkStart w:id="1003" w:name="bdbcf8d5a81d4ecf8f65e5f1570d6259"/>
            <w:r>
              <w:rPr>
                <w:rFonts w:ascii="Arial" w:eastAsia="Arial" w:hAnsi="Arial" w:cs="Arial"/>
                <w:b/>
                <w:i w:val="0"/>
                <w:strike w:val="0"/>
                <w:color w:val="000000"/>
                <w:sz w:val="13"/>
                <w:u w:val="none"/>
                <w:vertAlign w:val="baseline"/>
              </w:rPr>
              <w:t>-1</w:t>
            </w:r>
            <w:bookmarkStart w:id="1004" w:name="XBRL_CE_bdbcf8d5a81d4ecf8f65e5f1570d6259"/>
            <w:bookmarkEnd w:id="1003"/>
            <w:bookmarkEnd w:id="1004"/>
          </w:p>
        </w:tc>
        <w:tc>
          <w:tcPr>
            <w:tcW w:w="127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05" w:name="XBRL_CS_150e70fb4b924a3990c39fc6800af3e2"/>
            <w:bookmarkEnd w:id="1005"/>
            <w:bookmarkStart w:id="1006" w:name="150e70fb4b924a3990c39fc6800af3e2"/>
            <w:r>
              <w:rPr>
                <w:rFonts w:ascii="Arial" w:eastAsia="Arial" w:hAnsi="Arial" w:cs="Arial"/>
                <w:b/>
                <w:i w:val="0"/>
                <w:strike w:val="0"/>
                <w:color w:val="000000"/>
                <w:sz w:val="13"/>
                <w:u w:val="none"/>
                <w:vertAlign w:val="baseline"/>
              </w:rPr>
              <w:t>267</w:t>
            </w:r>
            <w:bookmarkStart w:id="1007" w:name="XBRL_CE_150e70fb4b924a3990c39fc6800af3e2"/>
            <w:bookmarkEnd w:id="1006"/>
            <w:bookmarkEnd w:id="1007"/>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Liiketoimet emoyhtiön osakkeenomistajien ja määräysvallattomien omistajien kanssa</w:t>
            </w:r>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4" w:space="0" w:color="004A6B"/>
              <w:left w:val="nil"/>
              <w:bottom w:val="single" w:sz="4" w:space="0" w:color="004A6B"/>
              <w:right w:val="nil"/>
              <w:tl2br w:val="nil"/>
              <w:tr2bl w:val="nil"/>
            </w:tcBorders>
            <w:shd w:val="clear" w:color="FFFFFF" w:fill="FFFFFF"/>
            <w:noWrap w:val="0"/>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Maksetut osingot</w:t>
            </w:r>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08" w:name="XBRL_CS_292294584a604d8791a06f77111a09c9"/>
            <w:bookmarkEnd w:id="1008"/>
            <w:bookmarkStart w:id="1009" w:name="292294584a604d8791a06f77111a09c9"/>
            <w:bookmarkStart w:id="1010" w:name="XBRL_CE_292294584a604d8791a06f77111a09c9"/>
            <w:bookmarkEnd w:id="1009"/>
            <w:bookmarkEnd w:id="1010"/>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11" w:name="XBRL_CS_ed481b566ff4435eb6170c998c8f8a22"/>
            <w:bookmarkEnd w:id="1011"/>
            <w:bookmarkStart w:id="1012" w:name="ed481b566ff4435eb6170c998c8f8a22"/>
            <w:bookmarkStart w:id="1013" w:name="XBRL_CE_ed481b566ff4435eb6170c998c8f8a22"/>
            <w:bookmarkEnd w:id="1012"/>
            <w:bookmarkEnd w:id="1013"/>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14" w:name="XBRL_CS_cbf23bd9643a41e6b3f5591199f6599b"/>
            <w:bookmarkEnd w:id="1014"/>
            <w:bookmarkStart w:id="1015" w:name="cbf23bd9643a41e6b3f5591199f6599b"/>
            <w:bookmarkStart w:id="1016" w:name="XBRL_CE_cbf23bd9643a41e6b3f5591199f6599b"/>
            <w:bookmarkEnd w:id="1015"/>
            <w:bookmarkEnd w:id="1016"/>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17" w:name="XBRL_CS_4388cabeb29943808baec1dda3d5923c"/>
            <w:bookmarkEnd w:id="1017"/>
            <w:bookmarkStart w:id="1018" w:name="4388cabeb29943808baec1dda3d5923c"/>
            <w:bookmarkStart w:id="1019" w:name="XBRL_CE_4388cabeb29943808baec1dda3d5923c"/>
            <w:bookmarkEnd w:id="1018"/>
            <w:bookmarkEnd w:id="1019"/>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20" w:name="XBRL_CS_5f93571e730643aaaf89e8d18dcdc598"/>
            <w:bookmarkEnd w:id="1020"/>
            <w:bookmarkStart w:id="1021" w:name="5f93571e730643aaaf89e8d18dcdc598"/>
            <w:bookmarkStart w:id="1022" w:name="XBRL_CE_5f93571e730643aaaf89e8d18dcdc598"/>
            <w:bookmarkEnd w:id="1021"/>
            <w:bookmarkEnd w:id="1022"/>
          </w:p>
        </w:tc>
        <w:tc>
          <w:tcPr>
            <w:tcW w:w="127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23" w:name="XBRL_CS_5755ed20968e464083ce5e87aa8c254c"/>
            <w:bookmarkEnd w:id="1023"/>
            <w:bookmarkStart w:id="1024" w:name="5755ed20968e464083ce5e87aa8c254c"/>
            <w:r>
              <w:rPr>
                <w:rFonts w:ascii="Arial" w:eastAsia="Arial" w:hAnsi="Arial" w:cs="Arial"/>
                <w:b/>
                <w:i w:val="0"/>
                <w:strike w:val="0"/>
                <w:color w:val="000000"/>
                <w:sz w:val="13"/>
                <w:u w:val="none"/>
                <w:vertAlign w:val="baseline"/>
              </w:rPr>
              <w:t>-118</w:t>
            </w:r>
            <w:bookmarkStart w:id="1025" w:name="XBRL_CE_5755ed20968e464083ce5e87aa8c254c"/>
            <w:bookmarkEnd w:id="1024"/>
            <w:bookmarkEnd w:id="1025"/>
          </w:p>
        </w:tc>
        <w:tc>
          <w:tcPr>
            <w:tcW w:w="127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26" w:name="XBRL_CS_b7df1911caf54d90b7134c3482cae65e"/>
            <w:bookmarkEnd w:id="1026"/>
            <w:bookmarkStart w:id="1027" w:name="b7df1911caf54d90b7134c3482cae65e"/>
            <w:r>
              <w:rPr>
                <w:rFonts w:ascii="Arial" w:eastAsia="Arial" w:hAnsi="Arial" w:cs="Arial"/>
                <w:b/>
                <w:i w:val="0"/>
                <w:strike w:val="0"/>
                <w:color w:val="000000"/>
                <w:sz w:val="13"/>
                <w:u w:val="none"/>
                <w:vertAlign w:val="baseline"/>
              </w:rPr>
              <w:t>-118</w:t>
            </w:r>
            <w:bookmarkStart w:id="1028" w:name="XBRL_CE_b7df1911caf54d90b7134c3482cae65e"/>
            <w:bookmarkEnd w:id="1027"/>
            <w:bookmarkEnd w:id="1028"/>
          </w:p>
        </w:tc>
        <w:tc>
          <w:tcPr>
            <w:tcW w:w="127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29" w:name="XBRL_CS_eb944eb1ac31448ebc326e966a1983ea"/>
            <w:bookmarkEnd w:id="1029"/>
            <w:bookmarkStart w:id="1030" w:name="eb944eb1ac31448ebc326e966a1983ea"/>
            <w:r>
              <w:rPr>
                <w:rFonts w:ascii="Arial" w:eastAsia="Arial" w:hAnsi="Arial" w:cs="Arial"/>
                <w:b/>
                <w:i w:val="0"/>
                <w:strike w:val="0"/>
                <w:color w:val="000000"/>
                <w:sz w:val="13"/>
                <w:u w:val="none"/>
                <w:vertAlign w:val="baseline"/>
              </w:rPr>
              <w:t>-2</w:t>
            </w:r>
            <w:bookmarkStart w:id="1031" w:name="XBRL_CE_eb944eb1ac31448ebc326e966a1983ea"/>
            <w:bookmarkEnd w:id="1030"/>
            <w:bookmarkEnd w:id="1031"/>
          </w:p>
        </w:tc>
        <w:tc>
          <w:tcPr>
            <w:tcW w:w="127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32" w:name="XBRL_CS_31137095af22478cb22ee26190dc4648"/>
            <w:bookmarkEnd w:id="1032"/>
            <w:bookmarkStart w:id="1033" w:name="31137095af22478cb22ee26190dc4648"/>
            <w:r>
              <w:rPr>
                <w:rFonts w:ascii="Arial" w:eastAsia="Arial" w:hAnsi="Arial" w:cs="Arial"/>
                <w:b/>
                <w:i w:val="0"/>
                <w:strike w:val="0"/>
                <w:color w:val="000000"/>
                <w:sz w:val="13"/>
                <w:u w:val="none"/>
                <w:vertAlign w:val="baseline"/>
              </w:rPr>
              <w:t>-120</w:t>
            </w:r>
            <w:bookmarkStart w:id="1034" w:name="XBRL_CE_31137095af22478cb22ee26190dc4648"/>
            <w:bookmarkEnd w:id="1033"/>
            <w:bookmarkEnd w:id="1034"/>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4" w:space="0" w:color="004A6B"/>
              <w:left w:val="nil"/>
              <w:bottom w:val="single" w:sz="4" w:space="0" w:color="004A6B"/>
              <w:right w:val="nil"/>
              <w:tl2br w:val="nil"/>
              <w:tr2bl w:val="nil"/>
            </w:tcBorders>
            <w:shd w:val="clear" w:color="FFFFFF" w:fill="FFFFFF"/>
            <w:noWrap w:val="0"/>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Omien osakkeiden takaisinosto</w:t>
            </w:r>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35" w:name="XBRL_CS_2f4b092818a14d7a8df69895573d10ef"/>
            <w:bookmarkEnd w:id="1035"/>
            <w:bookmarkStart w:id="1036" w:name="2f4b092818a14d7a8df69895573d10ef"/>
            <w:bookmarkStart w:id="1037" w:name="XBRL_CE_2f4b092818a14d7a8df69895573d10ef"/>
            <w:bookmarkEnd w:id="1036"/>
            <w:bookmarkEnd w:id="1037"/>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38" w:name="XBRL_CS_1838046c1e0440f19189ce0cc88f4c75"/>
            <w:bookmarkEnd w:id="1038"/>
            <w:bookmarkStart w:id="1039" w:name="1838046c1e0440f19189ce0cc88f4c75"/>
            <w:bookmarkStart w:id="1040" w:name="XBRL_CE_1838046c1e0440f19189ce0cc88f4c75"/>
            <w:bookmarkEnd w:id="1039"/>
            <w:bookmarkEnd w:id="1040"/>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41" w:name="XBRL_CS_2e8f59b5bfc14e36aeeb87cbb7fd23ec"/>
            <w:bookmarkEnd w:id="1041"/>
            <w:bookmarkStart w:id="1042" w:name="2e8f59b5bfc14e36aeeb87cbb7fd23ec"/>
            <w:bookmarkStart w:id="1043" w:name="XBRL_CE_2e8f59b5bfc14e36aeeb87cbb7fd23ec"/>
            <w:bookmarkEnd w:id="1042"/>
            <w:bookmarkEnd w:id="1043"/>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44" w:name="XBRL_CS_c4ac3a92f13f4012b967a5a9100a0c8b"/>
            <w:bookmarkEnd w:id="1044"/>
            <w:bookmarkStart w:id="1045" w:name="c4ac3a92f13f4012b967a5a9100a0c8b"/>
            <w:bookmarkStart w:id="1046" w:name="XBRL_CE_c4ac3a92f13f4012b967a5a9100a0c8b"/>
            <w:bookmarkEnd w:id="1045"/>
            <w:bookmarkEnd w:id="1046"/>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47" w:name="XBRL_CS_dac5244480594d4db571a944ab97faec"/>
            <w:bookmarkEnd w:id="1047"/>
            <w:bookmarkStart w:id="1048" w:name="dac5244480594d4db571a944ab97faec"/>
            <w:bookmarkStart w:id="1049" w:name="XBRL_CE_dac5244480594d4db571a944ab97faec"/>
            <w:bookmarkEnd w:id="1048"/>
            <w:bookmarkEnd w:id="1049"/>
          </w:p>
        </w:tc>
        <w:tc>
          <w:tcPr>
            <w:tcW w:w="127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50" w:name="XBRL_CS_cc0907e3184a4ce98061f3a1f4985159"/>
            <w:bookmarkEnd w:id="1050"/>
            <w:bookmarkStart w:id="1051" w:name="cc0907e3184a4ce98061f3a1f4985159"/>
            <w:r>
              <w:rPr>
                <w:rFonts w:ascii="Arial" w:eastAsia="Arial" w:hAnsi="Arial" w:cs="Arial"/>
                <w:b/>
                <w:i w:val="0"/>
                <w:strike w:val="0"/>
                <w:color w:val="000000"/>
                <w:sz w:val="13"/>
                <w:u w:val="none"/>
                <w:vertAlign w:val="baseline"/>
              </w:rPr>
              <w:t>-18</w:t>
            </w:r>
            <w:bookmarkStart w:id="1052" w:name="XBRL_CE_cc0907e3184a4ce98061f3a1f4985159"/>
            <w:bookmarkEnd w:id="1051"/>
            <w:bookmarkEnd w:id="1052"/>
          </w:p>
        </w:tc>
        <w:tc>
          <w:tcPr>
            <w:tcW w:w="127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53" w:name="XBRL_CS_b40606784d454d54a48bc8a5ed37340f"/>
            <w:bookmarkEnd w:id="1053"/>
            <w:bookmarkStart w:id="1054" w:name="b40606784d454d54a48bc8a5ed37340f"/>
            <w:r>
              <w:rPr>
                <w:rFonts w:ascii="Arial" w:eastAsia="Arial" w:hAnsi="Arial" w:cs="Arial"/>
                <w:b/>
                <w:i w:val="0"/>
                <w:strike w:val="0"/>
                <w:color w:val="000000"/>
                <w:sz w:val="13"/>
                <w:u w:val="none"/>
                <w:vertAlign w:val="baseline"/>
              </w:rPr>
              <w:t>-18</w:t>
            </w:r>
            <w:bookmarkStart w:id="1055" w:name="XBRL_CE_b40606784d454d54a48bc8a5ed37340f"/>
            <w:bookmarkEnd w:id="1054"/>
            <w:bookmarkEnd w:id="1055"/>
          </w:p>
        </w:tc>
        <w:tc>
          <w:tcPr>
            <w:tcW w:w="127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56" w:name="XBRL_CS_f2c2f9b3bbc1408194ba64b604e31cd2"/>
            <w:bookmarkEnd w:id="1056"/>
            <w:bookmarkStart w:id="1057" w:name="f2c2f9b3bbc1408194ba64b604e31cd2"/>
            <w:bookmarkStart w:id="1058" w:name="XBRL_CE_f2c2f9b3bbc1408194ba64b604e31cd2"/>
            <w:bookmarkEnd w:id="1057"/>
            <w:bookmarkEnd w:id="1058"/>
          </w:p>
        </w:tc>
        <w:tc>
          <w:tcPr>
            <w:tcW w:w="127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59" w:name="XBRL_CS_3508085caf214698b81a9f54541694ea"/>
            <w:bookmarkEnd w:id="1059"/>
            <w:bookmarkStart w:id="1060" w:name="3508085caf214698b81a9f54541694ea"/>
            <w:r>
              <w:rPr>
                <w:rFonts w:ascii="Arial" w:eastAsia="Arial" w:hAnsi="Arial" w:cs="Arial"/>
                <w:b/>
                <w:i w:val="0"/>
                <w:strike w:val="0"/>
                <w:color w:val="000000"/>
                <w:sz w:val="13"/>
                <w:u w:val="none"/>
                <w:vertAlign w:val="baseline"/>
              </w:rPr>
              <w:t>-18</w:t>
            </w:r>
            <w:bookmarkStart w:id="1061" w:name="XBRL_CE_3508085caf214698b81a9f54541694ea"/>
            <w:bookmarkEnd w:id="1060"/>
            <w:bookmarkEnd w:id="1061"/>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4" w:space="0" w:color="004A6B"/>
              <w:left w:val="nil"/>
              <w:bottom w:val="single" w:sz="8" w:space="0" w:color="0F172B"/>
              <w:right w:val="nil"/>
              <w:tl2br w:val="nil"/>
              <w:tr2bl w:val="nil"/>
            </w:tcBorders>
            <w:shd w:val="clear" w:color="FFFFFF" w:fill="FFFFFF"/>
            <w:noWrap w:val="0"/>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Osakeperusteiset maksut</w:t>
            </w:r>
          </w:p>
        </w:tc>
        <w:tc>
          <w:tcPr>
            <w:tcW w:w="127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62" w:name="XBRL_CS_1c3c112a298b4488861014f5dd0d12f2"/>
            <w:bookmarkEnd w:id="1062"/>
            <w:bookmarkStart w:id="1063" w:name="1c3c112a298b4488861014f5dd0d12f2"/>
            <w:bookmarkStart w:id="1064" w:name="XBRL_CE_1c3c112a298b4488861014f5dd0d12f2"/>
            <w:bookmarkEnd w:id="1063"/>
            <w:bookmarkEnd w:id="1064"/>
          </w:p>
        </w:tc>
        <w:tc>
          <w:tcPr>
            <w:tcW w:w="127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65" w:name="XBRL_CS_543d78feef954bfe89c185166fe9790b"/>
            <w:bookmarkEnd w:id="1065"/>
            <w:bookmarkStart w:id="1066" w:name="543d78feef954bfe89c185166fe9790b"/>
            <w:bookmarkStart w:id="1067" w:name="XBRL_CE_543d78feef954bfe89c185166fe9790b"/>
            <w:bookmarkEnd w:id="1066"/>
            <w:bookmarkEnd w:id="1067"/>
          </w:p>
        </w:tc>
        <w:tc>
          <w:tcPr>
            <w:tcW w:w="127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68" w:name="XBRL_CS_c6c4b3592bce44ad93605966b67d8166"/>
            <w:bookmarkEnd w:id="1068"/>
            <w:bookmarkStart w:id="1069" w:name="c6c4b3592bce44ad93605966b67d8166"/>
            <w:bookmarkStart w:id="1070" w:name="XBRL_CE_c6c4b3592bce44ad93605966b67d8166"/>
            <w:bookmarkEnd w:id="1069"/>
            <w:bookmarkEnd w:id="1070"/>
          </w:p>
        </w:tc>
        <w:tc>
          <w:tcPr>
            <w:tcW w:w="127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71" w:name="XBRL_CS_be2adc3b9862484c8ecfe9be964c7c57"/>
            <w:bookmarkEnd w:id="1071"/>
            <w:bookmarkStart w:id="1072" w:name="be2adc3b9862484c8ecfe9be964c7c57"/>
            <w:bookmarkStart w:id="1073" w:name="XBRL_CE_be2adc3b9862484c8ecfe9be964c7c57"/>
            <w:bookmarkEnd w:id="1072"/>
            <w:bookmarkEnd w:id="1073"/>
          </w:p>
        </w:tc>
        <w:tc>
          <w:tcPr>
            <w:tcW w:w="127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74" w:name="XBRL_CS_c52e44517e6349a1a70fffd44c503365"/>
            <w:bookmarkEnd w:id="1074"/>
            <w:bookmarkStart w:id="1075" w:name="c52e44517e6349a1a70fffd44c503365"/>
            <w:bookmarkStart w:id="1076" w:name="XBRL_CE_c52e44517e6349a1a70fffd44c503365"/>
            <w:bookmarkEnd w:id="1075"/>
            <w:bookmarkEnd w:id="1076"/>
          </w:p>
        </w:tc>
        <w:tc>
          <w:tcPr>
            <w:tcW w:w="127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77" w:name="XBRL_CS_0d035ebe4a5f4c2d822630061eff0e63"/>
            <w:bookmarkEnd w:id="1077"/>
            <w:bookmarkStart w:id="1078" w:name="0d035ebe4a5f4c2d822630061eff0e63"/>
            <w:r>
              <w:rPr>
                <w:rFonts w:ascii="Arial" w:eastAsia="Arial" w:hAnsi="Arial" w:cs="Arial"/>
                <w:b/>
                <w:i w:val="0"/>
                <w:strike w:val="0"/>
                <w:color w:val="000000"/>
                <w:sz w:val="13"/>
                <w:u w:val="none"/>
                <w:vertAlign w:val="baseline"/>
              </w:rPr>
              <w:t>7</w:t>
            </w:r>
            <w:bookmarkStart w:id="1079" w:name="XBRL_CE_0d035ebe4a5f4c2d822630061eff0e63"/>
            <w:bookmarkEnd w:id="1078"/>
            <w:bookmarkEnd w:id="1079"/>
          </w:p>
        </w:tc>
        <w:tc>
          <w:tcPr>
            <w:tcW w:w="127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80" w:name="XBRL_CS_360f721c7afa4694a0cdca2e94ff6692"/>
            <w:bookmarkEnd w:id="1080"/>
            <w:bookmarkStart w:id="1081" w:name="360f721c7afa4694a0cdca2e94ff6692"/>
            <w:r>
              <w:rPr>
                <w:rFonts w:ascii="Arial" w:eastAsia="Arial" w:hAnsi="Arial" w:cs="Arial"/>
                <w:b/>
                <w:i w:val="0"/>
                <w:strike w:val="0"/>
                <w:color w:val="000000"/>
                <w:sz w:val="13"/>
                <w:u w:val="none"/>
                <w:vertAlign w:val="baseline"/>
              </w:rPr>
              <w:t>7</w:t>
            </w:r>
            <w:bookmarkStart w:id="1082" w:name="XBRL_CE_360f721c7afa4694a0cdca2e94ff6692"/>
            <w:bookmarkEnd w:id="1081"/>
            <w:bookmarkEnd w:id="1082"/>
          </w:p>
        </w:tc>
        <w:tc>
          <w:tcPr>
            <w:tcW w:w="127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83" w:name="XBRL_CS_cca8321e025b4adc893137965b7a8284"/>
            <w:bookmarkEnd w:id="1083"/>
            <w:bookmarkStart w:id="1084" w:name="cca8321e025b4adc893137965b7a8284"/>
            <w:bookmarkStart w:id="1085" w:name="XBRL_CE_cca8321e025b4adc893137965b7a8284"/>
            <w:bookmarkEnd w:id="1084"/>
            <w:bookmarkEnd w:id="1085"/>
          </w:p>
        </w:tc>
        <w:tc>
          <w:tcPr>
            <w:tcW w:w="127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86" w:name="XBRL_CS_75d8f8ade50541daaa94f8c8b0f5aca5"/>
            <w:bookmarkEnd w:id="1086"/>
            <w:bookmarkStart w:id="1087" w:name="75d8f8ade50541daaa94f8c8b0f5aca5"/>
            <w:r>
              <w:rPr>
                <w:rFonts w:ascii="Arial" w:eastAsia="Arial" w:hAnsi="Arial" w:cs="Arial"/>
                <w:b/>
                <w:i w:val="0"/>
                <w:strike w:val="0"/>
                <w:color w:val="000000"/>
                <w:sz w:val="13"/>
                <w:u w:val="none"/>
                <w:vertAlign w:val="baseline"/>
              </w:rPr>
              <w:t>7</w:t>
            </w:r>
            <w:bookmarkStart w:id="1088" w:name="XBRL_CE_75d8f8ade50541daaa94f8c8b0f5aca5"/>
            <w:bookmarkEnd w:id="1087"/>
            <w:bookmarkEnd w:id="1088"/>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8" w:space="0" w:color="0F172B"/>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Oma pääoma 31.12.2021</w:t>
            </w:r>
          </w:p>
        </w:tc>
        <w:tc>
          <w:tcPr>
            <w:tcW w:w="127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89" w:name="XBRL_CS_e1486d4d3385482ebc2342141435cd82"/>
            <w:bookmarkEnd w:id="1089"/>
            <w:bookmarkStart w:id="1090" w:name="e1486d4d3385482ebc2342141435cd82"/>
            <w:r>
              <w:rPr>
                <w:rFonts w:ascii="Arial" w:eastAsia="Arial" w:hAnsi="Arial" w:cs="Arial"/>
                <w:b/>
                <w:i w:val="0"/>
                <w:strike w:val="0"/>
                <w:color w:val="000000"/>
                <w:sz w:val="13"/>
                <w:u w:val="none"/>
                <w:vertAlign w:val="baseline"/>
              </w:rPr>
              <w:t>336</w:t>
            </w:r>
            <w:bookmarkStart w:id="1091" w:name="XBRL_CE_e1486d4d3385482ebc2342141435cd82"/>
            <w:bookmarkEnd w:id="1090"/>
            <w:bookmarkEnd w:id="1091"/>
          </w:p>
        </w:tc>
        <w:tc>
          <w:tcPr>
            <w:tcW w:w="127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92" w:name="XBRL_CS_bb78f31aba574a37bf1002ed7eacdb66"/>
            <w:bookmarkEnd w:id="1092"/>
            <w:bookmarkStart w:id="1093" w:name="bb78f31aba574a37bf1002ed7eacdb66"/>
            <w:r>
              <w:rPr>
                <w:rFonts w:ascii="Arial" w:eastAsia="Arial" w:hAnsi="Arial" w:cs="Arial"/>
                <w:b/>
                <w:i w:val="0"/>
                <w:strike w:val="0"/>
                <w:color w:val="000000"/>
                <w:sz w:val="13"/>
                <w:u w:val="none"/>
                <w:vertAlign w:val="baseline"/>
              </w:rPr>
              <w:t>61</w:t>
            </w:r>
            <w:bookmarkStart w:id="1094" w:name="XBRL_CE_bb78f31aba574a37bf1002ed7eacdb66"/>
            <w:bookmarkEnd w:id="1093"/>
            <w:bookmarkEnd w:id="1094"/>
          </w:p>
        </w:tc>
        <w:tc>
          <w:tcPr>
            <w:tcW w:w="127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95" w:name="XBRL_CS_7e25830923464fe3a7fd44b05bf3a4d0"/>
            <w:bookmarkEnd w:id="1095"/>
            <w:bookmarkStart w:id="1096" w:name="7e25830923464fe3a7fd44b05bf3a4d0"/>
            <w:r>
              <w:rPr>
                <w:rFonts w:ascii="Arial" w:eastAsia="Arial" w:hAnsi="Arial" w:cs="Arial"/>
                <w:b/>
                <w:i w:val="0"/>
                <w:strike w:val="0"/>
                <w:color w:val="000000"/>
                <w:sz w:val="13"/>
                <w:u w:val="none"/>
                <w:vertAlign w:val="baseline"/>
              </w:rPr>
              <w:t>-122</w:t>
            </w:r>
            <w:bookmarkStart w:id="1097" w:name="XBRL_CE_7e25830923464fe3a7fd44b05bf3a4d0"/>
            <w:bookmarkEnd w:id="1096"/>
            <w:bookmarkEnd w:id="1097"/>
          </w:p>
        </w:tc>
        <w:tc>
          <w:tcPr>
            <w:tcW w:w="127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098" w:name="XBRL_CS_f4d73da5e42d42f88dfb437eb8013b4d"/>
            <w:bookmarkEnd w:id="1098"/>
            <w:bookmarkStart w:id="1099" w:name="f4d73da5e42d42f88dfb437eb8013b4d"/>
            <w:r>
              <w:rPr>
                <w:rFonts w:ascii="Arial" w:eastAsia="Arial" w:hAnsi="Arial" w:cs="Arial"/>
                <w:b/>
                <w:i w:val="0"/>
                <w:strike w:val="0"/>
                <w:color w:val="000000"/>
                <w:sz w:val="13"/>
                <w:u w:val="none"/>
                <w:vertAlign w:val="baseline"/>
              </w:rPr>
              <w:t>-18</w:t>
            </w:r>
            <w:bookmarkStart w:id="1100" w:name="XBRL_CE_f4d73da5e42d42f88dfb437eb8013b4d"/>
            <w:bookmarkEnd w:id="1099"/>
            <w:bookmarkEnd w:id="1100"/>
          </w:p>
        </w:tc>
        <w:tc>
          <w:tcPr>
            <w:tcW w:w="127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101" w:name="XBRL_CS_2f83a26830f14069b81d6e309caf2fcd"/>
            <w:bookmarkEnd w:id="1101"/>
            <w:bookmarkStart w:id="1102" w:name="2f83a26830f14069b81d6e309caf2fcd"/>
            <w:r>
              <w:rPr>
                <w:rFonts w:ascii="Arial" w:eastAsia="Arial" w:hAnsi="Arial" w:cs="Arial"/>
                <w:b/>
                <w:i w:val="0"/>
                <w:strike w:val="0"/>
                <w:color w:val="000000"/>
                <w:sz w:val="13"/>
                <w:u w:val="none"/>
                <w:vertAlign w:val="baseline"/>
              </w:rPr>
              <w:t>-36</w:t>
            </w:r>
            <w:bookmarkStart w:id="1103" w:name="XBRL_CE_2f83a26830f14069b81d6e309caf2fcd"/>
            <w:bookmarkEnd w:id="1102"/>
            <w:bookmarkEnd w:id="1103"/>
          </w:p>
        </w:tc>
        <w:tc>
          <w:tcPr>
            <w:tcW w:w="127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104" w:name="XBRL_CS_736ba2b643f545939ffc028a436e5603"/>
            <w:bookmarkEnd w:id="1104"/>
            <w:bookmarkStart w:id="1105" w:name="736ba2b643f545939ffc028a436e5603"/>
            <w:r>
              <w:rPr>
                <w:rFonts w:ascii="Arial" w:eastAsia="Arial" w:hAnsi="Arial" w:cs="Arial"/>
                <w:b/>
                <w:i w:val="0"/>
                <w:strike w:val="0"/>
                <w:color w:val="000000"/>
                <w:sz w:val="13"/>
                <w:u w:val="none"/>
                <w:vertAlign w:val="baseline"/>
              </w:rPr>
              <w:t>2 094</w:t>
            </w:r>
            <w:bookmarkStart w:id="1106" w:name="XBRL_CE_736ba2b643f545939ffc028a436e5603"/>
            <w:bookmarkEnd w:id="1105"/>
            <w:bookmarkEnd w:id="1106"/>
          </w:p>
        </w:tc>
        <w:tc>
          <w:tcPr>
            <w:tcW w:w="127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107" w:name="XBRL_CS_1401346b9c0844b1b627b2544ee25a46"/>
            <w:bookmarkEnd w:id="1107"/>
            <w:bookmarkStart w:id="1108" w:name="1401346b9c0844b1b627b2544ee25a46"/>
            <w:r>
              <w:rPr>
                <w:rFonts w:ascii="Arial" w:eastAsia="Arial" w:hAnsi="Arial" w:cs="Arial"/>
                <w:b/>
                <w:i w:val="0"/>
                <w:strike w:val="0"/>
                <w:color w:val="000000"/>
                <w:sz w:val="13"/>
                <w:u w:val="none"/>
                <w:vertAlign w:val="baseline"/>
              </w:rPr>
              <w:t>2 315</w:t>
            </w:r>
            <w:bookmarkStart w:id="1109" w:name="XBRL_CE_1401346b9c0844b1b627b2544ee25a46"/>
            <w:bookmarkEnd w:id="1108"/>
            <w:bookmarkEnd w:id="1109"/>
          </w:p>
        </w:tc>
        <w:tc>
          <w:tcPr>
            <w:tcW w:w="127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110" w:name="XBRL_CS_c7ea4e141bff4e22baa5cfc42dcb96e2"/>
            <w:bookmarkEnd w:id="1110"/>
            <w:bookmarkStart w:id="1111" w:name="c7ea4e141bff4e22baa5cfc42dcb96e2"/>
            <w:r>
              <w:rPr>
                <w:rFonts w:ascii="Arial" w:eastAsia="Arial" w:hAnsi="Arial" w:cs="Arial"/>
                <w:b/>
                <w:i w:val="0"/>
                <w:strike w:val="0"/>
                <w:color w:val="000000"/>
                <w:sz w:val="13"/>
                <w:u w:val="none"/>
                <w:vertAlign w:val="baseline"/>
              </w:rPr>
              <w:t>8</w:t>
            </w:r>
            <w:bookmarkStart w:id="1112" w:name="XBRL_CE_c7ea4e141bff4e22baa5cfc42dcb96e2"/>
            <w:bookmarkEnd w:id="1111"/>
            <w:bookmarkEnd w:id="1112"/>
          </w:p>
        </w:tc>
        <w:tc>
          <w:tcPr>
            <w:tcW w:w="127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bookmarkStart w:id="1113" w:name="XBRL_CS_7dd013d571944a04a5add8e701a88985"/>
            <w:bookmarkEnd w:id="1113"/>
            <w:bookmarkStart w:id="1114" w:name="7dd013d571944a04a5add8e701a88985"/>
            <w:r>
              <w:rPr>
                <w:rFonts w:ascii="Arial" w:eastAsia="Arial" w:hAnsi="Arial" w:cs="Arial"/>
                <w:b/>
                <w:i w:val="0"/>
                <w:strike w:val="0"/>
                <w:color w:val="000000"/>
                <w:sz w:val="13"/>
                <w:u w:val="none"/>
                <w:vertAlign w:val="baseline"/>
              </w:rPr>
              <w:t>2 323</w:t>
            </w:r>
            <w:bookmarkStart w:id="1115" w:name="XBRL_CE_7dd013d571944a04a5add8e701a88985"/>
            <w:bookmarkEnd w:id="1114"/>
            <w:bookmarkEnd w:id="1115"/>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25" w:type="dxa"/>
            <w:tcBorders>
              <w:top w:val="single" w:sz="8" w:space="0" w:color="0F172B"/>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single" w:sz="8" w:space="0" w:color="0F172B"/>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single" w:sz="8" w:space="0" w:color="0F172B"/>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single" w:sz="8" w:space="0" w:color="0F172B"/>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single" w:sz="8" w:space="0" w:color="0F172B"/>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single" w:sz="8" w:space="0" w:color="0F172B"/>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single" w:sz="8" w:space="0" w:color="0F172B"/>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single" w:sz="8" w:space="0" w:color="0F172B"/>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single" w:sz="8" w:space="0" w:color="0F172B"/>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single" w:sz="8" w:space="0" w:color="0F172B"/>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2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2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2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2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2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2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2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2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2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2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2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2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82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c>
          <w:tcPr>
            <w:tcW w:w="127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Frutiger 45 Light" w:eastAsia="Frutiger 45 Light" w:hAnsi="Frutiger 45 Light" w:cs="Frutiger 45 Light"/>
                <w:b w:val="0"/>
                <w:i w:val="0"/>
                <w:strike w:val="0"/>
                <w:color w:val="000000"/>
                <w:sz w:val="13"/>
                <w:u w:val="none"/>
                <w:vertAlign w:val="baseline"/>
              </w:rPr>
            </w:pPr>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925" w:type="dxa"/>
            <w:gridSpan w:val="7"/>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Emoyhtiön omistajille kuuluva oma pääoma</w:t>
            </w:r>
          </w:p>
        </w:tc>
        <w:tc>
          <w:tcPr>
            <w:tcW w:w="127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Määräysval-</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lattomien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omistajien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osuus</w:t>
            </w:r>
          </w:p>
        </w:tc>
        <w:tc>
          <w:tcPr>
            <w:tcW w:w="127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Oma pääoma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8" w:space="0" w:color="0F172B"/>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75" w:type="dxa"/>
            <w:tcBorders>
              <w:top w:val="single" w:sz="8" w:space="0" w:color="0F172B"/>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Osake-</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pääoma</w:t>
            </w:r>
          </w:p>
        </w:tc>
        <w:tc>
          <w:tcPr>
            <w:tcW w:w="1275" w:type="dxa"/>
            <w:tcBorders>
              <w:top w:val="single" w:sz="8" w:space="0" w:color="0F172B"/>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Ylikurssi-</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rahasto</w:t>
            </w:r>
          </w:p>
        </w:tc>
        <w:tc>
          <w:tcPr>
            <w:tcW w:w="1275" w:type="dxa"/>
            <w:tcBorders>
              <w:top w:val="single" w:sz="8" w:space="0" w:color="0F172B"/>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Muunto-</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erot</w:t>
            </w:r>
          </w:p>
        </w:tc>
        <w:tc>
          <w:tcPr>
            <w:tcW w:w="1275" w:type="dxa"/>
            <w:tcBorders>
              <w:top w:val="single" w:sz="8" w:space="0" w:color="0F172B"/>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Arvonmuu-</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tosrahasto</w:t>
            </w:r>
          </w:p>
        </w:tc>
        <w:tc>
          <w:tcPr>
            <w:tcW w:w="1275" w:type="dxa"/>
            <w:tcBorders>
              <w:top w:val="single" w:sz="8" w:space="0" w:color="0F172B"/>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Etuuspohaisen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nettovelan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uudelleenmää-</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rittämisestä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johtuvat erät</w:t>
            </w:r>
          </w:p>
        </w:tc>
        <w:tc>
          <w:tcPr>
            <w:tcW w:w="1275" w:type="dxa"/>
            <w:tcBorders>
              <w:top w:val="single" w:sz="8" w:space="0" w:color="0F172B"/>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Kertyneet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voittovarat</w:t>
            </w:r>
          </w:p>
        </w:tc>
        <w:tc>
          <w:tcPr>
            <w:tcW w:w="1275" w:type="dxa"/>
            <w:tcBorders>
              <w:top w:val="single" w:sz="8" w:space="0" w:color="0F172B"/>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275" w:type="dxa"/>
            <w:tcBorders>
              <w:top w:val="single" w:sz="8" w:space="0" w:color="0F172B"/>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75" w:type="dxa"/>
            <w:tcBorders>
              <w:top w:val="single" w:sz="8" w:space="0" w:color="0F172B"/>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Oma pääoma 1.1.2020</w:t>
            </w:r>
          </w:p>
        </w:tc>
        <w:tc>
          <w:tcPr>
            <w:tcW w:w="127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16" w:name="XBRL_CS_39c5a0d768b0438ebf2154a21513a6c4"/>
            <w:bookmarkEnd w:id="1116"/>
            <w:bookmarkStart w:id="1117" w:name="39c5a0d768b0438ebf2154a21513a6c4"/>
            <w:r>
              <w:rPr>
                <w:rFonts w:ascii="Arial" w:eastAsia="Arial" w:hAnsi="Arial" w:cs="Arial"/>
                <w:b w:val="0"/>
                <w:i w:val="0"/>
                <w:strike w:val="0"/>
                <w:color w:val="000000"/>
                <w:sz w:val="13"/>
                <w:u w:val="none"/>
                <w:vertAlign w:val="baseline"/>
              </w:rPr>
              <w:t>336</w:t>
            </w:r>
            <w:bookmarkStart w:id="1118" w:name="XBRL_CE_39c5a0d768b0438ebf2154a21513a6c4"/>
            <w:bookmarkEnd w:id="1117"/>
            <w:bookmarkEnd w:id="1118"/>
          </w:p>
        </w:tc>
        <w:tc>
          <w:tcPr>
            <w:tcW w:w="127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19" w:name="XBRL_CS_3163509fa42b474985c5ac65da5f03de"/>
            <w:bookmarkEnd w:id="1119"/>
            <w:bookmarkStart w:id="1120" w:name="3163509fa42b474985c5ac65da5f03de"/>
            <w:r>
              <w:rPr>
                <w:rFonts w:ascii="Arial" w:eastAsia="Arial" w:hAnsi="Arial" w:cs="Arial"/>
                <w:b w:val="0"/>
                <w:i w:val="0"/>
                <w:strike w:val="0"/>
                <w:color w:val="000000"/>
                <w:sz w:val="13"/>
                <w:u w:val="none"/>
                <w:vertAlign w:val="baseline"/>
              </w:rPr>
              <w:t>61</w:t>
            </w:r>
            <w:bookmarkStart w:id="1121" w:name="XBRL_CE_3163509fa42b474985c5ac65da5f03de"/>
            <w:bookmarkEnd w:id="1120"/>
            <w:bookmarkEnd w:id="1121"/>
          </w:p>
        </w:tc>
        <w:tc>
          <w:tcPr>
            <w:tcW w:w="127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22" w:name="XBRL_CS_9dfaac877e824f1ea7f8f5987a1a2cb4"/>
            <w:bookmarkEnd w:id="1122"/>
            <w:bookmarkStart w:id="1123" w:name="9dfaac877e824f1ea7f8f5987a1a2cb4"/>
            <w:r>
              <w:rPr>
                <w:rFonts w:ascii="Arial" w:eastAsia="Arial" w:hAnsi="Arial" w:cs="Arial"/>
                <w:b w:val="0"/>
                <w:i w:val="0"/>
                <w:strike w:val="0"/>
                <w:color w:val="000000"/>
                <w:sz w:val="13"/>
                <w:u w:val="none"/>
                <w:vertAlign w:val="baseline"/>
              </w:rPr>
              <w:t>-114</w:t>
            </w:r>
            <w:bookmarkStart w:id="1124" w:name="XBRL_CE_9dfaac877e824f1ea7f8f5987a1a2cb4"/>
            <w:bookmarkEnd w:id="1123"/>
            <w:bookmarkEnd w:id="1124"/>
          </w:p>
        </w:tc>
        <w:tc>
          <w:tcPr>
            <w:tcW w:w="127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25" w:name="XBRL_CS_12afa3d59aeb4937bd57ad9cc3da80c3"/>
            <w:bookmarkEnd w:id="1125"/>
            <w:bookmarkStart w:id="1126" w:name="12afa3d59aeb4937bd57ad9cc3da80c3"/>
            <w:r>
              <w:rPr>
                <w:rFonts w:ascii="Arial" w:eastAsia="Arial" w:hAnsi="Arial" w:cs="Arial"/>
                <w:b w:val="0"/>
                <w:i w:val="0"/>
                <w:strike w:val="0"/>
                <w:color w:val="000000"/>
                <w:sz w:val="13"/>
                <w:u w:val="none"/>
                <w:vertAlign w:val="baseline"/>
              </w:rPr>
              <w:t>-11</w:t>
            </w:r>
            <w:bookmarkStart w:id="1127" w:name="XBRL_CE_12afa3d59aeb4937bd57ad9cc3da80c3"/>
            <w:bookmarkEnd w:id="1126"/>
            <w:bookmarkEnd w:id="1127"/>
          </w:p>
        </w:tc>
        <w:tc>
          <w:tcPr>
            <w:tcW w:w="127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28" w:name="XBRL_CS_da89ddc0db414392831a76e1ccc88ef5"/>
            <w:bookmarkEnd w:id="1128"/>
            <w:bookmarkStart w:id="1129" w:name="da89ddc0db414392831a76e1ccc88ef5"/>
            <w:r>
              <w:rPr>
                <w:rFonts w:ascii="Arial" w:eastAsia="Arial" w:hAnsi="Arial" w:cs="Arial"/>
                <w:b w:val="0"/>
                <w:i w:val="0"/>
                <w:strike w:val="0"/>
                <w:color w:val="000000"/>
                <w:sz w:val="13"/>
                <w:u w:val="none"/>
                <w:vertAlign w:val="baseline"/>
              </w:rPr>
              <w:t>-55</w:t>
            </w:r>
            <w:bookmarkStart w:id="1130" w:name="XBRL_CE_da89ddc0db414392831a76e1ccc88ef5"/>
            <w:bookmarkEnd w:id="1129"/>
            <w:bookmarkEnd w:id="1130"/>
          </w:p>
        </w:tc>
        <w:tc>
          <w:tcPr>
            <w:tcW w:w="127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31" w:name="XBRL_CS_472613143f9b4b4ca4425f4608d78a65"/>
            <w:bookmarkEnd w:id="1131"/>
            <w:bookmarkStart w:id="1132" w:name="472613143f9b4b4ca4425f4608d78a65"/>
            <w:r>
              <w:rPr>
                <w:rFonts w:ascii="Arial" w:eastAsia="Arial" w:hAnsi="Arial" w:cs="Arial"/>
                <w:b w:val="0"/>
                <w:i w:val="0"/>
                <w:strike w:val="0"/>
                <w:color w:val="000000"/>
                <w:sz w:val="13"/>
                <w:u w:val="none"/>
                <w:vertAlign w:val="baseline"/>
              </w:rPr>
              <w:t>2 178</w:t>
            </w:r>
            <w:bookmarkStart w:id="1133" w:name="XBRL_CE_472613143f9b4b4ca4425f4608d78a65"/>
            <w:bookmarkEnd w:id="1132"/>
            <w:bookmarkEnd w:id="1133"/>
          </w:p>
        </w:tc>
        <w:tc>
          <w:tcPr>
            <w:tcW w:w="127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34" w:name="XBRL_CS_3189ccd924604ed7aae0b4cc3cc35ab5"/>
            <w:bookmarkEnd w:id="1134"/>
            <w:bookmarkStart w:id="1135" w:name="3189ccd924604ed7aae0b4cc3cc35ab5"/>
            <w:r>
              <w:rPr>
                <w:rFonts w:ascii="Arial" w:eastAsia="Arial" w:hAnsi="Arial" w:cs="Arial"/>
                <w:b w:val="0"/>
                <w:i w:val="0"/>
                <w:strike w:val="0"/>
                <w:color w:val="000000"/>
                <w:sz w:val="13"/>
                <w:u w:val="none"/>
                <w:vertAlign w:val="baseline"/>
              </w:rPr>
              <w:t>2 396</w:t>
            </w:r>
            <w:bookmarkStart w:id="1136" w:name="XBRL_CE_3189ccd924604ed7aae0b4cc3cc35ab5"/>
            <w:bookmarkEnd w:id="1135"/>
            <w:bookmarkEnd w:id="1136"/>
          </w:p>
        </w:tc>
        <w:tc>
          <w:tcPr>
            <w:tcW w:w="127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37" w:name="XBRL_CS_39acc24981eb4a14abafa5c37ee72150"/>
            <w:bookmarkEnd w:id="1137"/>
            <w:bookmarkStart w:id="1138" w:name="39acc24981eb4a14abafa5c37ee72150"/>
            <w:r>
              <w:rPr>
                <w:rFonts w:ascii="Arial" w:eastAsia="Arial" w:hAnsi="Arial" w:cs="Arial"/>
                <w:b w:val="0"/>
                <w:i w:val="0"/>
                <w:strike w:val="0"/>
                <w:color w:val="000000"/>
                <w:sz w:val="13"/>
                <w:u w:val="none"/>
                <w:vertAlign w:val="baseline"/>
              </w:rPr>
              <w:t>14</w:t>
            </w:r>
            <w:bookmarkStart w:id="1139" w:name="XBRL_CE_39acc24981eb4a14abafa5c37ee72150"/>
            <w:bookmarkEnd w:id="1138"/>
            <w:bookmarkEnd w:id="1139"/>
          </w:p>
        </w:tc>
        <w:tc>
          <w:tcPr>
            <w:tcW w:w="127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40" w:name="XBRL_CS_332ca2cfcff04d44987dad4175d5370a"/>
            <w:bookmarkEnd w:id="1140"/>
            <w:bookmarkStart w:id="1141" w:name="332ca2cfcff04d44987dad4175d5370a"/>
            <w:r>
              <w:rPr>
                <w:rFonts w:ascii="Arial" w:eastAsia="Arial" w:hAnsi="Arial" w:cs="Arial"/>
                <w:b w:val="0"/>
                <w:i w:val="0"/>
                <w:strike w:val="0"/>
                <w:color w:val="000000"/>
                <w:sz w:val="13"/>
                <w:u w:val="none"/>
                <w:vertAlign w:val="baseline"/>
              </w:rPr>
              <w:t>2 410</w:t>
            </w:r>
            <w:bookmarkStart w:id="1142" w:name="XBRL_CE_332ca2cfcff04d44987dad4175d5370a"/>
            <w:bookmarkEnd w:id="1141"/>
            <w:bookmarkEnd w:id="1142"/>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Muuntoerot</w:t>
            </w:r>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43" w:name="XBRL_CS_1835320e16ca4bdfbbe245f5e09bfa92"/>
            <w:bookmarkEnd w:id="1143"/>
            <w:bookmarkStart w:id="1144" w:name="1835320e16ca4bdfbbe245f5e09bfa92"/>
            <w:bookmarkStart w:id="1145" w:name="XBRL_CE_1835320e16ca4bdfbbe245f5e09bfa92"/>
            <w:bookmarkEnd w:id="1144"/>
            <w:bookmarkEnd w:id="1145"/>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46" w:name="XBRL_CS_19e27d3bf1364e818868aaf8e013ba1e"/>
            <w:bookmarkEnd w:id="1146"/>
            <w:bookmarkStart w:id="1147" w:name="19e27d3bf1364e818868aaf8e013ba1e"/>
            <w:bookmarkStart w:id="1148" w:name="XBRL_CE_19e27d3bf1364e818868aaf8e013ba1e"/>
            <w:bookmarkEnd w:id="1147"/>
            <w:bookmarkEnd w:id="1148"/>
          </w:p>
        </w:tc>
        <w:tc>
          <w:tcPr>
            <w:tcW w:w="127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49" w:name="XBRL_CS_0d9182fe6a0f4524bc644fb6c1678b23"/>
            <w:bookmarkEnd w:id="1149"/>
            <w:bookmarkStart w:id="1150" w:name="0d9182fe6a0f4524bc644fb6c1678b23"/>
            <w:r>
              <w:rPr>
                <w:rFonts w:ascii="Arial" w:eastAsia="Arial" w:hAnsi="Arial" w:cs="Arial"/>
                <w:b w:val="0"/>
                <w:i w:val="0"/>
                <w:strike w:val="0"/>
                <w:color w:val="000000"/>
                <w:sz w:val="13"/>
                <w:u w:val="none"/>
                <w:vertAlign w:val="baseline"/>
              </w:rPr>
              <w:t>-76</w:t>
            </w:r>
            <w:bookmarkStart w:id="1151" w:name="XBRL_CE_0d9182fe6a0f4524bc644fb6c1678b23"/>
            <w:bookmarkEnd w:id="1150"/>
            <w:bookmarkEnd w:id="1151"/>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52" w:name="XBRL_CS_53af891406ae46ffac0559f4f5ab531c"/>
            <w:bookmarkEnd w:id="1152"/>
            <w:bookmarkStart w:id="1153" w:name="53af891406ae46ffac0559f4f5ab531c"/>
            <w:bookmarkStart w:id="1154" w:name="XBRL_CE_53af891406ae46ffac0559f4f5ab531c"/>
            <w:bookmarkEnd w:id="1153"/>
            <w:bookmarkEnd w:id="1154"/>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55" w:name="XBRL_CS_1f46236fa22840f48be0017ff7a08636"/>
            <w:bookmarkEnd w:id="1155"/>
            <w:bookmarkStart w:id="1156" w:name="1f46236fa22840f48be0017ff7a08636"/>
            <w:bookmarkStart w:id="1157" w:name="XBRL_CE_1f46236fa22840f48be0017ff7a08636"/>
            <w:bookmarkEnd w:id="1156"/>
            <w:bookmarkEnd w:id="1157"/>
          </w:p>
        </w:tc>
        <w:tc>
          <w:tcPr>
            <w:tcW w:w="127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58" w:name="XBRL_CS_0a3c66ed9ce14009b9c04c5225262790"/>
            <w:bookmarkEnd w:id="1158"/>
            <w:bookmarkStart w:id="1159" w:name="0a3c66ed9ce14009b9c04c5225262790"/>
            <w:r>
              <w:rPr>
                <w:rFonts w:ascii="Arial" w:eastAsia="Arial" w:hAnsi="Arial" w:cs="Arial"/>
                <w:b w:val="0"/>
                <w:i w:val="0"/>
                <w:strike w:val="0"/>
                <w:color w:val="000000"/>
                <w:sz w:val="13"/>
                <w:u w:val="none"/>
                <w:vertAlign w:val="baseline"/>
              </w:rPr>
              <w:t>-76</w:t>
            </w:r>
            <w:bookmarkStart w:id="1160" w:name="XBRL_CE_0a3c66ed9ce14009b9c04c5225262790"/>
            <w:bookmarkEnd w:id="1159"/>
            <w:bookmarkEnd w:id="1160"/>
          </w:p>
        </w:tc>
        <w:tc>
          <w:tcPr>
            <w:tcW w:w="127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61" w:name="XBRL_CS_7a1094b8be0c4ee0a5c617d36ff3dc31"/>
            <w:bookmarkEnd w:id="1161"/>
            <w:bookmarkStart w:id="1162" w:name="7a1094b8be0c4ee0a5c617d36ff3dc31"/>
            <w:r>
              <w:rPr>
                <w:rFonts w:ascii="Arial" w:eastAsia="Arial" w:hAnsi="Arial" w:cs="Arial"/>
                <w:b w:val="0"/>
                <w:i w:val="0"/>
                <w:strike w:val="0"/>
                <w:color w:val="000000"/>
                <w:sz w:val="13"/>
                <w:u w:val="none"/>
                <w:vertAlign w:val="baseline"/>
              </w:rPr>
              <w:t>-1</w:t>
            </w:r>
            <w:bookmarkStart w:id="1163" w:name="XBRL_CE_7a1094b8be0c4ee0a5c617d36ff3dc31"/>
            <w:bookmarkEnd w:id="1162"/>
            <w:bookmarkEnd w:id="1163"/>
          </w:p>
        </w:tc>
        <w:tc>
          <w:tcPr>
            <w:tcW w:w="127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64" w:name="XBRL_CS_d6c06b1e80884248b35b13b2c68644da"/>
            <w:bookmarkEnd w:id="1164"/>
            <w:bookmarkStart w:id="1165" w:name="d6c06b1e80884248b35b13b2c68644da"/>
            <w:r>
              <w:rPr>
                <w:rFonts w:ascii="Arial" w:eastAsia="Arial" w:hAnsi="Arial" w:cs="Arial"/>
                <w:b w:val="0"/>
                <w:i w:val="0"/>
                <w:strike w:val="0"/>
                <w:color w:val="000000"/>
                <w:sz w:val="13"/>
                <w:u w:val="none"/>
                <w:vertAlign w:val="baseline"/>
              </w:rPr>
              <w:t>-77</w:t>
            </w:r>
            <w:bookmarkStart w:id="1166" w:name="XBRL_CE_d6c06b1e80884248b35b13b2c68644da"/>
            <w:bookmarkEnd w:id="1165"/>
            <w:bookmarkEnd w:id="1166"/>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Muuntoerot, siirretty tulolaskelmaan</w:t>
            </w:r>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67" w:name="XBRL_CS_3781d7df6ec841f6baca2232b6f4fd46"/>
            <w:bookmarkEnd w:id="1167"/>
            <w:bookmarkStart w:id="1168" w:name="3781d7df6ec841f6baca2232b6f4fd46"/>
            <w:bookmarkStart w:id="1169" w:name="XBRL_CE_3781d7df6ec841f6baca2232b6f4fd46"/>
            <w:bookmarkEnd w:id="1168"/>
            <w:bookmarkEnd w:id="1169"/>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70" w:name="XBRL_CS_783563ed9e4c44e1b2608b064661f7ea"/>
            <w:bookmarkEnd w:id="1170"/>
            <w:bookmarkStart w:id="1171" w:name="783563ed9e4c44e1b2608b064661f7ea"/>
            <w:bookmarkStart w:id="1172" w:name="XBRL_CE_783563ed9e4c44e1b2608b064661f7ea"/>
            <w:bookmarkEnd w:id="1171"/>
            <w:bookmarkEnd w:id="1172"/>
          </w:p>
        </w:tc>
        <w:tc>
          <w:tcPr>
            <w:tcW w:w="127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73" w:name="XBRL_CS_96783c96e2a04ccdb167ff1aa6c16eba"/>
            <w:bookmarkEnd w:id="1173"/>
            <w:bookmarkStart w:id="1174" w:name="96783c96e2a04ccdb167ff1aa6c16eba"/>
            <w:r>
              <w:rPr>
                <w:rFonts w:ascii="Arial" w:eastAsia="Arial" w:hAnsi="Arial" w:cs="Arial"/>
                <w:b w:val="0"/>
                <w:i w:val="0"/>
                <w:strike w:val="0"/>
                <w:color w:val="000000"/>
                <w:sz w:val="13"/>
                <w:u w:val="none"/>
                <w:vertAlign w:val="baseline"/>
              </w:rPr>
              <w:t>-6</w:t>
            </w:r>
            <w:bookmarkStart w:id="1175" w:name="XBRL_CE_96783c96e2a04ccdb167ff1aa6c16eba"/>
            <w:bookmarkEnd w:id="1174"/>
            <w:bookmarkEnd w:id="1175"/>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76" w:name="XBRL_CS_446d75e3b1f8425b9f55d9b75e53ed9c"/>
            <w:bookmarkEnd w:id="1176"/>
            <w:bookmarkStart w:id="1177" w:name="446d75e3b1f8425b9f55d9b75e53ed9c"/>
            <w:bookmarkStart w:id="1178" w:name="XBRL_CE_446d75e3b1f8425b9f55d9b75e53ed9c"/>
            <w:bookmarkEnd w:id="1177"/>
            <w:bookmarkEnd w:id="1178"/>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79" w:name="XBRL_CS_a030b2d9ce604746ba0d0e8e13e5a51a"/>
            <w:bookmarkEnd w:id="1179"/>
            <w:bookmarkStart w:id="1180" w:name="a030b2d9ce604746ba0d0e8e13e5a51a"/>
            <w:bookmarkStart w:id="1181" w:name="XBRL_CE_a030b2d9ce604746ba0d0e8e13e5a51a"/>
            <w:bookmarkEnd w:id="1180"/>
            <w:bookmarkEnd w:id="1181"/>
          </w:p>
        </w:tc>
        <w:tc>
          <w:tcPr>
            <w:tcW w:w="127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82" w:name="XBRL_CS_ce19f0321a6b460d894ef297a64b2b54"/>
            <w:bookmarkEnd w:id="1182"/>
            <w:bookmarkStart w:id="1183" w:name="ce19f0321a6b460d894ef297a64b2b54"/>
            <w:r>
              <w:rPr>
                <w:rFonts w:ascii="Arial" w:eastAsia="Arial" w:hAnsi="Arial" w:cs="Arial"/>
                <w:b w:val="0"/>
                <w:i w:val="0"/>
                <w:strike w:val="0"/>
                <w:color w:val="000000"/>
                <w:sz w:val="13"/>
                <w:u w:val="none"/>
                <w:vertAlign w:val="baseline"/>
              </w:rPr>
              <w:t>-6</w:t>
            </w:r>
            <w:bookmarkStart w:id="1184" w:name="XBRL_CE_ce19f0321a6b460d894ef297a64b2b54"/>
            <w:bookmarkEnd w:id="1183"/>
            <w:bookmarkEnd w:id="1184"/>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85" w:name="XBRL_CS_5fc0820638024fc4948fecf1f217f063"/>
            <w:bookmarkEnd w:id="1185"/>
            <w:bookmarkStart w:id="1186" w:name="5fc0820638024fc4948fecf1f217f063"/>
            <w:bookmarkStart w:id="1187" w:name="XBRL_CE_5fc0820638024fc4948fecf1f217f063"/>
            <w:bookmarkEnd w:id="1186"/>
            <w:bookmarkEnd w:id="1187"/>
          </w:p>
        </w:tc>
        <w:tc>
          <w:tcPr>
            <w:tcW w:w="127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88" w:name="XBRL_CS_1ea1641370b04849b03d99c74d8cbadd"/>
            <w:bookmarkEnd w:id="1188"/>
            <w:bookmarkStart w:id="1189" w:name="1ea1641370b04849b03d99c74d8cbadd"/>
            <w:r>
              <w:rPr>
                <w:rFonts w:ascii="Arial" w:eastAsia="Arial" w:hAnsi="Arial" w:cs="Arial"/>
                <w:b w:val="0"/>
                <w:i w:val="0"/>
                <w:strike w:val="0"/>
                <w:color w:val="000000"/>
                <w:sz w:val="13"/>
                <w:u w:val="none"/>
                <w:vertAlign w:val="baseline"/>
              </w:rPr>
              <w:t>-6</w:t>
            </w:r>
            <w:bookmarkStart w:id="1190" w:name="XBRL_CE_1ea1641370b04849b03d99c74d8cbadd"/>
            <w:bookmarkEnd w:id="1189"/>
            <w:bookmarkEnd w:id="1190"/>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Rahavirran suojaukset</w:t>
            </w:r>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4" w:space="0" w:color="004A6B"/>
              <w:left w:val="nil"/>
              <w:bottom w:val="single" w:sz="4" w:space="0" w:color="004A6B"/>
              <w:right w:val="nil"/>
              <w:tl2br w:val="nil"/>
              <w:tr2bl w:val="nil"/>
            </w:tcBorders>
            <w:shd w:val="clear" w:color="FFFFFF" w:fill="FFFFFF"/>
            <w:noWrap w:val="0"/>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käyvän arvon nettomuutos verojen jälkeen</w:t>
            </w:r>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91" w:name="XBRL_CS_0c78a02f9bf445488952f650f1db26ed"/>
            <w:bookmarkEnd w:id="1191"/>
            <w:bookmarkStart w:id="1192" w:name="0c78a02f9bf445488952f650f1db26ed"/>
            <w:bookmarkStart w:id="1193" w:name="XBRL_CE_0c78a02f9bf445488952f650f1db26ed"/>
            <w:bookmarkEnd w:id="1192"/>
            <w:bookmarkEnd w:id="1193"/>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94" w:name="XBRL_CS_54cf113bd40d4999b9e32f3b7cfb2494"/>
            <w:bookmarkEnd w:id="1194"/>
            <w:bookmarkStart w:id="1195" w:name="54cf113bd40d4999b9e32f3b7cfb2494"/>
            <w:bookmarkStart w:id="1196" w:name="XBRL_CE_54cf113bd40d4999b9e32f3b7cfb2494"/>
            <w:bookmarkEnd w:id="1195"/>
            <w:bookmarkEnd w:id="1196"/>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197" w:name="XBRL_CS_b9d8a810cfa94072a44f652a164f6e9f"/>
            <w:bookmarkEnd w:id="1197"/>
            <w:bookmarkStart w:id="1198" w:name="b9d8a810cfa94072a44f652a164f6e9f"/>
            <w:bookmarkStart w:id="1199" w:name="XBRL_CE_b9d8a810cfa94072a44f652a164f6e9f"/>
            <w:bookmarkEnd w:id="1198"/>
            <w:bookmarkEnd w:id="1199"/>
          </w:p>
        </w:tc>
        <w:tc>
          <w:tcPr>
            <w:tcW w:w="127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00" w:name="XBRL_CS_edad294eab3449acb48ed9cd7d4adb58"/>
            <w:bookmarkEnd w:id="1200"/>
            <w:bookmarkStart w:id="1201" w:name="edad294eab3449acb48ed9cd7d4adb58"/>
            <w:r>
              <w:rPr>
                <w:rFonts w:ascii="Arial" w:eastAsia="Arial" w:hAnsi="Arial" w:cs="Arial"/>
                <w:b w:val="0"/>
                <w:i w:val="0"/>
                <w:strike w:val="0"/>
                <w:color w:val="000000"/>
                <w:sz w:val="13"/>
                <w:u w:val="none"/>
                <w:vertAlign w:val="baseline"/>
              </w:rPr>
              <w:t>-3</w:t>
            </w:r>
            <w:bookmarkStart w:id="1202" w:name="XBRL_CE_edad294eab3449acb48ed9cd7d4adb58"/>
            <w:bookmarkEnd w:id="1201"/>
            <w:bookmarkEnd w:id="1202"/>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03" w:name="XBRL_CS_60d094ac42b04bea9038b4c0eb1f3a3e"/>
            <w:bookmarkEnd w:id="1203"/>
            <w:bookmarkStart w:id="1204" w:name="60d094ac42b04bea9038b4c0eb1f3a3e"/>
            <w:bookmarkStart w:id="1205" w:name="XBRL_CE_60d094ac42b04bea9038b4c0eb1f3a3e"/>
            <w:bookmarkEnd w:id="1204"/>
            <w:bookmarkEnd w:id="1205"/>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06" w:name="XBRL_CS_94553c7672fd4c35be3b24de06be7f74"/>
            <w:bookmarkEnd w:id="1206"/>
            <w:bookmarkStart w:id="1207" w:name="94553c7672fd4c35be3b24de06be7f74"/>
            <w:bookmarkStart w:id="1208" w:name="XBRL_CE_94553c7672fd4c35be3b24de06be7f74"/>
            <w:bookmarkEnd w:id="1207"/>
            <w:bookmarkEnd w:id="1208"/>
          </w:p>
        </w:tc>
        <w:tc>
          <w:tcPr>
            <w:tcW w:w="127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09" w:name="XBRL_CS_ac2ae5578c504cb88ef9a41fa44925f9"/>
            <w:bookmarkEnd w:id="1209"/>
            <w:bookmarkStart w:id="1210" w:name="ac2ae5578c504cb88ef9a41fa44925f9"/>
            <w:r>
              <w:rPr>
                <w:rFonts w:ascii="Arial" w:eastAsia="Arial" w:hAnsi="Arial" w:cs="Arial"/>
                <w:b w:val="0"/>
                <w:i w:val="0"/>
                <w:strike w:val="0"/>
                <w:color w:val="000000"/>
                <w:sz w:val="13"/>
                <w:u w:val="none"/>
                <w:vertAlign w:val="baseline"/>
              </w:rPr>
              <w:t>-3</w:t>
            </w:r>
            <w:bookmarkStart w:id="1211" w:name="XBRL_CE_ac2ae5578c504cb88ef9a41fa44925f9"/>
            <w:bookmarkEnd w:id="1210"/>
            <w:bookmarkEnd w:id="1211"/>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12" w:name="XBRL_CS_0e76be59cd774d64a9d142017669166f"/>
            <w:bookmarkEnd w:id="1212"/>
            <w:bookmarkStart w:id="1213" w:name="0e76be59cd774d64a9d142017669166f"/>
            <w:bookmarkStart w:id="1214" w:name="XBRL_CE_0e76be59cd774d64a9d142017669166f"/>
            <w:bookmarkEnd w:id="1213"/>
            <w:bookmarkEnd w:id="1214"/>
          </w:p>
        </w:tc>
        <w:tc>
          <w:tcPr>
            <w:tcW w:w="127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15" w:name="XBRL_CS_4ddd0b32738146a88c188484237f56b3"/>
            <w:bookmarkEnd w:id="1215"/>
            <w:bookmarkStart w:id="1216" w:name="4ddd0b32738146a88c188484237f56b3"/>
            <w:r>
              <w:rPr>
                <w:rFonts w:ascii="Arial" w:eastAsia="Arial" w:hAnsi="Arial" w:cs="Arial"/>
                <w:b w:val="0"/>
                <w:i w:val="0"/>
                <w:strike w:val="0"/>
                <w:color w:val="000000"/>
                <w:sz w:val="13"/>
                <w:u w:val="none"/>
                <w:vertAlign w:val="baseline"/>
              </w:rPr>
              <w:t>-3</w:t>
            </w:r>
            <w:bookmarkStart w:id="1217" w:name="XBRL_CE_4ddd0b32738146a88c188484237f56b3"/>
            <w:bookmarkEnd w:id="1216"/>
            <w:bookmarkEnd w:id="1217"/>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4" w:space="0" w:color="004A6B"/>
              <w:left w:val="nil"/>
              <w:bottom w:val="single" w:sz="4" w:space="0" w:color="004A6B"/>
              <w:right w:val="nil"/>
              <w:tl2br w:val="nil"/>
              <w:tr2bl w:val="nil"/>
            </w:tcBorders>
            <w:shd w:val="clear" w:color="FFFFFF" w:fill="FFFFFF"/>
            <w:noWrap w:val="0"/>
            <w:tcMar>
              <w:left w:w="31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siirretty tuloslaskelmaan, veroilla vähennettynä</w:t>
            </w:r>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18" w:name="XBRL_CS_f9b37892e4274db4bef14262e6d150ff"/>
            <w:bookmarkEnd w:id="1218"/>
            <w:bookmarkStart w:id="1219" w:name="f9b37892e4274db4bef14262e6d150ff"/>
            <w:bookmarkStart w:id="1220" w:name="XBRL_CE_f9b37892e4274db4bef14262e6d150ff"/>
            <w:bookmarkEnd w:id="1219"/>
            <w:bookmarkEnd w:id="1220"/>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21" w:name="XBRL_CS_68a4851b06934d6a899cc515f42377d0"/>
            <w:bookmarkEnd w:id="1221"/>
            <w:bookmarkStart w:id="1222" w:name="68a4851b06934d6a899cc515f42377d0"/>
            <w:bookmarkStart w:id="1223" w:name="XBRL_CE_68a4851b06934d6a899cc515f42377d0"/>
            <w:bookmarkEnd w:id="1222"/>
            <w:bookmarkEnd w:id="1223"/>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24" w:name="XBRL_CS_c2fe8dc24f3a487998431013ca51aa2d"/>
            <w:bookmarkEnd w:id="1224"/>
            <w:bookmarkStart w:id="1225" w:name="c2fe8dc24f3a487998431013ca51aa2d"/>
            <w:bookmarkStart w:id="1226" w:name="XBRL_CE_c2fe8dc24f3a487998431013ca51aa2d"/>
            <w:bookmarkEnd w:id="1225"/>
            <w:bookmarkEnd w:id="1226"/>
          </w:p>
        </w:tc>
        <w:tc>
          <w:tcPr>
            <w:tcW w:w="127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27" w:name="XBRL_CS_b83be76722c943978464fb5a21032952"/>
            <w:bookmarkEnd w:id="1227"/>
            <w:bookmarkStart w:id="1228" w:name="b83be76722c943978464fb5a21032952"/>
            <w:r>
              <w:rPr>
                <w:rFonts w:ascii="Arial" w:eastAsia="Arial" w:hAnsi="Arial" w:cs="Arial"/>
                <w:b w:val="0"/>
                <w:i w:val="0"/>
                <w:strike w:val="0"/>
                <w:color w:val="000000"/>
                <w:sz w:val="13"/>
                <w:u w:val="none"/>
                <w:vertAlign w:val="baseline"/>
              </w:rPr>
              <w:t>5</w:t>
            </w:r>
            <w:bookmarkStart w:id="1229" w:name="XBRL_CE_b83be76722c943978464fb5a21032952"/>
            <w:bookmarkEnd w:id="1228"/>
            <w:bookmarkEnd w:id="1229"/>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30" w:name="XBRL_CS_d7a2e3746cfd435ea3805aabeb1fdcd6"/>
            <w:bookmarkEnd w:id="1230"/>
            <w:bookmarkStart w:id="1231" w:name="d7a2e3746cfd435ea3805aabeb1fdcd6"/>
            <w:bookmarkStart w:id="1232" w:name="XBRL_CE_d7a2e3746cfd435ea3805aabeb1fdcd6"/>
            <w:bookmarkEnd w:id="1231"/>
            <w:bookmarkEnd w:id="1232"/>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33" w:name="XBRL_CS_5f6eb0460d3e425997af877ac428792c"/>
            <w:bookmarkEnd w:id="1233"/>
            <w:bookmarkStart w:id="1234" w:name="5f6eb0460d3e425997af877ac428792c"/>
            <w:bookmarkStart w:id="1235" w:name="XBRL_CE_5f6eb0460d3e425997af877ac428792c"/>
            <w:bookmarkEnd w:id="1234"/>
            <w:bookmarkEnd w:id="1235"/>
          </w:p>
        </w:tc>
        <w:tc>
          <w:tcPr>
            <w:tcW w:w="127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36" w:name="XBRL_CS_44725999d91b45d78bf29a040fda8e05"/>
            <w:bookmarkEnd w:id="1236"/>
            <w:bookmarkStart w:id="1237" w:name="44725999d91b45d78bf29a040fda8e05"/>
            <w:r>
              <w:rPr>
                <w:rFonts w:ascii="Arial" w:eastAsia="Arial" w:hAnsi="Arial" w:cs="Arial"/>
                <w:b w:val="0"/>
                <w:i w:val="0"/>
                <w:strike w:val="0"/>
                <w:color w:val="000000"/>
                <w:sz w:val="13"/>
                <w:u w:val="none"/>
                <w:vertAlign w:val="baseline"/>
              </w:rPr>
              <w:t>5</w:t>
            </w:r>
            <w:bookmarkStart w:id="1238" w:name="XBRL_CE_44725999d91b45d78bf29a040fda8e05"/>
            <w:bookmarkEnd w:id="1237"/>
            <w:bookmarkEnd w:id="1238"/>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39" w:name="XBRL_CS_c7d2722af48c4b2b81744518fac9a84e"/>
            <w:bookmarkEnd w:id="1239"/>
            <w:bookmarkStart w:id="1240" w:name="c7d2722af48c4b2b81744518fac9a84e"/>
            <w:bookmarkStart w:id="1241" w:name="XBRL_CE_c7d2722af48c4b2b81744518fac9a84e"/>
            <w:bookmarkEnd w:id="1240"/>
            <w:bookmarkEnd w:id="1241"/>
          </w:p>
        </w:tc>
        <w:tc>
          <w:tcPr>
            <w:tcW w:w="127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42" w:name="XBRL_CS_b73c8de82f894ccbae82dfddeac785dc"/>
            <w:bookmarkEnd w:id="1242"/>
            <w:bookmarkStart w:id="1243" w:name="b73c8de82f894ccbae82dfddeac785dc"/>
            <w:r>
              <w:rPr>
                <w:rFonts w:ascii="Arial" w:eastAsia="Arial" w:hAnsi="Arial" w:cs="Arial"/>
                <w:b w:val="0"/>
                <w:i w:val="0"/>
                <w:strike w:val="0"/>
                <w:color w:val="000000"/>
                <w:sz w:val="13"/>
                <w:u w:val="none"/>
                <w:vertAlign w:val="baseline"/>
              </w:rPr>
              <w:t>5</w:t>
            </w:r>
            <w:bookmarkStart w:id="1244" w:name="XBRL_CE_b73c8de82f894ccbae82dfddeac785dc"/>
            <w:bookmarkEnd w:id="1243"/>
            <w:bookmarkEnd w:id="1244"/>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Etuuspohjaiset eläkejärjestelyt</w:t>
            </w:r>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45" w:name="XBRL_CS_3df3343a94314b688a836e172d27825e"/>
            <w:bookmarkEnd w:id="1245"/>
            <w:bookmarkStart w:id="1246" w:name="3df3343a94314b688a836e172d27825e"/>
            <w:bookmarkStart w:id="1247" w:name="XBRL_CE_3df3343a94314b688a836e172d27825e"/>
            <w:bookmarkEnd w:id="1246"/>
            <w:bookmarkEnd w:id="1247"/>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48" w:name="XBRL_CS_adfe4d9baacd4f6db90cf5ce6fe34304"/>
            <w:bookmarkEnd w:id="1248"/>
            <w:bookmarkStart w:id="1249" w:name="adfe4d9baacd4f6db90cf5ce6fe34304"/>
            <w:bookmarkStart w:id="1250" w:name="XBRL_CE_adfe4d9baacd4f6db90cf5ce6fe34304"/>
            <w:bookmarkEnd w:id="1249"/>
            <w:bookmarkEnd w:id="1250"/>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51" w:name="XBRL_CS_6bd29856c26f42f2b153c65a5d52e766"/>
            <w:bookmarkEnd w:id="1251"/>
            <w:bookmarkStart w:id="1252" w:name="6bd29856c26f42f2b153c65a5d52e766"/>
            <w:bookmarkStart w:id="1253" w:name="XBRL_CE_6bd29856c26f42f2b153c65a5d52e766"/>
            <w:bookmarkEnd w:id="1252"/>
            <w:bookmarkEnd w:id="1253"/>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7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54" w:name="XBRL_CS_8fdd252354fb427f9ce6afda64a7b80e"/>
            <w:bookmarkEnd w:id="1254"/>
            <w:bookmarkStart w:id="1255" w:name="8fdd252354fb427f9ce6afda64a7b80e"/>
            <w:r>
              <w:rPr>
                <w:rFonts w:ascii="Arial" w:eastAsia="Arial" w:hAnsi="Arial" w:cs="Arial"/>
                <w:b w:val="0"/>
                <w:i w:val="0"/>
                <w:strike w:val="0"/>
                <w:color w:val="000000"/>
                <w:sz w:val="13"/>
                <w:u w:val="none"/>
                <w:vertAlign w:val="baseline"/>
              </w:rPr>
              <w:t>5</w:t>
            </w:r>
            <w:bookmarkStart w:id="1256" w:name="XBRL_CE_8fdd252354fb427f9ce6afda64a7b80e"/>
            <w:bookmarkEnd w:id="1255"/>
            <w:bookmarkEnd w:id="1256"/>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57" w:name="XBRL_CS_54a24357712f4e819d216bb50a976a53"/>
            <w:bookmarkEnd w:id="1257"/>
            <w:bookmarkStart w:id="1258" w:name="54a24357712f4e819d216bb50a976a53"/>
            <w:bookmarkStart w:id="1259" w:name="XBRL_CE_54a24357712f4e819d216bb50a976a53"/>
            <w:bookmarkEnd w:id="1258"/>
            <w:bookmarkEnd w:id="1259"/>
          </w:p>
        </w:tc>
        <w:tc>
          <w:tcPr>
            <w:tcW w:w="127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60" w:name="XBRL_CS_c83ce4be67e3432d9b3e5a399743689c"/>
            <w:bookmarkEnd w:id="1260"/>
            <w:bookmarkStart w:id="1261" w:name="c83ce4be67e3432d9b3e5a399743689c"/>
            <w:r>
              <w:rPr>
                <w:rFonts w:ascii="Arial" w:eastAsia="Arial" w:hAnsi="Arial" w:cs="Arial"/>
                <w:b w:val="0"/>
                <w:i w:val="0"/>
                <w:strike w:val="0"/>
                <w:color w:val="000000"/>
                <w:sz w:val="13"/>
                <w:u w:val="none"/>
                <w:vertAlign w:val="baseline"/>
              </w:rPr>
              <w:t>5</w:t>
            </w:r>
            <w:bookmarkStart w:id="1262" w:name="XBRL_CE_c83ce4be67e3432d9b3e5a399743689c"/>
            <w:bookmarkEnd w:id="1261"/>
            <w:bookmarkEnd w:id="1262"/>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63" w:name="XBRL_CS_59bdb6cb917b48b19ffbb1ab602bd9be"/>
            <w:bookmarkEnd w:id="1263"/>
            <w:bookmarkStart w:id="1264" w:name="59bdb6cb917b48b19ffbb1ab602bd9be"/>
            <w:bookmarkStart w:id="1265" w:name="XBRL_CE_59bdb6cb917b48b19ffbb1ab602bd9be"/>
            <w:bookmarkEnd w:id="1264"/>
            <w:bookmarkEnd w:id="1265"/>
          </w:p>
        </w:tc>
        <w:tc>
          <w:tcPr>
            <w:tcW w:w="127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66" w:name="XBRL_CS_75f3f6c7644241c0bff3aec606dd4808"/>
            <w:bookmarkEnd w:id="1266"/>
            <w:bookmarkStart w:id="1267" w:name="75f3f6c7644241c0bff3aec606dd4808"/>
            <w:r>
              <w:rPr>
                <w:rFonts w:ascii="Arial" w:eastAsia="Arial" w:hAnsi="Arial" w:cs="Arial"/>
                <w:b w:val="0"/>
                <w:i w:val="0"/>
                <w:strike w:val="0"/>
                <w:color w:val="000000"/>
                <w:sz w:val="13"/>
                <w:u w:val="none"/>
                <w:vertAlign w:val="baseline"/>
              </w:rPr>
              <w:t>5</w:t>
            </w:r>
            <w:bookmarkStart w:id="1268" w:name="XBRL_CE_75f3f6c7644241c0bff3aec606dd4808"/>
            <w:bookmarkEnd w:id="1267"/>
            <w:bookmarkEnd w:id="1268"/>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4" w:space="0" w:color="004A6B"/>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muutokset</w:t>
            </w:r>
          </w:p>
        </w:tc>
        <w:tc>
          <w:tcPr>
            <w:tcW w:w="127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69" w:name="XBRL_CS_f62d2e5d723e443f91abe6ea8af7aa4c"/>
            <w:bookmarkEnd w:id="1269"/>
            <w:bookmarkStart w:id="1270" w:name="f62d2e5d723e443f91abe6ea8af7aa4c"/>
            <w:bookmarkStart w:id="1271" w:name="XBRL_CE_f62d2e5d723e443f91abe6ea8af7aa4c"/>
            <w:bookmarkEnd w:id="1270"/>
            <w:bookmarkEnd w:id="1271"/>
          </w:p>
        </w:tc>
        <w:tc>
          <w:tcPr>
            <w:tcW w:w="127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72" w:name="XBRL_CS_796383ef728649ec84cbda1c5ef726bf"/>
            <w:bookmarkEnd w:id="1272"/>
            <w:bookmarkStart w:id="1273" w:name="796383ef728649ec84cbda1c5ef726bf"/>
            <w:bookmarkStart w:id="1274" w:name="XBRL_CE_796383ef728649ec84cbda1c5ef726bf"/>
            <w:bookmarkEnd w:id="1273"/>
            <w:bookmarkEnd w:id="1274"/>
          </w:p>
        </w:tc>
        <w:tc>
          <w:tcPr>
            <w:tcW w:w="127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75" w:name="XBRL_CS_df26cc9735cb4bccba610159e08ad929"/>
            <w:bookmarkEnd w:id="1275"/>
            <w:bookmarkStart w:id="1276" w:name="df26cc9735cb4bccba610159e08ad929"/>
            <w:bookmarkStart w:id="1277" w:name="XBRL_CE_df26cc9735cb4bccba610159e08ad929"/>
            <w:bookmarkEnd w:id="1276"/>
            <w:bookmarkEnd w:id="1277"/>
          </w:p>
        </w:tc>
        <w:tc>
          <w:tcPr>
            <w:tcW w:w="127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7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78" w:name="XBRL_CS_6bc0bdf1f17c40d287655aebb4964c48"/>
            <w:bookmarkEnd w:id="1278"/>
            <w:bookmarkStart w:id="1279" w:name="6bc0bdf1f17c40d287655aebb4964c48"/>
            <w:r>
              <w:rPr>
                <w:rFonts w:ascii="Arial" w:eastAsia="Arial" w:hAnsi="Arial" w:cs="Arial"/>
                <w:b w:val="0"/>
                <w:i w:val="0"/>
                <w:strike w:val="0"/>
                <w:color w:val="000000"/>
                <w:sz w:val="13"/>
                <w:u w:val="none"/>
                <w:vertAlign w:val="baseline"/>
              </w:rPr>
              <w:t>5</w:t>
            </w:r>
            <w:bookmarkStart w:id="1280" w:name="XBRL_CE_6bc0bdf1f17c40d287655aebb4964c48"/>
            <w:bookmarkEnd w:id="1279"/>
            <w:bookmarkEnd w:id="1280"/>
          </w:p>
        </w:tc>
        <w:tc>
          <w:tcPr>
            <w:tcW w:w="127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81" w:name="XBRL_CS_d2659e4aad9547908b43ea5e059cfd42"/>
            <w:bookmarkEnd w:id="1281"/>
            <w:bookmarkStart w:id="1282" w:name="d2659e4aad9547908b43ea5e059cfd42"/>
            <w:r>
              <w:rPr>
                <w:rFonts w:ascii="Arial" w:eastAsia="Arial" w:hAnsi="Arial" w:cs="Arial"/>
                <w:b w:val="0"/>
                <w:i w:val="0"/>
                <w:strike w:val="0"/>
                <w:color w:val="000000"/>
                <w:sz w:val="13"/>
                <w:u w:val="none"/>
                <w:vertAlign w:val="baseline"/>
              </w:rPr>
              <w:t>-5</w:t>
            </w:r>
            <w:bookmarkStart w:id="1283" w:name="XBRL_CE_d2659e4aad9547908b43ea5e059cfd42"/>
            <w:bookmarkEnd w:id="1282"/>
            <w:bookmarkEnd w:id="1283"/>
          </w:p>
        </w:tc>
        <w:tc>
          <w:tcPr>
            <w:tcW w:w="127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84" w:name="XBRL_CS_23cb2aedb5e1447599c1bd6055fca6eb"/>
            <w:bookmarkEnd w:id="1284"/>
            <w:bookmarkStart w:id="1285" w:name="23cb2aedb5e1447599c1bd6055fca6eb"/>
            <w:bookmarkStart w:id="1286" w:name="XBRL_CE_23cb2aedb5e1447599c1bd6055fca6eb"/>
            <w:bookmarkEnd w:id="1285"/>
            <w:bookmarkEnd w:id="1286"/>
          </w:p>
        </w:tc>
        <w:tc>
          <w:tcPr>
            <w:tcW w:w="127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87" w:name="XBRL_CS_93f42f638df64c128fc3fe8026ab8319"/>
            <w:bookmarkEnd w:id="1287"/>
            <w:bookmarkStart w:id="1288" w:name="93f42f638df64c128fc3fe8026ab8319"/>
            <w:bookmarkStart w:id="1289" w:name="XBRL_CE_93f42f638df64c128fc3fe8026ab8319"/>
            <w:bookmarkEnd w:id="1288"/>
            <w:bookmarkEnd w:id="1289"/>
          </w:p>
        </w:tc>
        <w:tc>
          <w:tcPr>
            <w:tcW w:w="127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90" w:name="XBRL_CS_a1210224883e4e759195d360086c3724"/>
            <w:bookmarkEnd w:id="1290"/>
            <w:bookmarkStart w:id="1291" w:name="a1210224883e4e759195d360086c3724"/>
            <w:bookmarkStart w:id="1292" w:name="XBRL_CE_a1210224883e4e759195d360086c3724"/>
            <w:bookmarkEnd w:id="1291"/>
            <w:bookmarkEnd w:id="1292"/>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Laajan tuloksen erät</w:t>
            </w:r>
          </w:p>
        </w:tc>
        <w:tc>
          <w:tcPr>
            <w:tcW w:w="127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93" w:name="XBRL_CS_a06278df335642148906c8851d45f0c6"/>
            <w:bookmarkEnd w:id="1293"/>
            <w:bookmarkStart w:id="1294" w:name="a06278df335642148906c8851d45f0c6"/>
            <w:bookmarkStart w:id="1295" w:name="XBRL_CE_a06278df335642148906c8851d45f0c6"/>
            <w:bookmarkEnd w:id="1294"/>
            <w:bookmarkEnd w:id="1295"/>
          </w:p>
        </w:tc>
        <w:tc>
          <w:tcPr>
            <w:tcW w:w="127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96" w:name="XBRL_CS_d0530db21a0e4aaabb7ecf32a87ab368"/>
            <w:bookmarkEnd w:id="1296"/>
            <w:bookmarkStart w:id="1297" w:name="d0530db21a0e4aaabb7ecf32a87ab368"/>
            <w:bookmarkStart w:id="1298" w:name="XBRL_CE_d0530db21a0e4aaabb7ecf32a87ab368"/>
            <w:bookmarkEnd w:id="1297"/>
            <w:bookmarkEnd w:id="1298"/>
          </w:p>
        </w:tc>
        <w:tc>
          <w:tcPr>
            <w:tcW w:w="127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299" w:name="XBRL_CS_4d842bb8c2d941d7820d4eaf296ca2de"/>
            <w:bookmarkEnd w:id="1299"/>
            <w:bookmarkStart w:id="1300" w:name="4d842bb8c2d941d7820d4eaf296ca2de"/>
            <w:r>
              <w:rPr>
                <w:rFonts w:ascii="Arial" w:eastAsia="Arial" w:hAnsi="Arial" w:cs="Arial"/>
                <w:b w:val="0"/>
                <w:i w:val="0"/>
                <w:strike w:val="0"/>
                <w:color w:val="000000"/>
                <w:sz w:val="13"/>
                <w:u w:val="none"/>
                <w:vertAlign w:val="baseline"/>
              </w:rPr>
              <w:t>-82</w:t>
            </w:r>
            <w:bookmarkStart w:id="1301" w:name="XBRL_CE_4d842bb8c2d941d7820d4eaf296ca2de"/>
            <w:bookmarkEnd w:id="1300"/>
            <w:bookmarkEnd w:id="1301"/>
          </w:p>
        </w:tc>
        <w:tc>
          <w:tcPr>
            <w:tcW w:w="127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02" w:name="XBRL_CS_294a02ed13f247489f84f1cc82469105"/>
            <w:bookmarkEnd w:id="1302"/>
            <w:bookmarkStart w:id="1303" w:name="294a02ed13f247489f84f1cc82469105"/>
            <w:r>
              <w:rPr>
                <w:rFonts w:ascii="Arial" w:eastAsia="Arial" w:hAnsi="Arial" w:cs="Arial"/>
                <w:b w:val="0"/>
                <w:i w:val="0"/>
                <w:strike w:val="0"/>
                <w:color w:val="000000"/>
                <w:sz w:val="13"/>
                <w:u w:val="none"/>
                <w:vertAlign w:val="baseline"/>
              </w:rPr>
              <w:t>2</w:t>
            </w:r>
            <w:bookmarkStart w:id="1304" w:name="XBRL_CE_294a02ed13f247489f84f1cc82469105"/>
            <w:bookmarkEnd w:id="1303"/>
            <w:bookmarkEnd w:id="1304"/>
          </w:p>
        </w:tc>
        <w:tc>
          <w:tcPr>
            <w:tcW w:w="127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05" w:name="XBRL_CS_872967daef9e4ca2b35551794bf34fe7"/>
            <w:bookmarkEnd w:id="1305"/>
            <w:bookmarkStart w:id="1306" w:name="872967daef9e4ca2b35551794bf34fe7"/>
            <w:r>
              <w:rPr>
                <w:rFonts w:ascii="Arial" w:eastAsia="Arial" w:hAnsi="Arial" w:cs="Arial"/>
                <w:b w:val="0"/>
                <w:i w:val="0"/>
                <w:strike w:val="0"/>
                <w:color w:val="000000"/>
                <w:sz w:val="13"/>
                <w:u w:val="none"/>
                <w:vertAlign w:val="baseline"/>
              </w:rPr>
              <w:t>10</w:t>
            </w:r>
            <w:bookmarkStart w:id="1307" w:name="XBRL_CE_872967daef9e4ca2b35551794bf34fe7"/>
            <w:bookmarkEnd w:id="1306"/>
            <w:bookmarkEnd w:id="1307"/>
          </w:p>
        </w:tc>
        <w:tc>
          <w:tcPr>
            <w:tcW w:w="127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08" w:name="XBRL_CS_b3d5d488449c480eb729e0de4d72c534"/>
            <w:bookmarkEnd w:id="1308"/>
            <w:bookmarkStart w:id="1309" w:name="b3d5d488449c480eb729e0de4d72c534"/>
            <w:r>
              <w:rPr>
                <w:rFonts w:ascii="Arial" w:eastAsia="Arial" w:hAnsi="Arial" w:cs="Arial"/>
                <w:b w:val="0"/>
                <w:i w:val="0"/>
                <w:strike w:val="0"/>
                <w:color w:val="000000"/>
                <w:sz w:val="13"/>
                <w:u w:val="none"/>
                <w:vertAlign w:val="baseline"/>
              </w:rPr>
              <w:t>-5</w:t>
            </w:r>
            <w:bookmarkStart w:id="1310" w:name="XBRL_CE_b3d5d488449c480eb729e0de4d72c534"/>
            <w:bookmarkEnd w:id="1309"/>
            <w:bookmarkEnd w:id="1310"/>
          </w:p>
        </w:tc>
        <w:tc>
          <w:tcPr>
            <w:tcW w:w="127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11" w:name="XBRL_CS_ea61294f35564f63aff2740e1bedfc63"/>
            <w:bookmarkEnd w:id="1311"/>
            <w:bookmarkStart w:id="1312" w:name="ea61294f35564f63aff2740e1bedfc63"/>
            <w:r>
              <w:rPr>
                <w:rFonts w:ascii="Arial" w:eastAsia="Arial" w:hAnsi="Arial" w:cs="Arial"/>
                <w:b w:val="0"/>
                <w:i w:val="0"/>
                <w:strike w:val="0"/>
                <w:color w:val="000000"/>
                <w:sz w:val="13"/>
                <w:u w:val="none"/>
                <w:vertAlign w:val="baseline"/>
              </w:rPr>
              <w:t>-75</w:t>
            </w:r>
            <w:bookmarkStart w:id="1313" w:name="XBRL_CE_ea61294f35564f63aff2740e1bedfc63"/>
            <w:bookmarkEnd w:id="1312"/>
            <w:bookmarkEnd w:id="1313"/>
          </w:p>
        </w:tc>
        <w:tc>
          <w:tcPr>
            <w:tcW w:w="127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14" w:name="XBRL_CS_3922ba7306384fd1a1feba0fda2f9899"/>
            <w:bookmarkEnd w:id="1314"/>
            <w:bookmarkStart w:id="1315" w:name="3922ba7306384fd1a1feba0fda2f9899"/>
            <w:r>
              <w:rPr>
                <w:rFonts w:ascii="Arial" w:eastAsia="Arial" w:hAnsi="Arial" w:cs="Arial"/>
                <w:b w:val="0"/>
                <w:i w:val="0"/>
                <w:strike w:val="0"/>
                <w:color w:val="000000"/>
                <w:sz w:val="13"/>
                <w:u w:val="none"/>
                <w:vertAlign w:val="baseline"/>
              </w:rPr>
              <w:t>-1</w:t>
            </w:r>
            <w:bookmarkStart w:id="1316" w:name="XBRL_CE_3922ba7306384fd1a1feba0fda2f9899"/>
            <w:bookmarkEnd w:id="1315"/>
            <w:bookmarkEnd w:id="1316"/>
          </w:p>
        </w:tc>
        <w:tc>
          <w:tcPr>
            <w:tcW w:w="127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17" w:name="XBRL_CS_2540a176f9f04a1bb5b646771b1ef5b0"/>
            <w:bookmarkEnd w:id="1317"/>
            <w:bookmarkStart w:id="1318" w:name="2540a176f9f04a1bb5b646771b1ef5b0"/>
            <w:r>
              <w:rPr>
                <w:rFonts w:ascii="Arial" w:eastAsia="Arial" w:hAnsi="Arial" w:cs="Arial"/>
                <w:b w:val="0"/>
                <w:i w:val="0"/>
                <w:strike w:val="0"/>
                <w:color w:val="000000"/>
                <w:sz w:val="13"/>
                <w:u w:val="none"/>
                <w:vertAlign w:val="baseline"/>
              </w:rPr>
              <w:t>-76</w:t>
            </w:r>
            <w:bookmarkStart w:id="1319" w:name="XBRL_CE_2540a176f9f04a1bb5b646771b1ef5b0"/>
            <w:bookmarkEnd w:id="1318"/>
            <w:bookmarkEnd w:id="1319"/>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4" w:space="0" w:color="004A6B"/>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Tilikauden tulos</w:t>
            </w:r>
          </w:p>
        </w:tc>
        <w:tc>
          <w:tcPr>
            <w:tcW w:w="127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20" w:name="XBRL_CS_3d36d00c14f54cf293090fd0e8e32734"/>
            <w:bookmarkEnd w:id="1320"/>
            <w:bookmarkStart w:id="1321" w:name="3d36d00c14f54cf293090fd0e8e32734"/>
            <w:bookmarkStart w:id="1322" w:name="XBRL_CE_3d36d00c14f54cf293090fd0e8e32734"/>
            <w:bookmarkEnd w:id="1321"/>
            <w:bookmarkEnd w:id="1322"/>
          </w:p>
        </w:tc>
        <w:tc>
          <w:tcPr>
            <w:tcW w:w="127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23" w:name="XBRL_CS_55c16fcfe1e14cf2a94883741a4176ce"/>
            <w:bookmarkEnd w:id="1323"/>
            <w:bookmarkStart w:id="1324" w:name="55c16fcfe1e14cf2a94883741a4176ce"/>
            <w:bookmarkStart w:id="1325" w:name="XBRL_CE_55c16fcfe1e14cf2a94883741a4176ce"/>
            <w:bookmarkEnd w:id="1324"/>
            <w:bookmarkEnd w:id="1325"/>
          </w:p>
        </w:tc>
        <w:tc>
          <w:tcPr>
            <w:tcW w:w="127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26" w:name="XBRL_CS_3c8bd0b0e40d4cae9558fc07777a35c3"/>
            <w:bookmarkEnd w:id="1326"/>
            <w:bookmarkStart w:id="1327" w:name="3c8bd0b0e40d4cae9558fc07777a35c3"/>
            <w:bookmarkStart w:id="1328" w:name="XBRL_CE_3c8bd0b0e40d4cae9558fc07777a35c3"/>
            <w:bookmarkEnd w:id="1327"/>
            <w:bookmarkEnd w:id="1328"/>
          </w:p>
        </w:tc>
        <w:tc>
          <w:tcPr>
            <w:tcW w:w="127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7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29" w:name="XBRL_CS_f7744d57a448413e8fc4133983cad960"/>
            <w:bookmarkEnd w:id="1329"/>
            <w:bookmarkStart w:id="1330" w:name="f7744d57a448413e8fc4133983cad960"/>
            <w:bookmarkStart w:id="1331" w:name="XBRL_CE_f7744d57a448413e8fc4133983cad960"/>
            <w:bookmarkEnd w:id="1330"/>
            <w:bookmarkEnd w:id="1331"/>
          </w:p>
        </w:tc>
        <w:tc>
          <w:tcPr>
            <w:tcW w:w="127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32" w:name="XBRL_CS_82efa57a40944a19ac5276a988894422"/>
            <w:bookmarkEnd w:id="1332"/>
            <w:bookmarkStart w:id="1333" w:name="82efa57a40944a19ac5276a988894422"/>
            <w:r>
              <w:rPr>
                <w:rFonts w:ascii="Arial" w:eastAsia="Arial" w:hAnsi="Arial" w:cs="Arial"/>
                <w:b w:val="0"/>
                <w:i w:val="0"/>
                <w:strike w:val="0"/>
                <w:color w:val="000000"/>
                <w:sz w:val="13"/>
                <w:u w:val="none"/>
                <w:vertAlign w:val="baseline"/>
              </w:rPr>
              <w:t>134</w:t>
            </w:r>
            <w:bookmarkStart w:id="1334" w:name="XBRL_CE_82efa57a40944a19ac5276a988894422"/>
            <w:bookmarkEnd w:id="1333"/>
            <w:bookmarkEnd w:id="1334"/>
          </w:p>
        </w:tc>
        <w:tc>
          <w:tcPr>
            <w:tcW w:w="127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35" w:name="XBRL_CS_f47efd54d54d47148f008870b708fb9a"/>
            <w:bookmarkEnd w:id="1335"/>
            <w:bookmarkStart w:id="1336" w:name="f47efd54d54d47148f008870b708fb9a"/>
            <w:r>
              <w:rPr>
                <w:rFonts w:ascii="Arial" w:eastAsia="Arial" w:hAnsi="Arial" w:cs="Arial"/>
                <w:b w:val="0"/>
                <w:i w:val="0"/>
                <w:strike w:val="0"/>
                <w:color w:val="000000"/>
                <w:sz w:val="13"/>
                <w:u w:val="none"/>
                <w:vertAlign w:val="baseline"/>
              </w:rPr>
              <w:t>134</w:t>
            </w:r>
            <w:bookmarkStart w:id="1337" w:name="XBRL_CE_f47efd54d54d47148f008870b708fb9a"/>
            <w:bookmarkEnd w:id="1336"/>
            <w:bookmarkEnd w:id="1337"/>
          </w:p>
        </w:tc>
        <w:tc>
          <w:tcPr>
            <w:tcW w:w="127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38" w:name="XBRL_CS_6423ce4756cc408983852df30144bbd0"/>
            <w:bookmarkEnd w:id="1338"/>
            <w:bookmarkStart w:id="1339" w:name="6423ce4756cc408983852df30144bbd0"/>
            <w:r>
              <w:rPr>
                <w:rFonts w:ascii="Arial" w:eastAsia="Arial" w:hAnsi="Arial" w:cs="Arial"/>
                <w:b w:val="0"/>
                <w:i w:val="0"/>
                <w:strike w:val="0"/>
                <w:color w:val="000000"/>
                <w:sz w:val="13"/>
                <w:u w:val="none"/>
                <w:vertAlign w:val="baseline"/>
              </w:rPr>
              <w:t>-1</w:t>
            </w:r>
            <w:bookmarkStart w:id="1340" w:name="XBRL_CE_6423ce4756cc408983852df30144bbd0"/>
            <w:bookmarkEnd w:id="1339"/>
            <w:bookmarkEnd w:id="1340"/>
          </w:p>
        </w:tc>
        <w:tc>
          <w:tcPr>
            <w:tcW w:w="127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41" w:name="XBRL_CS_20583792d3b04b80a0e53718ed948fd3"/>
            <w:bookmarkEnd w:id="1341"/>
            <w:bookmarkStart w:id="1342" w:name="20583792d3b04b80a0e53718ed948fd3"/>
            <w:r>
              <w:rPr>
                <w:rFonts w:ascii="Arial" w:eastAsia="Arial" w:hAnsi="Arial" w:cs="Arial"/>
                <w:b w:val="0"/>
                <w:i w:val="0"/>
                <w:strike w:val="0"/>
                <w:color w:val="000000"/>
                <w:sz w:val="13"/>
                <w:u w:val="none"/>
                <w:vertAlign w:val="baseline"/>
              </w:rPr>
              <w:t>133</w:t>
            </w:r>
            <w:bookmarkStart w:id="1343" w:name="XBRL_CE_20583792d3b04b80a0e53718ed948fd3"/>
            <w:bookmarkEnd w:id="1342"/>
            <w:bookmarkEnd w:id="1343"/>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Tilikauden laaja tulos yhteensä</w:t>
            </w:r>
          </w:p>
        </w:tc>
        <w:tc>
          <w:tcPr>
            <w:tcW w:w="127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7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7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44" w:name="XBRL_CS_60a9a041f8174760ba785895ca53be07"/>
            <w:bookmarkEnd w:id="1344"/>
            <w:bookmarkStart w:id="1345" w:name="60a9a041f8174760ba785895ca53be07"/>
            <w:r>
              <w:rPr>
                <w:rFonts w:ascii="Arial" w:eastAsia="Arial" w:hAnsi="Arial" w:cs="Arial"/>
                <w:b w:val="0"/>
                <w:i w:val="0"/>
                <w:strike w:val="0"/>
                <w:color w:val="000000"/>
                <w:sz w:val="13"/>
                <w:u w:val="none"/>
                <w:vertAlign w:val="baseline"/>
              </w:rPr>
              <w:t>-82</w:t>
            </w:r>
            <w:bookmarkStart w:id="1346" w:name="XBRL_CE_60a9a041f8174760ba785895ca53be07"/>
            <w:bookmarkEnd w:id="1345"/>
            <w:bookmarkEnd w:id="1346"/>
          </w:p>
        </w:tc>
        <w:tc>
          <w:tcPr>
            <w:tcW w:w="127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47" w:name="XBRL_CS_35538af7356149ed9ac1288861de1dd8"/>
            <w:bookmarkEnd w:id="1347"/>
            <w:bookmarkStart w:id="1348" w:name="35538af7356149ed9ac1288861de1dd8"/>
            <w:r>
              <w:rPr>
                <w:rFonts w:ascii="Arial" w:eastAsia="Arial" w:hAnsi="Arial" w:cs="Arial"/>
                <w:b w:val="0"/>
                <w:i w:val="0"/>
                <w:strike w:val="0"/>
                <w:color w:val="000000"/>
                <w:sz w:val="13"/>
                <w:u w:val="none"/>
                <w:vertAlign w:val="baseline"/>
              </w:rPr>
              <w:t>2</w:t>
            </w:r>
            <w:bookmarkStart w:id="1349" w:name="XBRL_CE_35538af7356149ed9ac1288861de1dd8"/>
            <w:bookmarkEnd w:id="1348"/>
            <w:bookmarkEnd w:id="1349"/>
          </w:p>
        </w:tc>
        <w:tc>
          <w:tcPr>
            <w:tcW w:w="127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50" w:name="XBRL_CS_b4304b505b0246d2a512d2e1cfd52040"/>
            <w:bookmarkEnd w:id="1350"/>
            <w:bookmarkStart w:id="1351" w:name="b4304b505b0246d2a512d2e1cfd52040"/>
            <w:r>
              <w:rPr>
                <w:rFonts w:ascii="Arial" w:eastAsia="Arial" w:hAnsi="Arial" w:cs="Arial"/>
                <w:b w:val="0"/>
                <w:i w:val="0"/>
                <w:strike w:val="0"/>
                <w:color w:val="000000"/>
                <w:sz w:val="13"/>
                <w:u w:val="none"/>
                <w:vertAlign w:val="baseline"/>
              </w:rPr>
              <w:t>10</w:t>
            </w:r>
            <w:bookmarkStart w:id="1352" w:name="XBRL_CE_b4304b505b0246d2a512d2e1cfd52040"/>
            <w:bookmarkEnd w:id="1351"/>
            <w:bookmarkEnd w:id="1352"/>
          </w:p>
        </w:tc>
        <w:tc>
          <w:tcPr>
            <w:tcW w:w="127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53" w:name="XBRL_CS_5c79136a7f364481a5176808df831821"/>
            <w:bookmarkEnd w:id="1353"/>
            <w:bookmarkStart w:id="1354" w:name="5c79136a7f364481a5176808df831821"/>
            <w:r>
              <w:rPr>
                <w:rFonts w:ascii="Arial" w:eastAsia="Arial" w:hAnsi="Arial" w:cs="Arial"/>
                <w:b w:val="0"/>
                <w:i w:val="0"/>
                <w:strike w:val="0"/>
                <w:color w:val="000000"/>
                <w:sz w:val="13"/>
                <w:u w:val="none"/>
                <w:vertAlign w:val="baseline"/>
              </w:rPr>
              <w:t>129</w:t>
            </w:r>
            <w:bookmarkStart w:id="1355" w:name="XBRL_CE_5c79136a7f364481a5176808df831821"/>
            <w:bookmarkEnd w:id="1354"/>
            <w:bookmarkEnd w:id="1355"/>
          </w:p>
        </w:tc>
        <w:tc>
          <w:tcPr>
            <w:tcW w:w="127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56" w:name="XBRL_CS_3a8ad2e0326140c78817e8d8a89e44f2"/>
            <w:bookmarkEnd w:id="1356"/>
            <w:bookmarkStart w:id="1357" w:name="3a8ad2e0326140c78817e8d8a89e44f2"/>
            <w:r>
              <w:rPr>
                <w:rFonts w:ascii="Arial" w:eastAsia="Arial" w:hAnsi="Arial" w:cs="Arial"/>
                <w:b w:val="0"/>
                <w:i w:val="0"/>
                <w:strike w:val="0"/>
                <w:color w:val="000000"/>
                <w:sz w:val="13"/>
                <w:u w:val="none"/>
                <w:vertAlign w:val="baseline"/>
              </w:rPr>
              <w:t>59</w:t>
            </w:r>
            <w:bookmarkStart w:id="1358" w:name="XBRL_CE_3a8ad2e0326140c78817e8d8a89e44f2"/>
            <w:bookmarkEnd w:id="1357"/>
            <w:bookmarkEnd w:id="1358"/>
          </w:p>
        </w:tc>
        <w:tc>
          <w:tcPr>
            <w:tcW w:w="127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59" w:name="XBRL_CS_ff4066546d8942a5ab1a50feef972ffb"/>
            <w:bookmarkEnd w:id="1359"/>
            <w:bookmarkStart w:id="1360" w:name="ff4066546d8942a5ab1a50feef972ffb"/>
            <w:r>
              <w:rPr>
                <w:rFonts w:ascii="Arial" w:eastAsia="Arial" w:hAnsi="Arial" w:cs="Arial"/>
                <w:b w:val="0"/>
                <w:i w:val="0"/>
                <w:strike w:val="0"/>
                <w:color w:val="000000"/>
                <w:sz w:val="13"/>
                <w:u w:val="none"/>
                <w:vertAlign w:val="baseline"/>
              </w:rPr>
              <w:t>-1</w:t>
            </w:r>
            <w:bookmarkStart w:id="1361" w:name="XBRL_CE_ff4066546d8942a5ab1a50feef972ffb"/>
            <w:bookmarkEnd w:id="1360"/>
            <w:bookmarkEnd w:id="1361"/>
          </w:p>
        </w:tc>
        <w:tc>
          <w:tcPr>
            <w:tcW w:w="127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62" w:name="XBRL_CS_76bd76ba3e6649e69cf05288506a050c"/>
            <w:bookmarkEnd w:id="1362"/>
            <w:bookmarkStart w:id="1363" w:name="76bd76ba3e6649e69cf05288506a050c"/>
            <w:r>
              <w:rPr>
                <w:rFonts w:ascii="Arial" w:eastAsia="Arial" w:hAnsi="Arial" w:cs="Arial"/>
                <w:b w:val="0"/>
                <w:i w:val="0"/>
                <w:strike w:val="0"/>
                <w:color w:val="000000"/>
                <w:sz w:val="13"/>
                <w:u w:val="none"/>
                <w:vertAlign w:val="baseline"/>
              </w:rPr>
              <w:t>57</w:t>
            </w:r>
            <w:bookmarkStart w:id="1364" w:name="XBRL_CE_76bd76ba3e6649e69cf05288506a050c"/>
            <w:bookmarkEnd w:id="1363"/>
            <w:bookmarkEnd w:id="1364"/>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Maksetut osingot</w:t>
            </w:r>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65" w:name="XBRL_CS_95dc6f75ef024335b794c4af97bf9f62"/>
            <w:bookmarkEnd w:id="1365"/>
            <w:bookmarkStart w:id="1366" w:name="95dc6f75ef024335b794c4af97bf9f62"/>
            <w:bookmarkStart w:id="1367" w:name="XBRL_CE_95dc6f75ef024335b794c4af97bf9f62"/>
            <w:bookmarkEnd w:id="1366"/>
            <w:bookmarkEnd w:id="1367"/>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68" w:name="XBRL_CS_20fe93ed3f7748a4a903fe3d1296e1a2"/>
            <w:bookmarkEnd w:id="1368"/>
            <w:bookmarkStart w:id="1369" w:name="20fe93ed3f7748a4a903fe3d1296e1a2"/>
            <w:bookmarkStart w:id="1370" w:name="XBRL_CE_20fe93ed3f7748a4a903fe3d1296e1a2"/>
            <w:bookmarkEnd w:id="1369"/>
            <w:bookmarkEnd w:id="1370"/>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71" w:name="XBRL_CS_690516a11c374b2da32a15bf11902c46"/>
            <w:bookmarkEnd w:id="1371"/>
            <w:bookmarkStart w:id="1372" w:name="690516a11c374b2da32a15bf11902c46"/>
            <w:bookmarkStart w:id="1373" w:name="XBRL_CE_690516a11c374b2da32a15bf11902c46"/>
            <w:bookmarkEnd w:id="1372"/>
            <w:bookmarkEnd w:id="1373"/>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7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74" w:name="XBRL_CS_1160cae061234751bbed888f07a29f84"/>
            <w:bookmarkEnd w:id="1374"/>
            <w:bookmarkStart w:id="1375" w:name="1160cae061234751bbed888f07a29f84"/>
            <w:bookmarkStart w:id="1376" w:name="XBRL_CE_1160cae061234751bbed888f07a29f84"/>
            <w:bookmarkEnd w:id="1375"/>
            <w:bookmarkEnd w:id="1376"/>
          </w:p>
        </w:tc>
        <w:tc>
          <w:tcPr>
            <w:tcW w:w="127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77" w:name="XBRL_CS_fa4681c218ba46ef845eb4e2b193ada8"/>
            <w:bookmarkEnd w:id="1377"/>
            <w:bookmarkStart w:id="1378" w:name="fa4681c218ba46ef845eb4e2b193ada8"/>
            <w:r>
              <w:rPr>
                <w:rFonts w:ascii="Arial" w:eastAsia="Arial" w:hAnsi="Arial" w:cs="Arial"/>
                <w:b w:val="0"/>
                <w:i w:val="0"/>
                <w:strike w:val="0"/>
                <w:color w:val="000000"/>
                <w:sz w:val="13"/>
                <w:u w:val="none"/>
                <w:vertAlign w:val="baseline"/>
              </w:rPr>
              <w:t>-284</w:t>
            </w:r>
            <w:bookmarkStart w:id="1379" w:name="XBRL_CE_fa4681c218ba46ef845eb4e2b193ada8"/>
            <w:bookmarkEnd w:id="1378"/>
            <w:bookmarkEnd w:id="1379"/>
          </w:p>
        </w:tc>
        <w:tc>
          <w:tcPr>
            <w:tcW w:w="127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80" w:name="XBRL_CS_53d890532b164397b935df68c9e6663e"/>
            <w:bookmarkEnd w:id="1380"/>
            <w:bookmarkStart w:id="1381" w:name="53d890532b164397b935df68c9e6663e"/>
            <w:r>
              <w:rPr>
                <w:rFonts w:ascii="Arial" w:eastAsia="Arial" w:hAnsi="Arial" w:cs="Arial"/>
                <w:b w:val="0"/>
                <w:i w:val="0"/>
                <w:strike w:val="0"/>
                <w:color w:val="000000"/>
                <w:sz w:val="13"/>
                <w:u w:val="none"/>
                <w:vertAlign w:val="baseline"/>
              </w:rPr>
              <w:t>-284</w:t>
            </w:r>
            <w:bookmarkStart w:id="1382" w:name="XBRL_CE_53d890532b164397b935df68c9e6663e"/>
            <w:bookmarkEnd w:id="1381"/>
            <w:bookmarkEnd w:id="1382"/>
          </w:p>
        </w:tc>
        <w:tc>
          <w:tcPr>
            <w:tcW w:w="127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83" w:name="XBRL_CS_80557a76445f464baffad128f6eee343"/>
            <w:bookmarkEnd w:id="1383"/>
            <w:bookmarkStart w:id="1384" w:name="80557a76445f464baffad128f6eee343"/>
            <w:r>
              <w:rPr>
                <w:rFonts w:ascii="Arial" w:eastAsia="Arial" w:hAnsi="Arial" w:cs="Arial"/>
                <w:b w:val="0"/>
                <w:i w:val="0"/>
                <w:strike w:val="0"/>
                <w:color w:val="000000"/>
                <w:sz w:val="13"/>
                <w:u w:val="none"/>
                <w:vertAlign w:val="baseline"/>
              </w:rPr>
              <w:t>-2</w:t>
            </w:r>
            <w:bookmarkStart w:id="1385" w:name="XBRL_CE_80557a76445f464baffad128f6eee343"/>
            <w:bookmarkEnd w:id="1384"/>
            <w:bookmarkEnd w:id="1385"/>
          </w:p>
        </w:tc>
        <w:tc>
          <w:tcPr>
            <w:tcW w:w="127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86" w:name="XBRL_CS_3bf5a46ed2a144f3a79f0c70a4151119"/>
            <w:bookmarkEnd w:id="1386"/>
            <w:bookmarkStart w:id="1387" w:name="3bf5a46ed2a144f3a79f0c70a4151119"/>
            <w:r>
              <w:rPr>
                <w:rFonts w:ascii="Arial" w:eastAsia="Arial" w:hAnsi="Arial" w:cs="Arial"/>
                <w:b w:val="0"/>
                <w:i w:val="0"/>
                <w:strike w:val="0"/>
                <w:color w:val="000000"/>
                <w:sz w:val="13"/>
                <w:u w:val="none"/>
                <w:vertAlign w:val="baseline"/>
              </w:rPr>
              <w:t>-286</w:t>
            </w:r>
            <w:bookmarkStart w:id="1388" w:name="XBRL_CE_3bf5a46ed2a144f3a79f0c70a4151119"/>
            <w:bookmarkEnd w:id="1387"/>
            <w:bookmarkEnd w:id="1388"/>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4" w:space="0" w:color="004A6B"/>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muutokset</w:t>
            </w:r>
          </w:p>
        </w:tc>
        <w:tc>
          <w:tcPr>
            <w:tcW w:w="127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7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7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7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7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7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89" w:name="XBRL_CS_badb219fcb974986949fc22bfab56196"/>
            <w:bookmarkEnd w:id="1389"/>
            <w:bookmarkStart w:id="1390" w:name="badb219fcb974986949fc22bfab56196"/>
            <w:r>
              <w:rPr>
                <w:rFonts w:ascii="Arial" w:eastAsia="Arial" w:hAnsi="Arial" w:cs="Arial"/>
                <w:b w:val="0"/>
                <w:i w:val="0"/>
                <w:strike w:val="0"/>
                <w:color w:val="000000"/>
                <w:sz w:val="13"/>
                <w:u w:val="none"/>
                <w:vertAlign w:val="baseline"/>
              </w:rPr>
              <w:t>7</w:t>
            </w:r>
            <w:bookmarkStart w:id="1391" w:name="XBRL_CE_badb219fcb974986949fc22bfab56196"/>
            <w:bookmarkEnd w:id="1390"/>
            <w:bookmarkEnd w:id="1391"/>
          </w:p>
        </w:tc>
        <w:tc>
          <w:tcPr>
            <w:tcW w:w="127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92" w:name="XBRL_CS_2c3863eda18e47bc92b87a5de7179ef9"/>
            <w:bookmarkEnd w:id="1392"/>
            <w:bookmarkStart w:id="1393" w:name="2c3863eda18e47bc92b87a5de7179ef9"/>
            <w:r>
              <w:rPr>
                <w:rFonts w:ascii="Arial" w:eastAsia="Arial" w:hAnsi="Arial" w:cs="Arial"/>
                <w:b w:val="0"/>
                <w:i w:val="0"/>
                <w:strike w:val="0"/>
                <w:color w:val="000000"/>
                <w:sz w:val="13"/>
                <w:u w:val="none"/>
                <w:vertAlign w:val="baseline"/>
              </w:rPr>
              <w:t>7</w:t>
            </w:r>
            <w:bookmarkStart w:id="1394" w:name="XBRL_CE_2c3863eda18e47bc92b87a5de7179ef9"/>
            <w:bookmarkEnd w:id="1393"/>
            <w:bookmarkEnd w:id="1394"/>
          </w:p>
        </w:tc>
        <w:tc>
          <w:tcPr>
            <w:tcW w:w="127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95" w:name="XBRL_CS_6fda15b285aa4bddbc8003787b82b128"/>
            <w:bookmarkEnd w:id="1395"/>
            <w:bookmarkStart w:id="1396" w:name="6fda15b285aa4bddbc8003787b82b128"/>
            <w:bookmarkStart w:id="1397" w:name="XBRL_CE_6fda15b285aa4bddbc8003787b82b128"/>
            <w:bookmarkEnd w:id="1396"/>
            <w:bookmarkEnd w:id="1397"/>
          </w:p>
        </w:tc>
        <w:tc>
          <w:tcPr>
            <w:tcW w:w="127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398" w:name="XBRL_CS_628a49938f4444fd9ae3d5831bdfead7"/>
            <w:bookmarkEnd w:id="1398"/>
            <w:bookmarkStart w:id="1399" w:name="628a49938f4444fd9ae3d5831bdfead7"/>
            <w:r>
              <w:rPr>
                <w:rFonts w:ascii="Arial" w:eastAsia="Arial" w:hAnsi="Arial" w:cs="Arial"/>
                <w:b w:val="0"/>
                <w:i w:val="0"/>
                <w:strike w:val="0"/>
                <w:color w:val="000000"/>
                <w:sz w:val="13"/>
                <w:u w:val="none"/>
                <w:vertAlign w:val="baseline"/>
              </w:rPr>
              <w:t>7</w:t>
            </w:r>
            <w:bookmarkStart w:id="1400" w:name="XBRL_CE_628a49938f4444fd9ae3d5831bdfead7"/>
            <w:bookmarkEnd w:id="1399"/>
            <w:bookmarkEnd w:id="1400"/>
          </w:p>
        </w:tc>
      </w:tr>
      <w:tr>
        <w:tblPrEx>
          <w:tblW w:w="15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25" w:type="dxa"/>
            <w:tcBorders>
              <w:top w:val="single" w:sz="8" w:space="0" w:color="0F172B"/>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Oma pääoma 31.12.2020</w:t>
            </w:r>
          </w:p>
        </w:tc>
        <w:tc>
          <w:tcPr>
            <w:tcW w:w="127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401" w:name="XBRL_CS_571247b225c14c31a108007540963129"/>
            <w:bookmarkEnd w:id="1401"/>
            <w:bookmarkStart w:id="1402" w:name="571247b225c14c31a108007540963129"/>
            <w:r>
              <w:rPr>
                <w:rFonts w:ascii="Arial" w:eastAsia="Arial" w:hAnsi="Arial" w:cs="Arial"/>
                <w:b w:val="0"/>
                <w:i w:val="0"/>
                <w:strike w:val="0"/>
                <w:color w:val="000000"/>
                <w:sz w:val="13"/>
                <w:u w:val="none"/>
                <w:vertAlign w:val="baseline"/>
              </w:rPr>
              <w:t>336</w:t>
            </w:r>
            <w:bookmarkStart w:id="1403" w:name="XBRL_CE_571247b225c14c31a108007540963129"/>
            <w:bookmarkEnd w:id="1402"/>
            <w:bookmarkEnd w:id="1403"/>
          </w:p>
        </w:tc>
        <w:tc>
          <w:tcPr>
            <w:tcW w:w="127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404" w:name="XBRL_CS_76b119bc091449e0b36ecb53d5796529"/>
            <w:bookmarkEnd w:id="1404"/>
            <w:bookmarkStart w:id="1405" w:name="76b119bc091449e0b36ecb53d5796529"/>
            <w:r>
              <w:rPr>
                <w:rFonts w:ascii="Arial" w:eastAsia="Arial" w:hAnsi="Arial" w:cs="Arial"/>
                <w:b w:val="0"/>
                <w:i w:val="0"/>
                <w:strike w:val="0"/>
                <w:color w:val="000000"/>
                <w:sz w:val="13"/>
                <w:u w:val="none"/>
                <w:vertAlign w:val="baseline"/>
              </w:rPr>
              <w:t>61</w:t>
            </w:r>
            <w:bookmarkStart w:id="1406" w:name="XBRL_CE_76b119bc091449e0b36ecb53d5796529"/>
            <w:bookmarkEnd w:id="1405"/>
            <w:bookmarkEnd w:id="1406"/>
          </w:p>
        </w:tc>
        <w:tc>
          <w:tcPr>
            <w:tcW w:w="127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407" w:name="XBRL_CS_f61f9eefe95d46a6a0ec56b13cadcf92"/>
            <w:bookmarkEnd w:id="1407"/>
            <w:bookmarkStart w:id="1408" w:name="f61f9eefe95d46a6a0ec56b13cadcf92"/>
            <w:r>
              <w:rPr>
                <w:rFonts w:ascii="Arial" w:eastAsia="Arial" w:hAnsi="Arial" w:cs="Arial"/>
                <w:b w:val="0"/>
                <w:i w:val="0"/>
                <w:strike w:val="0"/>
                <w:color w:val="000000"/>
                <w:sz w:val="13"/>
                <w:u w:val="none"/>
                <w:vertAlign w:val="baseline"/>
              </w:rPr>
              <w:t>-197</w:t>
            </w:r>
            <w:bookmarkStart w:id="1409" w:name="XBRL_CE_f61f9eefe95d46a6a0ec56b13cadcf92"/>
            <w:bookmarkEnd w:id="1408"/>
            <w:bookmarkEnd w:id="1409"/>
          </w:p>
        </w:tc>
        <w:tc>
          <w:tcPr>
            <w:tcW w:w="127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410" w:name="XBRL_CS_bd68451ee4554694ab06b2bbcbf321bc"/>
            <w:bookmarkEnd w:id="1410"/>
            <w:bookmarkStart w:id="1411" w:name="bd68451ee4554694ab06b2bbcbf321bc"/>
            <w:r>
              <w:rPr>
                <w:rFonts w:ascii="Arial" w:eastAsia="Arial" w:hAnsi="Arial" w:cs="Arial"/>
                <w:b w:val="0"/>
                <w:i w:val="0"/>
                <w:strike w:val="0"/>
                <w:color w:val="000000"/>
                <w:sz w:val="13"/>
                <w:u w:val="none"/>
                <w:vertAlign w:val="baseline"/>
              </w:rPr>
              <w:t>-9</w:t>
            </w:r>
            <w:bookmarkStart w:id="1412" w:name="XBRL_CE_bd68451ee4554694ab06b2bbcbf321bc"/>
            <w:bookmarkEnd w:id="1411"/>
            <w:bookmarkEnd w:id="1412"/>
          </w:p>
        </w:tc>
        <w:tc>
          <w:tcPr>
            <w:tcW w:w="127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413" w:name="XBRL_CS_3e2b6655959342a6a5960fee65e69899"/>
            <w:bookmarkEnd w:id="1413"/>
            <w:bookmarkStart w:id="1414" w:name="3e2b6655959342a6a5960fee65e69899"/>
            <w:r>
              <w:rPr>
                <w:rFonts w:ascii="Arial" w:eastAsia="Arial" w:hAnsi="Arial" w:cs="Arial"/>
                <w:b w:val="0"/>
                <w:i w:val="0"/>
                <w:strike w:val="0"/>
                <w:color w:val="000000"/>
                <w:sz w:val="13"/>
                <w:u w:val="none"/>
                <w:vertAlign w:val="baseline"/>
              </w:rPr>
              <w:t>-45</w:t>
            </w:r>
            <w:bookmarkStart w:id="1415" w:name="XBRL_CE_3e2b6655959342a6a5960fee65e69899"/>
            <w:bookmarkEnd w:id="1414"/>
            <w:bookmarkEnd w:id="1415"/>
          </w:p>
        </w:tc>
        <w:tc>
          <w:tcPr>
            <w:tcW w:w="127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416" w:name="XBRL_CS_b069ca08f3da4bbbbaaa7b29b70e9edb"/>
            <w:bookmarkEnd w:id="1416"/>
            <w:bookmarkStart w:id="1417" w:name="b069ca08f3da4bbbbaaa7b29b70e9edb"/>
            <w:r>
              <w:rPr>
                <w:rFonts w:ascii="Arial" w:eastAsia="Arial" w:hAnsi="Arial" w:cs="Arial"/>
                <w:b w:val="0"/>
                <w:i w:val="0"/>
                <w:strike w:val="0"/>
                <w:color w:val="000000"/>
                <w:sz w:val="13"/>
                <w:u w:val="none"/>
                <w:vertAlign w:val="baseline"/>
              </w:rPr>
              <w:t>2 030</w:t>
            </w:r>
            <w:bookmarkStart w:id="1418" w:name="XBRL_CE_b069ca08f3da4bbbbaaa7b29b70e9edb"/>
            <w:bookmarkEnd w:id="1417"/>
            <w:bookmarkEnd w:id="1418"/>
          </w:p>
        </w:tc>
        <w:tc>
          <w:tcPr>
            <w:tcW w:w="127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419" w:name="XBRL_CS_fdef8f0f52604b12bc8c7346257017af"/>
            <w:bookmarkEnd w:id="1419"/>
            <w:bookmarkStart w:id="1420" w:name="fdef8f0f52604b12bc8c7346257017af"/>
            <w:r>
              <w:rPr>
                <w:rFonts w:ascii="Arial" w:eastAsia="Arial" w:hAnsi="Arial" w:cs="Arial"/>
                <w:b w:val="0"/>
                <w:i w:val="0"/>
                <w:strike w:val="0"/>
                <w:color w:val="000000"/>
                <w:sz w:val="13"/>
                <w:u w:val="none"/>
                <w:vertAlign w:val="baseline"/>
              </w:rPr>
              <w:t>2 177</w:t>
            </w:r>
            <w:bookmarkStart w:id="1421" w:name="XBRL_CE_fdef8f0f52604b12bc8c7346257017af"/>
            <w:bookmarkEnd w:id="1420"/>
            <w:bookmarkEnd w:id="1421"/>
          </w:p>
        </w:tc>
        <w:tc>
          <w:tcPr>
            <w:tcW w:w="127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422" w:name="XBRL_CS_7a3566f2cb3f4cd3bce86aa7072859d8"/>
            <w:bookmarkEnd w:id="1422"/>
            <w:bookmarkStart w:id="1423" w:name="7a3566f2cb3f4cd3bce86aa7072859d8"/>
            <w:r>
              <w:rPr>
                <w:rFonts w:ascii="Arial" w:eastAsia="Arial" w:hAnsi="Arial" w:cs="Arial"/>
                <w:b w:val="0"/>
                <w:i w:val="0"/>
                <w:strike w:val="0"/>
                <w:color w:val="000000"/>
                <w:sz w:val="13"/>
                <w:u w:val="none"/>
                <w:vertAlign w:val="baseline"/>
              </w:rPr>
              <w:t>11</w:t>
            </w:r>
            <w:bookmarkStart w:id="1424" w:name="XBRL_CE_7a3566f2cb3f4cd3bce86aa7072859d8"/>
            <w:bookmarkEnd w:id="1423"/>
            <w:bookmarkEnd w:id="1424"/>
          </w:p>
        </w:tc>
        <w:tc>
          <w:tcPr>
            <w:tcW w:w="127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bookmarkStart w:id="1425" w:name="XBRL_CS_aa3d1cf54af44c9886660388a149f6b0"/>
            <w:bookmarkEnd w:id="1425"/>
            <w:bookmarkStart w:id="1426" w:name="aa3d1cf54af44c9886660388a149f6b0"/>
            <w:r>
              <w:rPr>
                <w:rFonts w:ascii="Arial" w:eastAsia="Arial" w:hAnsi="Arial" w:cs="Arial"/>
                <w:b w:val="0"/>
                <w:i w:val="0"/>
                <w:strike w:val="0"/>
                <w:color w:val="000000"/>
                <w:sz w:val="13"/>
                <w:u w:val="none"/>
                <w:vertAlign w:val="baseline"/>
              </w:rPr>
              <w:t>2 188</w:t>
            </w:r>
            <w:bookmarkStart w:id="1427" w:name="XBRL_CE_aa3d1cf54af44c9886660388a149f6b0"/>
            <w:bookmarkEnd w:id="1426"/>
            <w:bookmarkEnd w:id="1427"/>
          </w:p>
        </w:tc>
      </w:tr>
    </w:tbl>
    <w:p w:rsidR="00A52490" w:rsidP="002642EE" w14:paraId="03BEF7BA" w14:textId="77777777">
      <w:pPr>
        <w:pStyle w:val="Bodytext2"/>
        <w:rPr>
          <w:lang w:val="fi-FI"/>
        </w:rPr>
      </w:pPr>
      <w:bookmarkStart w:id="1428" w:name="RG_MARKER_7423"/>
      <w:bookmarkEnd w:id="1428"/>
    </w:p>
    <w:p w:rsidR="004F79AC" w:rsidP="002642EE" w14:paraId="6CA3471F" w14:textId="7A10751F">
      <w:pPr>
        <w:pStyle w:val="Bodytext2"/>
        <w:rPr>
          <w:lang w:val="fi-FI"/>
        </w:rPr>
      </w:pPr>
      <w:r w:rsidRPr="004F79AC">
        <w:rPr>
          <w:lang w:val="fi-FI"/>
        </w:rPr>
        <w:t xml:space="preserve">Lisätietoja osakepääomasta, ylikurssirahastosta, muuntoeroista ja arvonmuutosrahastosta esitetään liitetiedossa </w:t>
      </w:r>
      <w:r>
        <w:rPr>
          <w:lang w:val="fi-FI"/>
        </w:rPr>
        <w:t>5.5</w:t>
      </w:r>
      <w:r w:rsidRPr="004F79AC">
        <w:rPr>
          <w:lang w:val="fi-FI"/>
        </w:rPr>
        <w:t>. Oma pääoma.</w:t>
      </w:r>
    </w:p>
    <w:p w:rsidR="004F79AC" w:rsidP="002642EE" w14:paraId="5C8CDA77" w14:textId="77777777">
      <w:pPr>
        <w:pStyle w:val="Bodytext2"/>
        <w:rPr>
          <w:lang w:val="fi-FI"/>
        </w:rPr>
      </w:pPr>
    </w:p>
    <w:p w:rsidR="002642EE" w:rsidRPr="000B44F7" w:rsidP="002642EE" w14:textId="4EEC5BDC">
      <w:pPr>
        <w:pStyle w:val="Bodytext2"/>
        <w:rPr>
          <w:sz w:val="2"/>
          <w:szCs w:val="2"/>
          <w:lang w:val="fi-FI"/>
        </w:rPr>
        <w:sectPr w:rsidSect="00A252C5">
          <w:headerReference w:type="even" r:id="rId52"/>
          <w:headerReference w:type="default" r:id="rId53"/>
          <w:footerReference w:type="even" r:id="rId54"/>
          <w:footerReference w:type="default" r:id="rId55"/>
          <w:headerReference w:type="first" r:id="rId56"/>
          <w:footerReference w:type="first" r:id="rId57"/>
          <w:type w:val="continuous"/>
          <w:pgSz w:w="16838" w:h="11906" w:orient="landscape"/>
          <w:pgMar w:top="1814" w:right="737" w:bottom="1247" w:left="737" w:header="720" w:footer="720" w:gutter="0"/>
          <w:pgBorders w:zOrder="front" w:display="allPages" w:offsetFrom="text">
            <w:top w:val="nil"/>
            <w:left w:val="nil"/>
            <w:bottom w:val="nil"/>
            <w:right w:val="nil"/>
          </w:pgBorders>
          <w:cols w:space="720"/>
          <w:vAlign w:val="top"/>
          <w:titlePg w:val="0"/>
          <w:rtlGutter w:val="0"/>
          <w:docGrid w:linePitch="360"/>
        </w:sectPr>
      </w:pPr>
      <w:r w:rsidRPr="000B44F7">
        <w:rPr>
          <w:lang w:val="fi-FI"/>
        </w:rPr>
        <w:t>Liitetiedot ovat osa tätä tilinpäätöstä.</w:t>
      </w:r>
      <w:r w:rsidRPr="000B44F7">
        <w:rPr>
          <w:sz w:val="2"/>
          <w:szCs w:val="2"/>
          <w:lang w:val="fi-FI"/>
        </w:rPr>
        <w:br w:type="column"/>
      </w:r>
    </w:p>
    <w:p w:rsidR="009E2194" w:rsidP="00D006E1" w14:paraId="5E0E9183" w14:textId="77777777">
      <w:pPr>
        <w:pStyle w:val="Heading11"/>
        <w:rPr>
          <w:lang w:val="fi-FI"/>
        </w:rPr>
      </w:pPr>
      <w:bookmarkStart w:id="1429" w:name="RG_MARKER_7300"/>
      <w:bookmarkStart w:id="1430" w:name="RG_MARKER_7427"/>
      <w:r>
        <w:rPr>
          <w:noProof/>
          <w:lang w:val="fi-FI"/>
        </w:rPr>
        <w:drawing>
          <wp:anchor distT="0" distB="0" distL="114300" distR="114300" simplePos="0" relativeHeight="251668480" behindDoc="1" locked="0" layoutInCell="1" allowOverlap="1">
            <wp:simplePos x="0" y="0"/>
            <wp:positionH relativeFrom="page">
              <wp:posOffset>0</wp:posOffset>
            </wp:positionH>
            <wp:positionV relativeFrom="page">
              <wp:posOffset>1155700</wp:posOffset>
            </wp:positionV>
            <wp:extent cx="5115600" cy="5580000"/>
            <wp:effectExtent l="0" t="0" r="8890" b="1905"/>
            <wp:wrapNone/>
            <wp:docPr id="13412233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636734" name="Picture 2"/>
                    <pic:cNvPicPr>
                      <a:picLocks noChangeAspect="1" noChangeArrowheads="1"/>
                    </pic:cNvPicPr>
                  </pic:nvPicPr>
                  <pic:blipFill>
                    <a:blip xmlns:r="http://schemas.openxmlformats.org/officeDocument/2006/relationships" r:embed="rId58">
                      <a:extLst>
                        <a:ext xmlns:a="http://schemas.openxmlformats.org/drawingml/2006/main" uri="{28A0092B-C50C-407E-A947-70E740481C1C}">
                          <a14:useLocalDpi xmlns:a14="http://schemas.microsoft.com/office/drawing/2010/main" val="0"/>
                        </a:ext>
                      </a:extLst>
                    </a:blip>
                    <a:stretch>
                      <a:fillRect/>
                    </a:stretch>
                  </pic:blipFill>
                  <pic:spPr bwMode="auto">
                    <a:xfrm>
                      <a:off x="0" y="0"/>
                      <a:ext cx="5115600" cy="5580000"/>
                    </a:xfrm>
                    <a:prstGeom prst="rect">
                      <a:avLst/>
                    </a:prstGeom>
                    <a:noFill/>
                  </pic:spPr>
                </pic:pic>
              </a:graphicData>
            </a:graphic>
            <wp14:sizeRelH relativeFrom="margin">
              <wp14:pctWidth>0</wp14:pctWidth>
            </wp14:sizeRelH>
            <wp14:sizeRelV relativeFrom="margin">
              <wp14:pctHeight>0</wp14:pctHeight>
            </wp14:sizeRelV>
          </wp:anchor>
        </w:drawing>
      </w:r>
      <w:bookmarkEnd w:id="1430"/>
      <w:bookmarkEnd w:id="1429"/>
    </w:p>
    <w:p w:rsidR="009E2194" w:rsidP="00D006E1" w14:paraId="6FF13610" w14:textId="77777777">
      <w:pPr>
        <w:pStyle w:val="Heading11"/>
        <w:rPr>
          <w:lang w:val="fi-FI"/>
        </w:rPr>
      </w:pPr>
    </w:p>
    <w:p w:rsidR="009E2194" w:rsidP="00D006E1" w14:paraId="13B3FE19" w14:textId="77777777">
      <w:pPr>
        <w:pStyle w:val="Heading11"/>
        <w:rPr>
          <w:lang w:val="fi-FI"/>
        </w:rPr>
      </w:pPr>
    </w:p>
    <w:p w:rsidR="009E2194" w:rsidP="00D006E1" w14:paraId="7B27C957" w14:textId="77777777">
      <w:pPr>
        <w:pStyle w:val="Heading11"/>
        <w:rPr>
          <w:lang w:val="fi-FI"/>
        </w:rPr>
      </w:pPr>
    </w:p>
    <w:p w:rsidR="009E2194" w:rsidP="00D006E1" w14:paraId="4063FAA7" w14:textId="77777777">
      <w:pPr>
        <w:pStyle w:val="Heading11"/>
        <w:rPr>
          <w:lang w:val="fi-FI"/>
        </w:rPr>
      </w:pPr>
    </w:p>
    <w:p w:rsidR="009E2194" w:rsidP="00D006E1" w14:paraId="5693AFCF" w14:textId="77777777">
      <w:pPr>
        <w:pStyle w:val="Heading11"/>
        <w:rPr>
          <w:lang w:val="fi-FI"/>
        </w:rPr>
      </w:pPr>
    </w:p>
    <w:p w:rsidR="009E2194" w:rsidP="00D006E1" w14:paraId="7ACC7B8D" w14:textId="77777777">
      <w:pPr>
        <w:pStyle w:val="Heading11"/>
        <w:rPr>
          <w:lang w:val="fi-FI"/>
        </w:rPr>
      </w:pPr>
    </w:p>
    <w:p w:rsidR="009E2194" w:rsidP="00D006E1" w14:paraId="11ACCAE2" w14:textId="77777777">
      <w:pPr>
        <w:pStyle w:val="Heading11"/>
        <w:rPr>
          <w:lang w:val="fi-FI"/>
        </w:rPr>
      </w:pPr>
    </w:p>
    <w:p w:rsidR="009E2194" w:rsidP="00D006E1" w14:paraId="2CF000EB" w14:textId="77777777">
      <w:pPr>
        <w:pStyle w:val="Heading11"/>
        <w:rPr>
          <w:lang w:val="fi-FI"/>
        </w:rPr>
      </w:pPr>
    </w:p>
    <w:p w:rsidR="009E2194" w:rsidP="00D006E1" w14:paraId="0E5FEF6C" w14:textId="77777777">
      <w:pPr>
        <w:pStyle w:val="Heading11"/>
        <w:rPr>
          <w:lang w:val="fi-FI"/>
        </w:rPr>
      </w:pPr>
    </w:p>
    <w:p w:rsidR="009E2194" w:rsidP="00D006E1" w14:paraId="1170B09E" w14:textId="77777777">
      <w:pPr>
        <w:pStyle w:val="Heading11"/>
        <w:rPr>
          <w:lang w:val="fi-FI"/>
        </w:rPr>
      </w:pPr>
    </w:p>
    <w:p w:rsidR="009E2194" w:rsidP="00D006E1" w14:paraId="2B346196" w14:textId="77777777">
      <w:pPr>
        <w:pStyle w:val="Heading11"/>
        <w:rPr>
          <w:lang w:val="fi-FI"/>
        </w:rPr>
      </w:pPr>
    </w:p>
    <w:p w:rsidR="009E2194" w:rsidP="00D006E1" w14:paraId="13907636" w14:textId="77777777">
      <w:pPr>
        <w:pStyle w:val="Heading11"/>
        <w:rPr>
          <w:lang w:val="fi-FI"/>
        </w:rPr>
      </w:pPr>
    </w:p>
    <w:p w:rsidR="009E2194" w:rsidP="00D006E1" w14:paraId="2813AA5E" w14:textId="77777777">
      <w:pPr>
        <w:pStyle w:val="Heading11"/>
        <w:rPr>
          <w:lang w:val="fi-FI"/>
        </w:rPr>
      </w:pPr>
    </w:p>
    <w:p w:rsidR="009E2194" w:rsidP="00D006E1" w14:paraId="157BAD32" w14:textId="77777777">
      <w:pPr>
        <w:pStyle w:val="Heading11"/>
        <w:rPr>
          <w:lang w:val="fi-FI"/>
        </w:rPr>
      </w:pPr>
    </w:p>
    <w:p w:rsidR="009E2194" w:rsidP="00D006E1" w14:paraId="44B010DC" w14:textId="77777777">
      <w:pPr>
        <w:pStyle w:val="Heading11"/>
        <w:rPr>
          <w:lang w:val="fi-FI"/>
        </w:rPr>
      </w:pPr>
    </w:p>
    <w:p w:rsidR="009E2194" w:rsidP="00D006E1" w14:paraId="31839C84" w14:textId="77777777">
      <w:pPr>
        <w:pStyle w:val="Heading11"/>
        <w:rPr>
          <w:lang w:val="fi-FI"/>
        </w:rPr>
      </w:pPr>
    </w:p>
    <w:p w:rsidR="00D006E1" w:rsidRPr="00C366B1" w:rsidP="00D006E1" w14:paraId="21185091" w14:textId="77777777">
      <w:pPr>
        <w:pStyle w:val="Heading11"/>
        <w:rPr>
          <w:lang w:val="fi-FI"/>
        </w:rPr>
      </w:pPr>
      <w:r w:rsidRPr="00C366B1">
        <w:rPr>
          <w:lang w:val="fi-FI"/>
        </w:rPr>
        <w:t>KONSERNITILINPÄÄTÖKSEN LIITETIEDOT</w:t>
      </w:r>
    </w:p>
    <w:p w:rsidR="00D006E1" w:rsidP="00D006E1" w14:paraId="3CD791A2" w14:textId="77777777">
      <w:pPr>
        <w:pStyle w:val="Heading11"/>
        <w:rPr>
          <w:lang w:val="fi-FI"/>
        </w:rPr>
      </w:pPr>
      <w:r w:rsidRPr="00C366B1">
        <w:rPr>
          <w:lang w:val="fi-FI"/>
        </w:rPr>
        <w:t>1. LAADINTAPERIAATTEET</w:t>
      </w:r>
      <w:r w:rsidR="00CC2470">
        <w:rPr>
          <w:lang w:val="fi-FI"/>
        </w:rPr>
        <w:t xml:space="preserve"> JA MUUT ESITETTÄVÄT TIEDOT</w:t>
      </w:r>
    </w:p>
    <w:p w:rsidR="009E2194" w:rsidRPr="00793153" w:rsidP="009E2194" w14:paraId="34FACE37" w14:textId="77777777">
      <w:pPr>
        <w:pStyle w:val="Heading12"/>
        <w:rPr>
          <w:b w:val="0"/>
          <w:lang w:val="fi-FI"/>
        </w:rPr>
      </w:pPr>
      <w:r>
        <w:rPr>
          <w:noProof/>
        </w:rPr>
        <mc:AlternateContent>
          <mc:Choice Requires="wps">
            <w:drawing>
              <wp:anchor distT="0" distB="0" distL="114300" distR="114300" simplePos="0" relativeHeight="251700224" behindDoc="0" locked="0" layoutInCell="1" allowOverlap="1">
                <wp:simplePos x="0" y="0"/>
                <wp:positionH relativeFrom="column">
                  <wp:posOffset>0</wp:posOffset>
                </wp:positionH>
                <wp:positionV relativeFrom="paragraph">
                  <wp:posOffset>53975</wp:posOffset>
                </wp:positionV>
                <wp:extent cx="4679950" cy="0"/>
                <wp:effectExtent l="19050" t="19050" r="25400" b="19050"/>
                <wp:wrapNone/>
                <wp:docPr id="173993318" name="Straight Connector 5"/>
                <wp:cNvGraphicFramePr/>
                <a:graphic xmlns:a="http://schemas.openxmlformats.org/drawingml/2006/main">
                  <a:graphicData uri="http://schemas.microsoft.com/office/word/2010/wordprocessingShape">
                    <wps:wsp xmlns:wps="http://schemas.microsoft.com/office/word/2010/wordprocessingShape">
                      <wps:cNvCnPr/>
                      <wps:spPr>
                        <a:xfrm>
                          <a:off x="0" y="0"/>
                          <a:ext cx="4679950" cy="0"/>
                        </a:xfrm>
                        <a:prstGeom prst="line">
                          <a:avLst/>
                        </a:prstGeom>
                        <a:ln w="28575" cap="rnd">
                          <a:solidFill>
                            <a:srgbClr val="99B7C4"/>
                          </a:solidFill>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id="Straight Connector 5" o:spid="_x0000_s1031" style="mso-height-percent:0;mso-height-relative:page;mso-width-percent:0;mso-width-relative:margin;mso-wrap-distance-bottom:0;mso-wrap-distance-left:9pt;mso-wrap-distance-right:9pt;mso-wrap-distance-top:0;position:absolute;v-text-anchor:top;z-index:251699200" from="0,4.25pt" to="368.5pt,4.25pt" fillcolor="this" stroked="t" strokecolor="#99b7c4" strokeweight="2.25pt">
                <v:stroke endcap="round"/>
              </v:line>
            </w:pict>
          </mc:Fallback>
        </mc:AlternateContent>
      </w:r>
      <w:bookmarkStart w:id="1431" w:name="_Hlk94217004"/>
    </w:p>
    <w:p w:rsidR="009E2194" w:rsidP="009E2194" w14:paraId="14C5F012" w14:textId="77777777">
      <w:pPr>
        <w:pStyle w:val="Heading12"/>
        <w:rPr>
          <w:b w:val="0"/>
          <w:bCs/>
          <w:color w:val="99B7C4"/>
        </w:rPr>
      </w:pPr>
      <w:r>
        <w:rPr>
          <w:b w:val="0"/>
          <w:bCs/>
          <w:color w:val="99B7C4"/>
        </w:rPr>
        <w:t>Osion sisältö:</w:t>
      </w:r>
    </w:p>
    <w:p w:rsidR="009E2194" w:rsidP="009E2194" w14:paraId="08979F16" w14:textId="77777777">
      <w:pPr>
        <w:pStyle w:val="Heading12"/>
        <w:ind w:left="284"/>
        <w:rPr>
          <w:color w:val="99B7C4"/>
          <w:sz w:val="12"/>
          <w:szCs w:val="12"/>
        </w:rPr>
      </w:pPr>
    </w:p>
    <w:p w:rsidR="009E2194" w:rsidRPr="009E2194" w:rsidP="009E2194" w14:paraId="3BBEB97A" w14:textId="77777777">
      <w:pPr>
        <w:pStyle w:val="Heading12"/>
        <w:ind w:left="284"/>
        <w:rPr>
          <w:color w:val="99B7C4"/>
          <w:lang w:val="fi-FI"/>
        </w:rPr>
      </w:pPr>
      <w:r w:rsidRPr="009E2194">
        <w:rPr>
          <w:color w:val="99B7C4"/>
          <w:lang w:val="fi-FI"/>
        </w:rPr>
        <w:t>1.1. YHTEISÖN TIEDOT</w:t>
      </w:r>
    </w:p>
    <w:p w:rsidR="009E2194" w:rsidRPr="009E2194" w:rsidP="009E2194" w14:paraId="1EDE56C9" w14:textId="77777777">
      <w:pPr>
        <w:pStyle w:val="Heading12"/>
        <w:ind w:left="284"/>
        <w:rPr>
          <w:color w:val="99B7C4"/>
          <w:lang w:val="fi-FI"/>
        </w:rPr>
      </w:pPr>
      <w:r w:rsidRPr="009E2194">
        <w:rPr>
          <w:color w:val="99B7C4"/>
          <w:lang w:val="fi-FI"/>
        </w:rPr>
        <w:t>1.2. LAATIMISPERUSTEET</w:t>
      </w:r>
    </w:p>
    <w:p w:rsidR="009E2194" w:rsidRPr="009E2194" w:rsidP="009E2194" w14:paraId="52B43236" w14:textId="77777777">
      <w:pPr>
        <w:pStyle w:val="Heading12"/>
        <w:ind w:left="284"/>
        <w:rPr>
          <w:color w:val="99B7C4"/>
          <w:lang w:val="fi-FI"/>
        </w:rPr>
      </w:pPr>
      <w:r w:rsidRPr="009E2194">
        <w:rPr>
          <w:color w:val="99B7C4"/>
          <w:lang w:val="fi-FI"/>
        </w:rPr>
        <w:t>1.3. UUDET JA MUUTETUT IFRS</w:t>
      </w:r>
      <w:r>
        <w:rPr>
          <w:color w:val="99B7C4"/>
          <w:lang w:val="fi-FI"/>
        </w:rPr>
        <w:t>-</w:t>
      </w:r>
      <w:r w:rsidRPr="009E2194">
        <w:rPr>
          <w:color w:val="99B7C4"/>
          <w:lang w:val="fi-FI"/>
        </w:rPr>
        <w:t>STANDARD</w:t>
      </w:r>
      <w:r>
        <w:rPr>
          <w:color w:val="99B7C4"/>
          <w:lang w:val="fi-FI"/>
        </w:rPr>
        <w:t>IT</w:t>
      </w:r>
    </w:p>
    <w:p w:rsidR="009E2194" w:rsidP="009E2194" w14:paraId="65F72F9C" w14:textId="77777777">
      <w:pPr>
        <w:pStyle w:val="Heading12"/>
        <w:ind w:left="284"/>
        <w:rPr>
          <w:color w:val="99B7C4"/>
          <w:lang w:val="fi-FI"/>
        </w:rPr>
      </w:pPr>
      <w:r w:rsidRPr="009E2194">
        <w:rPr>
          <w:color w:val="99B7C4"/>
          <w:lang w:val="fi-FI"/>
        </w:rPr>
        <w:t xml:space="preserve">1.4. JOHDON HARKINTAAN PERUSTUVAT </w:t>
      </w:r>
      <w:r w:rsidRPr="009E2194">
        <w:rPr>
          <w:color w:val="99B7C4"/>
          <w:lang w:val="fi-FI"/>
        </w:rPr>
        <w:t>RATKAISUT JA ARVIOIDEN KÄYTTÖ</w:t>
      </w:r>
    </w:p>
    <w:p w:rsidR="00B00E6F" w:rsidP="00B00E6F" w14:paraId="56EA6663" w14:textId="77777777">
      <w:pPr>
        <w:pStyle w:val="Heading12"/>
        <w:ind w:left="284"/>
        <w:rPr>
          <w:color w:val="99B7C4"/>
          <w:lang w:val="fi-FI"/>
        </w:rPr>
      </w:pPr>
      <w:r w:rsidRPr="009E2194">
        <w:rPr>
          <w:color w:val="99B7C4"/>
          <w:lang w:val="fi-FI"/>
        </w:rPr>
        <w:t xml:space="preserve">1.5. </w:t>
      </w:r>
      <w:r w:rsidRPr="00B00E6F">
        <w:rPr>
          <w:color w:val="99B7C4"/>
          <w:lang w:val="fi-FI"/>
        </w:rPr>
        <w:t xml:space="preserve">MUUTOKSET LAADINTAPERIAATTEISSA </w:t>
      </w:r>
    </w:p>
    <w:p w:rsidR="009E2194" w:rsidRPr="009E2194" w:rsidP="00B00E6F" w14:paraId="7966C153" w14:textId="77777777">
      <w:pPr>
        <w:pStyle w:val="Bodytext2"/>
        <w:rPr>
          <w:lang w:val="fi-FI"/>
        </w:rPr>
      </w:pPr>
      <w:r>
        <w:rPr>
          <w:noProof/>
        </w:rPr>
        <mc:AlternateContent>
          <mc:Choice Requires="wps">
            <w:drawing>
              <wp:anchor distT="0" distB="0" distL="114300" distR="114300" simplePos="0" relativeHeight="251683840" behindDoc="0" locked="0" layoutInCell="1" allowOverlap="1">
                <wp:simplePos x="0" y="0"/>
                <wp:positionH relativeFrom="column">
                  <wp:posOffset>0</wp:posOffset>
                </wp:positionH>
                <wp:positionV relativeFrom="paragraph">
                  <wp:posOffset>71755</wp:posOffset>
                </wp:positionV>
                <wp:extent cx="4679950" cy="0"/>
                <wp:effectExtent l="19050" t="19050" r="25400" b="19050"/>
                <wp:wrapNone/>
                <wp:docPr id="4" name="Straight Connector 4"/>
                <wp:cNvGraphicFramePr/>
                <a:graphic xmlns:a="http://schemas.openxmlformats.org/drawingml/2006/main">
                  <a:graphicData uri="http://schemas.microsoft.com/office/word/2010/wordprocessingShape">
                    <wps:wsp xmlns:wps="http://schemas.microsoft.com/office/word/2010/wordprocessingShape">
                      <wps:cNvCnPr/>
                      <wps:spPr>
                        <a:xfrm>
                          <a:off x="0" y="0"/>
                          <a:ext cx="4679950" cy="0"/>
                        </a:xfrm>
                        <a:prstGeom prst="line">
                          <a:avLst/>
                        </a:prstGeom>
                        <a:ln w="28575" cap="rnd">
                          <a:solidFill>
                            <a:srgbClr val="99B7C4"/>
                          </a:solidFill>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id="Straight Connector 4" o:spid="_x0000_s1032" style="mso-height-percent:0;mso-height-relative:page;mso-width-percent:0;mso-width-relative:margin;mso-wrap-distance-bottom:0;mso-wrap-distance-left:9pt;mso-wrap-distance-right:9pt;mso-wrap-distance-top:0;position:absolute;v-text-anchor:top;z-index:251682816" from="0,5.65pt" to="368.5pt,5.65pt" fillcolor="this" stroked="t" strokecolor="#99b7c4" strokeweight="2.25pt">
                <v:stroke endcap="round"/>
              </v:line>
            </w:pict>
          </mc:Fallback>
        </mc:AlternateContent>
      </w:r>
      <w:bookmarkEnd w:id="1431"/>
    </w:p>
    <w:p w:rsidR="009E2194" w:rsidP="009E2194" w14:paraId="7613736D" w14:textId="77777777">
      <w:pPr>
        <w:pStyle w:val="Bodytext2"/>
        <w:rPr>
          <w:lang w:val="fi-FI"/>
        </w:rPr>
      </w:pPr>
    </w:p>
    <w:p w:rsidR="009E2194" w:rsidRPr="009E2194" w:rsidP="009E2194" w14:paraId="63401A8D" w14:textId="77777777">
      <w:pPr>
        <w:pStyle w:val="Bodytext2"/>
        <w:rPr>
          <w:lang w:val="fi-FI"/>
        </w:rPr>
      </w:pPr>
    </w:p>
    <w:p w:rsidR="00CC2470" w:rsidP="00CC2470" w14:paraId="2D477A1A" w14:textId="77777777">
      <w:pPr>
        <w:pStyle w:val="Bodytext2"/>
        <w:rPr>
          <w:lang w:val="fi-FI"/>
        </w:rPr>
      </w:pPr>
      <w:r>
        <w:rPr>
          <w:lang w:val="fi-FI"/>
        </w:rPr>
        <w:t xml:space="preserve">Jotta lukija saisi paremman kokonaiskuvan tilinpäätöksestä, suurin osa konsernitilinpäätöksen laadintaperiaatteista sekä johdon </w:t>
      </w:r>
      <w:r w:rsidRPr="00A77D9E">
        <w:rPr>
          <w:lang w:val="fi-FI"/>
        </w:rPr>
        <w:t>harkintaan perustuv</w:t>
      </w:r>
      <w:r>
        <w:rPr>
          <w:lang w:val="fi-FI"/>
        </w:rPr>
        <w:t>at</w:t>
      </w:r>
      <w:r w:rsidRPr="00A77D9E">
        <w:rPr>
          <w:lang w:val="fi-FI"/>
        </w:rPr>
        <w:t xml:space="preserve"> ratkaisu</w:t>
      </w:r>
      <w:r>
        <w:rPr>
          <w:lang w:val="fi-FI"/>
        </w:rPr>
        <w:t>t, arviot</w:t>
      </w:r>
      <w:r w:rsidRPr="00A77D9E">
        <w:rPr>
          <w:lang w:val="fi-FI"/>
        </w:rPr>
        <w:t xml:space="preserve"> ja oletuks</w:t>
      </w:r>
      <w:r>
        <w:rPr>
          <w:lang w:val="fi-FI"/>
        </w:rPr>
        <w:t>et esitetään asiaankuuluvan liitteen yhteydessä.</w:t>
      </w:r>
    </w:p>
    <w:p w:rsidR="00A77D9E" w:rsidRPr="00CC2470" w:rsidP="00CC2470" w14:paraId="2A23F9FC" w14:textId="77777777">
      <w:pPr>
        <w:pStyle w:val="Bodytext2"/>
        <w:rPr>
          <w:lang w:val="fi-FI"/>
        </w:rPr>
      </w:pPr>
    </w:p>
    <w:p w:rsidR="002642EE" w:rsidRPr="00D006E1" w:rsidP="002642EE" w14:paraId="4139F769" w14:textId="77777777">
      <w:pPr>
        <w:pStyle w:val="Heading12"/>
        <w:rPr>
          <w:lang w:val="fi-FI"/>
        </w:rPr>
      </w:pPr>
      <w:r w:rsidRPr="00D006E1">
        <w:rPr>
          <w:lang w:val="fi-FI"/>
        </w:rPr>
        <w:t>1.1</w:t>
      </w:r>
      <w:r w:rsidR="00213D96">
        <w:rPr>
          <w:lang w:val="fi-FI"/>
        </w:rPr>
        <w:t>.</w:t>
      </w:r>
      <w:r w:rsidRPr="00D006E1">
        <w:rPr>
          <w:lang w:val="fi-FI"/>
        </w:rPr>
        <w:t xml:space="preserve"> </w:t>
      </w:r>
      <w:r w:rsidR="00CC2470">
        <w:rPr>
          <w:lang w:val="fi-FI"/>
        </w:rPr>
        <w:t xml:space="preserve">YHTEISÖN </w:t>
      </w:r>
      <w:r w:rsidRPr="00D006E1" w:rsidR="00D006E1">
        <w:rPr>
          <w:lang w:val="fi-FI"/>
        </w:rPr>
        <w:t>TIEDOT</w:t>
      </w:r>
    </w:p>
    <w:p w:rsidR="00D006E1" w:rsidRPr="00471A94" w:rsidP="00D006E1" w14:paraId="67D56031" w14:textId="77777777">
      <w:pPr>
        <w:pStyle w:val="Bodytext2"/>
        <w:rPr>
          <w:lang w:val="fi-FI"/>
        </w:rPr>
      </w:pPr>
      <w:bookmarkStart w:id="1432" w:name="XBRL_CS_5bfcb0bbc54b4bce9824ad2d7b7d67a9"/>
      <w:r w:rsidRPr="00471A94">
        <w:rPr>
          <w:lang w:val="fi-FI"/>
        </w:rPr>
        <w:t>Wärtsil</w:t>
      </w:r>
      <w:r w:rsidRPr="00471A94">
        <w:rPr>
          <w:lang w:val="fi-FI"/>
        </w:rPr>
        <w:t>ä Oyj Abp</w:t>
      </w:r>
      <w:bookmarkStart w:id="1433" w:name="XBRL_CE_5bfcb0bbc54b4bce9824ad2d7b7d67a9"/>
      <w:bookmarkEnd w:id="1432"/>
      <w:bookmarkEnd w:id="1433"/>
      <w:r w:rsidRPr="00471A94">
        <w:rPr>
          <w:lang w:val="fi-FI"/>
        </w:rPr>
        <w:t xml:space="preserve"> on </w:t>
      </w:r>
      <w:r w:rsidRPr="00225DC5">
        <w:rPr>
          <w:lang w:val="fi-FI"/>
        </w:rPr>
        <w:t xml:space="preserve">pörssinoteerattu </w:t>
      </w:r>
      <w:bookmarkStart w:id="1434" w:name="XBRL_CS_3f7c41dc184049dba45a07e9d5e0b70f"/>
      <w:r w:rsidRPr="00471A94">
        <w:rPr>
          <w:lang w:val="fi-FI"/>
        </w:rPr>
        <w:t>suomalainen</w:t>
      </w:r>
      <w:bookmarkStart w:id="1435" w:name="XBRL_CE_3f7c41dc184049dba45a07e9d5e0b70f"/>
      <w:bookmarkEnd w:id="1434"/>
      <w:bookmarkEnd w:id="1435"/>
      <w:r w:rsidRPr="00471A94">
        <w:rPr>
          <w:lang w:val="fi-FI"/>
        </w:rPr>
        <w:t xml:space="preserve">, Suomen lakien mukaan perustettu yhtiö, jonka kotipaikka on </w:t>
      </w:r>
      <w:bookmarkStart w:id="1436" w:name="XBRL_CS_a5c2ee0440514058a21e9e7f1affed56"/>
      <w:r w:rsidRPr="00471A94">
        <w:rPr>
          <w:lang w:val="fi-FI"/>
        </w:rPr>
        <w:t>Helsinki</w:t>
      </w:r>
      <w:bookmarkStart w:id="1437" w:name="XBRL_CE_a5c2ee0440514058a21e9e7f1affed56"/>
      <w:bookmarkEnd w:id="1436"/>
      <w:bookmarkEnd w:id="1437"/>
      <w:r w:rsidRPr="00471A94">
        <w:rPr>
          <w:lang w:val="fi-FI"/>
        </w:rPr>
        <w:t xml:space="preserve"> ja rekisteröity osoite </w:t>
      </w:r>
      <w:bookmarkStart w:id="1438" w:name="XBRL_CS_aaf043adbf0e4802b03724843235c491"/>
      <w:r w:rsidRPr="00471A94">
        <w:rPr>
          <w:lang w:val="fi-FI"/>
        </w:rPr>
        <w:t>Hiililaiturinkuja 2, 00180 Helsinki</w:t>
      </w:r>
      <w:bookmarkStart w:id="1439" w:name="XBRL_CE_aaf043adbf0e4802b03724843235c491"/>
      <w:bookmarkEnd w:id="1438"/>
      <w:bookmarkEnd w:id="1439"/>
      <w:r w:rsidRPr="00471A94">
        <w:rPr>
          <w:lang w:val="fi-FI"/>
        </w:rPr>
        <w:t xml:space="preserve">. </w:t>
      </w:r>
      <w:bookmarkStart w:id="1440" w:name="XBRL_CS_c50e2af4ee3840ada4005f65a8a3fff2"/>
      <w:r w:rsidRPr="00471A94">
        <w:rPr>
          <w:lang w:val="fi-FI"/>
        </w:rPr>
        <w:t>Wärtsilä Oyj Abp</w:t>
      </w:r>
      <w:bookmarkStart w:id="1441" w:name="XBRL_CE_c50e2af4ee3840ada4005f65a8a3fff2"/>
      <w:bookmarkEnd w:id="1440"/>
      <w:bookmarkEnd w:id="1441"/>
      <w:r w:rsidRPr="00471A94">
        <w:rPr>
          <w:lang w:val="fi-FI"/>
        </w:rPr>
        <w:t xml:space="preserve"> on Wärtsilä-konsernin emoyhtiö.</w:t>
      </w:r>
    </w:p>
    <w:p w:rsidR="00D006E1" w:rsidRPr="0064770A" w:rsidP="00D006E1" w14:paraId="7FD82AF6" w14:textId="77777777">
      <w:pPr>
        <w:pStyle w:val="Bodytext2"/>
        <w:rPr>
          <w:lang w:val="fi-FI"/>
        </w:rPr>
      </w:pPr>
    </w:p>
    <w:p w:rsidR="00D006E1" w:rsidRPr="0064770A" w:rsidP="00D006E1" w14:paraId="22F5268A" w14:textId="77777777">
      <w:pPr>
        <w:pStyle w:val="Bodytext2"/>
        <w:rPr>
          <w:lang w:val="fi-FI"/>
        </w:rPr>
      </w:pPr>
      <w:bookmarkStart w:id="1442" w:name="XBRL_CS_4ef6e02e34b1488da9ffd10f91f6730b"/>
      <w:r w:rsidRPr="0064770A">
        <w:rPr>
          <w:lang w:val="fi-FI"/>
        </w:rPr>
        <w:t>Wärtsilä on kansainvälisesti johtav</w:t>
      </w:r>
      <w:r w:rsidRPr="0064770A">
        <w:rPr>
          <w:lang w:val="fi-FI"/>
        </w:rPr>
        <w:t>a älykkään teknologian ja kokonaiselinkaariratkaisujen toimittaja merenkulku- ja energiamarkkinoilla. Wärtsilä maksimoi asiakkaiden alusten ja voimalaitosten ympäristötehokkuuden ja taloudellisuuden keskittymällä kestäviin innovaatioihin, data-analytiikkaa</w:t>
      </w:r>
      <w:r w:rsidRPr="0064770A">
        <w:rPr>
          <w:lang w:val="fi-FI"/>
        </w:rPr>
        <w:t>n ja kokonaishyötysuhteeseen.</w:t>
      </w:r>
      <w:bookmarkStart w:id="1443" w:name="XBRL_CE_4ef6e02e34b1488da9ffd10f91f6730b"/>
      <w:bookmarkEnd w:id="1442"/>
      <w:bookmarkEnd w:id="1443"/>
    </w:p>
    <w:p w:rsidR="00D006E1" w:rsidRPr="0064770A" w:rsidP="00D006E1" w14:paraId="31D449AF" w14:textId="77777777">
      <w:pPr>
        <w:pStyle w:val="Bodytext2"/>
        <w:rPr>
          <w:lang w:val="fi-FI"/>
        </w:rPr>
      </w:pPr>
    </w:p>
    <w:p w:rsidR="00D006E1" w:rsidRPr="0064770A" w:rsidP="00D006E1" w14:paraId="381B9857" w14:textId="77777777">
      <w:pPr>
        <w:pStyle w:val="Bodytext2"/>
        <w:rPr>
          <w:lang w:val="fi-FI"/>
        </w:rPr>
      </w:pPr>
      <w:r w:rsidRPr="0064770A">
        <w:rPr>
          <w:lang w:val="fi-FI"/>
        </w:rPr>
        <w:t>Vuonna 202</w:t>
      </w:r>
      <w:r w:rsidR="00CC2470">
        <w:rPr>
          <w:lang w:val="fi-FI"/>
        </w:rPr>
        <w:t>1</w:t>
      </w:r>
      <w:r w:rsidRPr="0064770A">
        <w:rPr>
          <w:lang w:val="fi-FI"/>
        </w:rPr>
        <w:t xml:space="preserve"> Wärtsilän liikevaihto oli 4,</w:t>
      </w:r>
      <w:r>
        <w:rPr>
          <w:lang w:val="fi-FI"/>
        </w:rPr>
        <w:t>8</w:t>
      </w:r>
      <w:r w:rsidRPr="0064770A">
        <w:rPr>
          <w:lang w:val="fi-FI"/>
        </w:rPr>
        <w:t xml:space="preserve"> miljardia euroa ja henkilöstömäärä noin 1</w:t>
      </w:r>
      <w:r>
        <w:rPr>
          <w:lang w:val="fi-FI"/>
        </w:rPr>
        <w:t>7</w:t>
      </w:r>
      <w:r w:rsidRPr="0064770A">
        <w:rPr>
          <w:lang w:val="fi-FI"/>
        </w:rPr>
        <w:t>.</w:t>
      </w:r>
      <w:r>
        <w:rPr>
          <w:lang w:val="fi-FI"/>
        </w:rPr>
        <w:t>500</w:t>
      </w:r>
      <w:r w:rsidRPr="0064770A">
        <w:rPr>
          <w:lang w:val="fi-FI"/>
        </w:rPr>
        <w:t xml:space="preserve">. Yrityksellä on yli 200 toimipistettä yli </w:t>
      </w:r>
      <w:r w:rsidR="00DC2AF3">
        <w:rPr>
          <w:lang w:val="fi-FI"/>
        </w:rPr>
        <w:t>7</w:t>
      </w:r>
      <w:r w:rsidRPr="0064770A">
        <w:rPr>
          <w:lang w:val="fi-FI"/>
        </w:rPr>
        <w:t xml:space="preserve">0 maassa eri puolilla maailmaa. </w:t>
      </w:r>
      <w:bookmarkStart w:id="1444" w:name="XBRL_CS_ea0cf9a6dd804c9a8604e863881d9966"/>
      <w:r w:rsidRPr="00BC0E82">
        <w:rPr>
          <w:lang w:val="fi-FI"/>
        </w:rPr>
        <w:t>Wärtsilä</w:t>
      </w:r>
      <w:bookmarkStart w:id="1445" w:name="XBRL_CE_ea0cf9a6dd804c9a8604e863881d9966"/>
      <w:bookmarkEnd w:id="1444"/>
      <w:bookmarkEnd w:id="1445"/>
      <w:r w:rsidRPr="0064770A">
        <w:rPr>
          <w:lang w:val="fi-FI"/>
        </w:rPr>
        <w:t>n osakkeet on listattu Nasdaq Helsingissä.</w:t>
      </w:r>
    </w:p>
    <w:p w:rsidR="00D006E1" w:rsidRPr="0064770A" w:rsidP="00D006E1" w14:paraId="15B00C50" w14:textId="77777777">
      <w:pPr>
        <w:pStyle w:val="Bodytext2"/>
        <w:rPr>
          <w:lang w:val="fi-FI"/>
        </w:rPr>
      </w:pPr>
    </w:p>
    <w:p w:rsidR="002642EE" w:rsidRPr="0064770A" w:rsidP="00D006E1" w14:paraId="1DD51036" w14:textId="77777777">
      <w:pPr>
        <w:pStyle w:val="Bodytext2"/>
        <w:rPr>
          <w:lang w:val="fi-FI"/>
        </w:rPr>
      </w:pPr>
      <w:bookmarkStart w:id="1446" w:name="XBRL_CS_10f4d321e0934cb1afc954b36c98dfba"/>
      <w:r w:rsidRPr="0064770A">
        <w:rPr>
          <w:lang w:val="fi-FI"/>
        </w:rPr>
        <w:t>Wärtsilä</w:t>
      </w:r>
      <w:r w:rsidRPr="0064770A">
        <w:rPr>
          <w:lang w:val="fi-FI"/>
        </w:rPr>
        <w:t xml:space="preserve"> Oyj Abp</w:t>
      </w:r>
      <w:bookmarkStart w:id="1447" w:name="XBRL_CE_10f4d321e0934cb1afc954b36c98dfba"/>
      <w:bookmarkEnd w:id="1446"/>
      <w:bookmarkEnd w:id="1447"/>
      <w:r w:rsidRPr="0064770A">
        <w:rPr>
          <w:lang w:val="fi-FI"/>
        </w:rPr>
        <w:t>:n hallitus on hyväksynyt kokouksessaan 27.1.202</w:t>
      </w:r>
      <w:r w:rsidR="00CC2470">
        <w:rPr>
          <w:lang w:val="fi-FI"/>
        </w:rPr>
        <w:t>2</w:t>
      </w:r>
      <w:r w:rsidRPr="0064770A">
        <w:rPr>
          <w:lang w:val="fi-FI"/>
        </w:rPr>
        <w:t xml:space="preserve"> tämän tilinpäätöksen julkistettavaksi. Suomen osakeyhtiölain mukaan osakkeenomistajilla on oikeus hyväksyä tai hylätä tilinpäätös sen julkistamisen jälkeen pidettävässä yhtiökokouksessa. Yhtiökokouk</w:t>
      </w:r>
      <w:r w:rsidRPr="0064770A">
        <w:rPr>
          <w:lang w:val="fi-FI"/>
        </w:rPr>
        <w:t>sella on myös mahdollisuus tehdä päätös tilinpäätöksen muuttamisesta.</w:t>
      </w:r>
    </w:p>
    <w:p w:rsidR="00D006E1" w:rsidRPr="0064770A" w:rsidP="00D006E1" w14:paraId="11DBB579" w14:textId="77777777">
      <w:pPr>
        <w:pStyle w:val="Bodytext2"/>
        <w:rPr>
          <w:lang w:val="fi-FI"/>
        </w:rPr>
      </w:pPr>
    </w:p>
    <w:p w:rsidR="009E2194" w:rsidP="00D006E1" w14:paraId="34CD8BDE" w14:textId="77777777">
      <w:pPr>
        <w:pStyle w:val="Heading12"/>
        <w:rPr>
          <w:lang w:val="fi-FI"/>
        </w:rPr>
      </w:pPr>
    </w:p>
    <w:p w:rsidR="009E2194" w:rsidP="00D006E1" w14:paraId="4C7BA43B" w14:textId="77777777">
      <w:pPr>
        <w:pStyle w:val="Heading12"/>
        <w:rPr>
          <w:lang w:val="fi-FI"/>
        </w:rPr>
      </w:pPr>
    </w:p>
    <w:p w:rsidR="00D006E1" w:rsidRPr="00D006E1" w:rsidP="00D006E1" w14:paraId="3E584A71" w14:textId="77777777">
      <w:pPr>
        <w:pStyle w:val="Heading12"/>
        <w:rPr>
          <w:lang w:val="fi-FI"/>
        </w:rPr>
      </w:pPr>
      <w:r w:rsidRPr="00D006E1">
        <w:rPr>
          <w:lang w:val="fi-FI"/>
        </w:rPr>
        <w:t>1.2. L</w:t>
      </w:r>
      <w:r>
        <w:rPr>
          <w:lang w:val="fi-FI"/>
        </w:rPr>
        <w:t>AA</w:t>
      </w:r>
      <w:r w:rsidR="00A77D9E">
        <w:rPr>
          <w:lang w:val="fi-FI"/>
        </w:rPr>
        <w:t>TIMIS</w:t>
      </w:r>
      <w:r>
        <w:rPr>
          <w:lang w:val="fi-FI"/>
        </w:rPr>
        <w:t>PER</w:t>
      </w:r>
      <w:r w:rsidR="00A77D9E">
        <w:rPr>
          <w:lang w:val="fi-FI"/>
        </w:rPr>
        <w:t>USTEET</w:t>
      </w:r>
    </w:p>
    <w:p w:rsidR="00D006E1" w:rsidP="00D006E1" w14:paraId="5C2CB72D" w14:textId="3BF3E409">
      <w:pPr>
        <w:pStyle w:val="Bodytext2"/>
        <w:rPr>
          <w:lang w:val="fi-FI"/>
        </w:rPr>
      </w:pPr>
      <w:r w:rsidRPr="00D006E1">
        <w:rPr>
          <w:lang w:val="fi-FI"/>
        </w:rPr>
        <w:t>Konsernitilinpäätös on laadittu kansainvälisten tilinpäätösstandardien (International Financial Reporting Standards, IFRS) mukaisesti. Sitä laadittaessa on noud</w:t>
      </w:r>
      <w:r w:rsidRPr="00D006E1">
        <w:rPr>
          <w:lang w:val="fi-FI"/>
        </w:rPr>
        <w:t>atettu 31.12.20</w:t>
      </w:r>
      <w:r>
        <w:rPr>
          <w:lang w:val="fi-FI"/>
        </w:rPr>
        <w:t>21</w:t>
      </w:r>
      <w:r w:rsidRPr="00D006E1">
        <w:rPr>
          <w:lang w:val="fi-FI"/>
        </w:rPr>
        <w:t xml:space="preserve"> voimassa olleita IAS- ja IFRS-standardeja sekä SIC- ja IFRIC-tulkintoja. Kansainvälisillä tilinpäätösstandardeilla tarkoitetaan Suomen kirjanpitolaissa ja sen nojalla annetuissa säännöksissä EU:n asetuksessa (EY) N:o 1606/2002 säädetyn me</w:t>
      </w:r>
      <w:r w:rsidRPr="00D006E1">
        <w:rPr>
          <w:lang w:val="fi-FI"/>
        </w:rPr>
        <w:t>nettelyn mukaisesti EU:ssa sovellettaviksi hyväksyttyjä standardeja ja niistä annettuja tulkintoja. Konsernitilinpäätöksen liitetiedot ovat myös suomalaisen kirjanpito- ja yhteisölainsäädännön mukaiset.</w:t>
      </w:r>
    </w:p>
    <w:p w:rsidR="00D006E1" w:rsidP="00D006E1" w14:paraId="3A7C294B" w14:textId="77777777">
      <w:pPr>
        <w:pStyle w:val="Bodytext2"/>
        <w:rPr>
          <w:lang w:val="fi-FI"/>
        </w:rPr>
      </w:pPr>
    </w:p>
    <w:p w:rsidR="00D006E1" w:rsidRPr="00D006E1" w:rsidP="00D006E1" w14:paraId="4848E3F5" w14:textId="77777777">
      <w:pPr>
        <w:pStyle w:val="Bodytext2"/>
        <w:rPr>
          <w:lang w:val="fi-FI"/>
        </w:rPr>
      </w:pPr>
      <w:r w:rsidRPr="00B20FA4">
        <w:rPr>
          <w:lang w:val="fi-FI"/>
        </w:rPr>
        <w:t>Konsernin sisäiset liiketapahtumat, voitonjako, saam</w:t>
      </w:r>
      <w:r w:rsidRPr="00B20FA4">
        <w:rPr>
          <w:lang w:val="fi-FI"/>
        </w:rPr>
        <w:t>iset ja velat sekä realisoitumattomat katteet eliminoidaan konsernitilinpäätöksessä. Määräysvallattomien omistajien osuus erotetaan tilikauden tuloksesta sekä laajasta tuloksesta. Konsernin taseessa määräysvallattomien omistajien osuus omasta pääomasta esi</w:t>
      </w:r>
      <w:r w:rsidRPr="00B20FA4">
        <w:rPr>
          <w:lang w:val="fi-FI"/>
        </w:rPr>
        <w:t>tetään omana eränään omassa pääomassa.</w:t>
      </w:r>
    </w:p>
    <w:p w:rsidR="00D006E1" w:rsidRPr="00D006E1" w:rsidP="00D006E1" w14:paraId="2F5E134F" w14:textId="77777777">
      <w:pPr>
        <w:pStyle w:val="Bodytext2"/>
        <w:rPr>
          <w:lang w:val="fi-FI"/>
        </w:rPr>
      </w:pPr>
    </w:p>
    <w:p w:rsidR="00D006E1" w:rsidP="00D006E1" w14:paraId="4717875B" w14:textId="77777777">
      <w:pPr>
        <w:pStyle w:val="Bodytext2"/>
        <w:rPr>
          <w:lang w:val="fi-FI"/>
        </w:rPr>
      </w:pPr>
      <w:r w:rsidRPr="00D006E1">
        <w:rPr>
          <w:lang w:val="fi-FI"/>
        </w:rPr>
        <w:t>Konsernitilinpäätös on laadittu alkuperäisiin hankintamenoihin perustuen lukuun ottamatta käypään arvoon tulosvaikutteisesti kirjattavia rahoitusvaroja ja -velkoja, eläkejärjestelyistä aiheutuvia varoja ja velkoja, k</w:t>
      </w:r>
      <w:r w:rsidRPr="00D006E1">
        <w:rPr>
          <w:lang w:val="fi-FI"/>
        </w:rPr>
        <w:t xml:space="preserve">äyvän arvon suojaukseen tarkoitettuja suojauskohteita ja </w:t>
      </w:r>
      <w:r w:rsidRPr="00D2761B">
        <w:rPr>
          <w:color w:val="auto"/>
          <w:lang w:val="fi-FI"/>
        </w:rPr>
        <w:t>käteisvaroina osakkeina</w:t>
      </w:r>
      <w:r w:rsidRPr="00D2761B">
        <w:rPr>
          <w:color w:val="FF0000"/>
          <w:lang w:val="fi-FI"/>
        </w:rPr>
        <w:t xml:space="preserve"> </w:t>
      </w:r>
      <w:r w:rsidRPr="00D2761B">
        <w:rPr>
          <w:color w:val="auto"/>
          <w:lang w:val="fi-FI"/>
        </w:rPr>
        <w:t>suoritettavia</w:t>
      </w:r>
      <w:r w:rsidRPr="00B20FA4">
        <w:rPr>
          <w:color w:val="auto"/>
          <w:lang w:val="fi-FI"/>
        </w:rPr>
        <w:t xml:space="preserve"> osakeperusteisia </w:t>
      </w:r>
      <w:r w:rsidRPr="00D006E1">
        <w:rPr>
          <w:lang w:val="fi-FI"/>
        </w:rPr>
        <w:t>liiketoimia, jotka on arvostettu käypään arvoon</w:t>
      </w:r>
      <w:r w:rsidRPr="00D006E1">
        <w:rPr>
          <w:szCs w:val="15"/>
          <w:lang w:val="fi-FI"/>
        </w:rPr>
        <w:t xml:space="preserve">, </w:t>
      </w:r>
      <w:r w:rsidR="00F43680">
        <w:rPr>
          <w:szCs w:val="15"/>
          <w:lang w:val="fi-FI"/>
        </w:rPr>
        <w:t>ja myytävänä olevia omaisuuseriä, jotka on arvostettu joko kirjanpitoarvoon tai käypään arvoon myyntikuluilla vähennettynä, siihen kumpi näistä on alempi.</w:t>
      </w:r>
      <w:r w:rsidRPr="00D006E1">
        <w:rPr>
          <w:szCs w:val="15"/>
          <w:lang w:val="fi-FI"/>
        </w:rPr>
        <w:t xml:space="preserve"> </w:t>
      </w:r>
      <w:r w:rsidRPr="00D006E1">
        <w:rPr>
          <w:lang w:val="fi-FI"/>
        </w:rPr>
        <w:t>Luvut ovat miljoonia euroja lukuun ottamatta liitet</w:t>
      </w:r>
      <w:r>
        <w:rPr>
          <w:lang w:val="fi-FI"/>
        </w:rPr>
        <w:t>ietoa 7.2</w:t>
      </w:r>
      <w:r w:rsidRPr="00D006E1">
        <w:rPr>
          <w:lang w:val="fi-FI"/>
        </w:rPr>
        <w:t xml:space="preserve">. </w:t>
      </w:r>
      <w:r>
        <w:rPr>
          <w:lang w:val="fi-FI"/>
        </w:rPr>
        <w:t>Lähipiiritapahtumat</w:t>
      </w:r>
      <w:r w:rsidRPr="00D006E1">
        <w:rPr>
          <w:lang w:val="fi-FI"/>
        </w:rPr>
        <w:t>, joka on esitetty tuhansissa euroissa.</w:t>
      </w:r>
    </w:p>
    <w:p w:rsidR="00D006E1" w:rsidP="00D006E1" w14:paraId="6CB076BD" w14:textId="77777777">
      <w:pPr>
        <w:pStyle w:val="Bodytext2"/>
        <w:rPr>
          <w:lang w:val="fi-FI"/>
        </w:rPr>
      </w:pPr>
    </w:p>
    <w:p w:rsidR="00D006E1" w:rsidRPr="00A20198" w:rsidP="00D006E1" w14:paraId="48C811D8" w14:textId="77777777">
      <w:pPr>
        <w:pStyle w:val="Heading12"/>
        <w:rPr>
          <w:lang w:val="fi-FI"/>
        </w:rPr>
      </w:pPr>
      <w:r w:rsidRPr="00A20198">
        <w:rPr>
          <w:lang w:val="fi-FI"/>
        </w:rPr>
        <w:t>1.3. UUDET JA MUUTETUT IFRS-STANDARDIT</w:t>
      </w:r>
    </w:p>
    <w:p w:rsidR="00D006E1" w:rsidRPr="001C00F4" w:rsidP="00D014DC" w14:paraId="3E615593" w14:textId="77777777">
      <w:pPr>
        <w:pStyle w:val="Bodytext2"/>
        <w:rPr>
          <w:lang w:val="fi-FI"/>
        </w:rPr>
      </w:pPr>
      <w:r w:rsidRPr="001C00F4">
        <w:rPr>
          <w:lang w:val="fi-FI"/>
        </w:rPr>
        <w:t>Konserni otti vuonna 202</w:t>
      </w:r>
      <w:r w:rsidRPr="001C00F4" w:rsidR="00A77D9E">
        <w:rPr>
          <w:lang w:val="fi-FI"/>
        </w:rPr>
        <w:t>1</w:t>
      </w:r>
      <w:r w:rsidRPr="001C00F4">
        <w:rPr>
          <w:lang w:val="fi-FI"/>
        </w:rPr>
        <w:t xml:space="preserve"> käyttöön seuraavat IASB:n julkaisemat muutetut standardit.</w:t>
      </w:r>
    </w:p>
    <w:p w:rsidR="00D006E1" w:rsidRPr="001C00F4" w:rsidP="00D014DC" w14:paraId="371CB488" w14:textId="77777777">
      <w:pPr>
        <w:pStyle w:val="Bodytext2"/>
        <w:rPr>
          <w:lang w:val="fi-FI"/>
        </w:rPr>
      </w:pPr>
    </w:p>
    <w:p w:rsidR="00D014DC" w:rsidRPr="00D014DC" w:rsidP="00D014DC" w14:paraId="63468DDC" w14:textId="77777777">
      <w:pPr>
        <w:pStyle w:val="Bodytext2"/>
        <w:rPr>
          <w:lang w:val="fi-FI"/>
        </w:rPr>
      </w:pPr>
      <w:r w:rsidRPr="001C00F4">
        <w:rPr>
          <w:lang w:val="fi-FI"/>
        </w:rPr>
        <w:t xml:space="preserve">Muutokset standardiin IFRS 16 Vuokrasopimukset (sovellettava 1.4.2021 tai sen jälkeen alkavilla tilikausilla) jatkavat jo vuonna 2020 esitetyn käytännön apukeinon voimassaoloa vuodella. </w:t>
      </w:r>
      <w:r w:rsidRPr="00D014DC">
        <w:rPr>
          <w:lang w:val="fi-FI"/>
        </w:rPr>
        <w:t>Käytännön</w:t>
      </w:r>
      <w:r w:rsidRPr="00D014DC">
        <w:rPr>
          <w:lang w:val="fi-FI"/>
        </w:rPr>
        <w:t xml:space="preserve"> apukeino yksinkertaistaa kirjanpitokäsittelyä sellaisten vuokriin liittyvien helpotusten osalta, jotka aiheutuvat suoraan COVID-19:stä. </w:t>
      </w:r>
      <w:r>
        <w:rPr>
          <w:lang w:val="fi-FI"/>
        </w:rPr>
        <w:t>Muutoksilla ei ole merkittävää vaikutusta konsernitilinpäätökseen.</w:t>
      </w:r>
    </w:p>
    <w:p w:rsidR="00D014DC" w:rsidRPr="00D014DC" w:rsidP="00D014DC" w14:paraId="24BD2390" w14:textId="77777777">
      <w:pPr>
        <w:pStyle w:val="Bodytext2"/>
        <w:rPr>
          <w:lang w:val="fi-FI"/>
        </w:rPr>
      </w:pPr>
    </w:p>
    <w:p w:rsidR="00A77D9E" w:rsidP="00D014DC" w14:paraId="070A21B5" w14:textId="77777777">
      <w:pPr>
        <w:pStyle w:val="Bodytext2"/>
        <w:rPr>
          <w:lang w:val="fi-FI"/>
        </w:rPr>
      </w:pPr>
      <w:r w:rsidRPr="00D014DC">
        <w:rPr>
          <w:lang w:val="fi-FI"/>
        </w:rPr>
        <w:t>Muutokset standardeihin IFRS 9 ja IFRS 7 IBOR</w:t>
      </w:r>
      <w:r w:rsidRPr="00D014DC" w:rsidR="00D014DC">
        <w:rPr>
          <w:lang w:val="fi-FI"/>
        </w:rPr>
        <w:t>-</w:t>
      </w:r>
      <w:r w:rsidRPr="00D014DC">
        <w:rPr>
          <w:lang w:val="fi-FI"/>
        </w:rPr>
        <w:t>uudis</w:t>
      </w:r>
      <w:r w:rsidRPr="00D014DC">
        <w:rPr>
          <w:lang w:val="fi-FI"/>
        </w:rPr>
        <w:t>tuksen toisen vaiheen seurauksena (sovellettava 1.1.2021 tai</w:t>
      </w:r>
      <w:r w:rsidRPr="00D014DC" w:rsidR="00D014DC">
        <w:rPr>
          <w:lang w:val="fi-FI"/>
        </w:rPr>
        <w:t xml:space="preserve"> </w:t>
      </w:r>
      <w:r w:rsidRPr="00D014DC">
        <w:rPr>
          <w:lang w:val="fi-FI"/>
        </w:rPr>
        <w:t>sen jälkeen alkavilla tilikausilla) liittyvät asioihin, jotka saattavat vaikuttaa taloudelliseen raportointiin silloin kun</w:t>
      </w:r>
      <w:r w:rsidRPr="00D014DC" w:rsidR="00D014DC">
        <w:rPr>
          <w:lang w:val="fi-FI"/>
        </w:rPr>
        <w:t xml:space="preserve"> </w:t>
      </w:r>
      <w:r w:rsidRPr="00D014DC">
        <w:rPr>
          <w:lang w:val="fi-FI"/>
        </w:rPr>
        <w:t>olemassa</w:t>
      </w:r>
      <w:r w:rsidR="00D014DC">
        <w:rPr>
          <w:lang w:val="fi-FI"/>
        </w:rPr>
        <w:t xml:space="preserve"> </w:t>
      </w:r>
      <w:r w:rsidRPr="00D014DC">
        <w:rPr>
          <w:lang w:val="fi-FI"/>
        </w:rPr>
        <w:t xml:space="preserve">olevat korkojen vertailuarvot korvataan. Muutokset tarkentavat </w:t>
      </w:r>
      <w:r w:rsidRPr="00D014DC">
        <w:rPr>
          <w:lang w:val="fi-FI"/>
        </w:rPr>
        <w:t>kuinka uudistuksen seurauksena</w:t>
      </w:r>
      <w:r w:rsidRPr="00D014DC" w:rsidR="00D014DC">
        <w:rPr>
          <w:lang w:val="fi-FI"/>
        </w:rPr>
        <w:t xml:space="preserve"> </w:t>
      </w:r>
      <w:r w:rsidRPr="00D014DC">
        <w:rPr>
          <w:lang w:val="fi-FI"/>
        </w:rPr>
        <w:t>tapahtuneet muutokset sopimusperusteisissa rahavirroissa kirjataan sekä tarjoaa väliaikaisen poikkeuksen</w:t>
      </w:r>
      <w:r w:rsidRPr="00D014DC" w:rsidR="00D014DC">
        <w:rPr>
          <w:lang w:val="fi-FI"/>
        </w:rPr>
        <w:t xml:space="preserve"> </w:t>
      </w:r>
      <w:r w:rsidRPr="00D014DC">
        <w:rPr>
          <w:lang w:val="fi-FI"/>
        </w:rPr>
        <w:t>suojauslaskennan soveltamiseen</w:t>
      </w:r>
      <w:r w:rsidR="00D014DC">
        <w:rPr>
          <w:lang w:val="fi-FI"/>
        </w:rPr>
        <w:t>, jotta</w:t>
      </w:r>
      <w:r w:rsidRPr="00D014DC">
        <w:rPr>
          <w:lang w:val="fi-FI"/>
        </w:rPr>
        <w:t xml:space="preserve"> suojauslaskentaa</w:t>
      </w:r>
      <w:r w:rsidR="00D014DC">
        <w:rPr>
          <w:lang w:val="fi-FI"/>
        </w:rPr>
        <w:t xml:space="preserve"> ei</w:t>
      </w:r>
      <w:r w:rsidRPr="00D014DC">
        <w:rPr>
          <w:lang w:val="fi-FI"/>
        </w:rPr>
        <w:t xml:space="preserve"> tarvitse lopettaa IBOR</w:t>
      </w:r>
      <w:r w:rsidRPr="00D014DC" w:rsidR="00D014DC">
        <w:rPr>
          <w:lang w:val="fi-FI"/>
        </w:rPr>
        <w:t>-</w:t>
      </w:r>
      <w:r w:rsidRPr="00D014DC">
        <w:rPr>
          <w:lang w:val="fi-FI"/>
        </w:rPr>
        <w:t>uudistuksen seurauksena.</w:t>
      </w:r>
      <w:r w:rsidRPr="00D014DC" w:rsidR="00D014DC">
        <w:rPr>
          <w:lang w:val="fi-FI"/>
        </w:rPr>
        <w:t xml:space="preserve"> </w:t>
      </w:r>
      <w:r w:rsidRPr="00D014DC">
        <w:rPr>
          <w:lang w:val="fi-FI"/>
        </w:rPr>
        <w:t>Muutokset sisä</w:t>
      </w:r>
      <w:r w:rsidRPr="00D014DC">
        <w:rPr>
          <w:lang w:val="fi-FI"/>
        </w:rPr>
        <w:t>ltävät myös lisäyksiä IFRS 7</w:t>
      </w:r>
      <w:r w:rsidRPr="00D014DC" w:rsidR="00D014DC">
        <w:rPr>
          <w:lang w:val="fi-FI"/>
        </w:rPr>
        <w:t>:n</w:t>
      </w:r>
      <w:r w:rsidRPr="00D014DC">
        <w:rPr>
          <w:lang w:val="fi-FI"/>
        </w:rPr>
        <w:t xml:space="preserve"> liitetieto</w:t>
      </w:r>
      <w:r w:rsidR="00D014DC">
        <w:rPr>
          <w:lang w:val="fi-FI"/>
        </w:rPr>
        <w:t>vaat</w:t>
      </w:r>
      <w:r>
        <w:rPr>
          <w:lang w:val="fi-FI"/>
        </w:rPr>
        <w:t>i</w:t>
      </w:r>
      <w:r w:rsidR="00D014DC">
        <w:rPr>
          <w:lang w:val="fi-FI"/>
        </w:rPr>
        <w:t>muksiin</w:t>
      </w:r>
      <w:r w:rsidRPr="00D014DC">
        <w:rPr>
          <w:lang w:val="fi-FI"/>
        </w:rPr>
        <w:t>. Muutoksilla ei ole merkittävää vaikutusta</w:t>
      </w:r>
      <w:r w:rsidRPr="00D014DC" w:rsidR="00D014DC">
        <w:rPr>
          <w:lang w:val="fi-FI"/>
        </w:rPr>
        <w:t xml:space="preserve"> </w:t>
      </w:r>
      <w:r w:rsidRPr="00D014DC">
        <w:rPr>
          <w:lang w:val="fi-FI"/>
        </w:rPr>
        <w:t>konsernitilinpäätökseen.</w:t>
      </w:r>
    </w:p>
    <w:p w:rsidR="00D014DC" w:rsidP="00D014DC" w14:paraId="2ABBE0CA" w14:textId="77777777">
      <w:pPr>
        <w:pStyle w:val="Bodytext2"/>
        <w:rPr>
          <w:lang w:val="fi-FI"/>
        </w:rPr>
      </w:pPr>
    </w:p>
    <w:p w:rsidR="00D014DC" w:rsidRPr="00D014DC" w:rsidP="00D014DC" w14:paraId="04AB7C87" w14:textId="77777777">
      <w:pPr>
        <w:pStyle w:val="Bodytext2"/>
        <w:rPr>
          <w:lang w:val="fi-FI"/>
        </w:rPr>
      </w:pPr>
      <w:r>
        <w:rPr>
          <w:lang w:val="fi-FI"/>
        </w:rPr>
        <w:t>Muilla jo voimassa olevilla uusilla tai muutetuilla standardeilla ja tulkinnoilla ei ole merkittävää vaikutusta konsernitilinpäätökse</w:t>
      </w:r>
      <w:r>
        <w:rPr>
          <w:lang w:val="fi-FI"/>
        </w:rPr>
        <w:t>en</w:t>
      </w:r>
      <w:r w:rsidR="00A13EF8">
        <w:rPr>
          <w:lang w:val="fi-FI"/>
        </w:rPr>
        <w:t xml:space="preserve"> tai muihin esitettäviin tietoihin.</w:t>
      </w:r>
    </w:p>
    <w:p w:rsidR="00A77D9E" w:rsidRPr="00D014DC" w:rsidP="00D014DC" w14:paraId="41D50409" w14:textId="77777777">
      <w:pPr>
        <w:pStyle w:val="Bodytext2"/>
        <w:rPr>
          <w:lang w:val="fi-FI"/>
        </w:rPr>
      </w:pPr>
    </w:p>
    <w:p w:rsidR="00D006E1" w:rsidRPr="001C00F4" w:rsidP="00D014DC" w14:paraId="2408A191" w14:textId="77777777">
      <w:pPr>
        <w:pStyle w:val="Bodytext2"/>
        <w:rPr>
          <w:lang w:val="fi-FI"/>
        </w:rPr>
      </w:pPr>
      <w:r w:rsidRPr="001C00F4">
        <w:rPr>
          <w:lang w:val="fi-FI"/>
        </w:rPr>
        <w:t>Konserni ottaa vuonna 202</w:t>
      </w:r>
      <w:r w:rsidRPr="001C00F4" w:rsidR="00A77D9E">
        <w:rPr>
          <w:lang w:val="fi-FI"/>
        </w:rPr>
        <w:t>2</w:t>
      </w:r>
      <w:r w:rsidRPr="001C00F4">
        <w:rPr>
          <w:lang w:val="fi-FI"/>
        </w:rPr>
        <w:t xml:space="preserve"> tai myöhemmin käyttöön seuraavat IASB:n julkaisemat uudet ja muutetut standardit.</w:t>
      </w:r>
    </w:p>
    <w:p w:rsidR="00D006E1" w:rsidRPr="00D006E1" w:rsidP="00D006E1" w14:paraId="7A2AF869" w14:textId="77777777">
      <w:pPr>
        <w:pStyle w:val="Bodytext2"/>
        <w:rPr>
          <w:lang w:val="fi-FI"/>
        </w:rPr>
      </w:pPr>
    </w:p>
    <w:p w:rsidR="00432649" w:rsidRPr="00D2761B" w:rsidP="00432649" w14:paraId="5D88D1F3" w14:textId="77777777">
      <w:pPr>
        <w:pStyle w:val="Bodytext2"/>
        <w:rPr>
          <w:szCs w:val="15"/>
          <w:lang w:val="fi-FI"/>
        </w:rPr>
      </w:pPr>
      <w:r w:rsidRPr="009339E4">
        <w:rPr>
          <w:szCs w:val="15"/>
          <w:lang w:val="fi-FI"/>
        </w:rPr>
        <w:t>Muutokset standardiin IAS 37 Varaukset, ehdolliset velat ja ehdolliset varat (sovellettava 1.1.2022 tai sen</w:t>
      </w:r>
      <w:r w:rsidRPr="009339E4">
        <w:rPr>
          <w:szCs w:val="15"/>
          <w:lang w:val="fi-FI"/>
        </w:rPr>
        <w:t xml:space="preserve"> jälkeen alkavilla tilikausilla) täsmentävät niitä kuluja, jotka yhteisön pitää huomioida arvioidessaan sopimuksen tappiollisuutta. Muutosten on tarkoitus tuoda selkeyttä ja apua standardin yhdenmukaiseen soveltamiseen, ja niissä käytetään välittömien kulu</w:t>
      </w:r>
      <w:r w:rsidRPr="009339E4">
        <w:rPr>
          <w:szCs w:val="15"/>
          <w:lang w:val="fi-FI"/>
        </w:rPr>
        <w:t>jen lähestymistapaa. Tavaroiden tai palvelujen toimittamisesta tehtyyn sopimukseen välittömästi liittyvät kulut sisältävät sekä lisämenoja että kohdennettuja sopimustoimintaan välittömästi liittyviä kuluja. Sopimustoimintaan välittömästi liittyvien kulujen</w:t>
      </w:r>
      <w:r w:rsidRPr="009339E4">
        <w:rPr>
          <w:szCs w:val="15"/>
          <w:lang w:val="fi-FI"/>
        </w:rPr>
        <w:t xml:space="preserve"> määrittely edellyttää harkintaa. Muutoksilla ei odoteta olevan vaikutusta konsernitilinpäätökseen.</w:t>
      </w:r>
    </w:p>
    <w:p w:rsidR="00871B13" w:rsidRPr="00D2761B" w:rsidP="00150B39" w14:paraId="64EB3037" w14:textId="77777777">
      <w:pPr>
        <w:pStyle w:val="Bodytext2"/>
        <w:rPr>
          <w:szCs w:val="15"/>
          <w:lang w:val="fi-FI"/>
        </w:rPr>
      </w:pPr>
    </w:p>
    <w:p w:rsidR="00432649" w:rsidP="00432649" w14:paraId="2DA59F20" w14:textId="77777777">
      <w:pPr>
        <w:pStyle w:val="Bodytext2"/>
        <w:rPr>
          <w:szCs w:val="15"/>
          <w:lang w:val="fi-FI"/>
        </w:rPr>
      </w:pPr>
      <w:r w:rsidRPr="009339E4">
        <w:rPr>
          <w:szCs w:val="15"/>
          <w:lang w:val="fi-FI"/>
        </w:rPr>
        <w:t xml:space="preserve">Muutokset standardiin IAS 16 Aineelliset käyttöoikeushyödykkeet (sovellettava 1.1.2022 tai sen jälkeen alkavilla tilikausilla) kieltävät yhteisöjä </w:t>
      </w:r>
      <w:r w:rsidRPr="009339E4">
        <w:rPr>
          <w:szCs w:val="15"/>
          <w:lang w:val="fi-FI"/>
        </w:rPr>
        <w:t>vähentämästä aineellisen käyttöomaisuushyödykkeen hankintamenosta mitään tuottoja myydyistä hyödykkeistä, jotka on tuotettu sinä aikana kun omaisuuserää on saatettu sellaiseen paikkaan ja kuntoon, että se pystyy toimimaan johdon tarkoittamalla tavalla. Sel</w:t>
      </w:r>
      <w:r w:rsidRPr="009339E4">
        <w:rPr>
          <w:szCs w:val="15"/>
          <w:lang w:val="fi-FI"/>
        </w:rPr>
        <w:t>laisten hyödykkeiden myyntituotot ja valmistuskulut kirjataan tuloslaskelmaan. Muutoksilla ei tule olemaan vaikutusta konsernitilinpäätökseen.</w:t>
      </w:r>
    </w:p>
    <w:p w:rsidR="003E7575" w:rsidP="00D006E1" w14:paraId="45D64CBE" w14:textId="77777777">
      <w:pPr>
        <w:pStyle w:val="Bodytext2"/>
        <w:rPr>
          <w:szCs w:val="15"/>
          <w:lang w:val="fi-FI"/>
        </w:rPr>
      </w:pPr>
    </w:p>
    <w:p w:rsidR="00432649" w:rsidP="00432649" w14:paraId="494ADEC1" w14:textId="77777777">
      <w:pPr>
        <w:pStyle w:val="Bodytext2"/>
        <w:rPr>
          <w:szCs w:val="15"/>
          <w:lang w:val="fi-FI"/>
        </w:rPr>
      </w:pPr>
      <w:r w:rsidRPr="009339E4">
        <w:rPr>
          <w:szCs w:val="15"/>
          <w:lang w:val="fi-FI"/>
        </w:rPr>
        <w:t>Muutokset standardiin IFRS 3 Liiketoimintojen yhdistäminen (sovellettava 1.1.2022 tai sen jälkeen alkavilla tili</w:t>
      </w:r>
      <w:r w:rsidRPr="009339E4">
        <w:rPr>
          <w:szCs w:val="15"/>
          <w:lang w:val="fi-FI"/>
        </w:rPr>
        <w:t>kausilla) päivittävät viittauksia vuoden 2018 käsitteelliseen viitekehykseen sekä lisäävät poikkeuksen IAS 37:n ja IFRIC 21:n mukaisesti taseeseen merkittäviin velkoihin ja ehdollisiin velkoihin. Lisäksi muutoksilla selvennetään miksei ehdollisia varoja sa</w:t>
      </w:r>
      <w:r w:rsidRPr="009339E4">
        <w:rPr>
          <w:szCs w:val="15"/>
          <w:lang w:val="fi-FI"/>
        </w:rPr>
        <w:t>a kirjata hankinta-ajankohtana. Muutoksilla ei tule olemaan vaikutusta konsernitilinpäätökseen.</w:t>
      </w:r>
    </w:p>
    <w:p w:rsidR="009339E4" w:rsidP="00432649" w14:paraId="585061C3" w14:textId="77777777">
      <w:pPr>
        <w:pStyle w:val="Bodytext2"/>
        <w:rPr>
          <w:szCs w:val="15"/>
          <w:lang w:val="fi-FI"/>
        </w:rPr>
      </w:pPr>
    </w:p>
    <w:p w:rsidR="009339E4" w:rsidRPr="009339E4" w:rsidP="009339E4" w14:paraId="1EC352E7" w14:textId="77777777">
      <w:pPr>
        <w:pStyle w:val="Bodytext2"/>
        <w:rPr>
          <w:lang w:val="fi-FI"/>
        </w:rPr>
      </w:pPr>
      <w:r w:rsidRPr="009339E4">
        <w:rPr>
          <w:lang w:val="fi-FI"/>
        </w:rPr>
        <w:t>Muutoksilla* standardiin IAS 1 Tilinpäätöksen esittäminen (sovellettava 1.1.2023 tai sen jälkeen alkavilla tilikausilla) selvennetään velkojen luokittelua joko</w:t>
      </w:r>
      <w:r w:rsidRPr="009339E4">
        <w:rPr>
          <w:lang w:val="fi-FI"/>
        </w:rPr>
        <w:t xml:space="preserve"> lyhytaikaisiksi tai pitkäaikaisiksi tilikauden lopussa olevien oikeuksien mukaan. Yhtiön odotuksilla tai tilinpäätöspäivän jälkeisillä tapahtumilla ei ole vaikutusta luokitteluun. Muutoksilla ei tule olemaan vaikutusta konsernitilinpäätökseen.</w:t>
      </w:r>
    </w:p>
    <w:p w:rsidR="003E7575" w:rsidRPr="00432649" w:rsidP="003E7575" w14:paraId="46503252" w14:textId="77777777">
      <w:pPr>
        <w:pStyle w:val="Bodytext2"/>
        <w:rPr>
          <w:szCs w:val="15"/>
          <w:highlight w:val="cyan"/>
          <w:lang w:val="fi-FI"/>
        </w:rPr>
      </w:pPr>
    </w:p>
    <w:p w:rsidR="00432649" w:rsidRPr="009339E4" w:rsidP="00432649" w14:paraId="0DA75BCB" w14:textId="77777777">
      <w:pPr>
        <w:pStyle w:val="Bodytext2"/>
        <w:rPr>
          <w:szCs w:val="15"/>
          <w:lang w:val="fi-FI"/>
        </w:rPr>
      </w:pPr>
      <w:r w:rsidRPr="009339E4">
        <w:rPr>
          <w:szCs w:val="15"/>
          <w:lang w:val="fi-FI"/>
        </w:rPr>
        <w:t>Muutoksia*</w:t>
      </w:r>
      <w:r w:rsidRPr="009339E4">
        <w:rPr>
          <w:szCs w:val="15"/>
          <w:lang w:val="fi-FI"/>
        </w:rPr>
        <w:t xml:space="preserve"> on tulossa standardiin IAS 1 Tilinpäätöksen esittäminen ja Practice Statement 2:een (sovellettava 1.1.2023 tai sen jälkeen alkavilla tilikausilla). Muutokset IAS 1:een edellyttävät yhteisön esittävän olennaiset laatimisperiaatteet merkittävien laatimisper</w:t>
      </w:r>
      <w:r w:rsidRPr="009339E4">
        <w:rPr>
          <w:szCs w:val="15"/>
          <w:lang w:val="fi-FI"/>
        </w:rPr>
        <w:t>iaatteiden sijaan. Muutokset IFRS Practice Statement 2:een sen sijaan antavat ohjeistusta esitettävien laatimisperiaatteiden olennaisuuden arviointiin. Muutoksilla ei odoteta olevan merkittävää vaikutusta konsernitilinpäätökseen.</w:t>
      </w:r>
    </w:p>
    <w:p w:rsidR="003E7575" w:rsidRPr="00432649" w:rsidP="003E7575" w14:paraId="687932B7" w14:textId="77777777">
      <w:pPr>
        <w:pStyle w:val="Bodytext2"/>
        <w:rPr>
          <w:szCs w:val="15"/>
          <w:highlight w:val="cyan"/>
          <w:lang w:val="fi-FI"/>
        </w:rPr>
      </w:pPr>
    </w:p>
    <w:p w:rsidR="00432649" w:rsidRPr="009339E4" w:rsidP="00432649" w14:paraId="0C9B8A9F" w14:textId="77777777">
      <w:pPr>
        <w:pStyle w:val="Bodytext2"/>
        <w:rPr>
          <w:szCs w:val="15"/>
          <w:lang w:val="fi-FI"/>
        </w:rPr>
      </w:pPr>
      <w:r w:rsidRPr="009339E4">
        <w:rPr>
          <w:szCs w:val="15"/>
          <w:lang w:val="fi-FI"/>
        </w:rPr>
        <w:t>Muutokset* standardiin IA</w:t>
      </w:r>
      <w:r w:rsidRPr="009339E4">
        <w:rPr>
          <w:szCs w:val="15"/>
          <w:lang w:val="fi-FI"/>
        </w:rPr>
        <w:t xml:space="preserve">S 8 Tilinpäätöksen laatimisperiaatteet, kirjanpidollisten arvioiden muutokset ja virheet (sovellettava 1.1.2023 tai sen jälkeen alkavilla tilikausilla) selventävät sekä kirjanpidollisten arvioiden että niiden muutosten määritelmiä. Kirjanpidolliset arviot </w:t>
      </w:r>
      <w:r w:rsidRPr="009339E4">
        <w:rPr>
          <w:szCs w:val="15"/>
          <w:lang w:val="fi-FI"/>
        </w:rPr>
        <w:t>ovat tilinpäätöksessä esitettyjä rahamääräisiä eriä, joiden arvostamiseen liittyy epävarmuutta. Lisäksi muutokset selventävät sitä, miten kirjanpidollisten arvioiden muutokset eroavat laatimisperiaatteiden muutoksista ja virheiden korjauksista. Muutoksilla</w:t>
      </w:r>
      <w:r w:rsidRPr="009339E4">
        <w:rPr>
          <w:szCs w:val="15"/>
          <w:lang w:val="fi-FI"/>
        </w:rPr>
        <w:t xml:space="preserve"> ei tule olemaan vaikutusta konsernitilinpäätökseen.</w:t>
      </w:r>
    </w:p>
    <w:p w:rsidR="003E7575" w:rsidRPr="00432649" w:rsidP="003E7575" w14:paraId="4621BE11" w14:textId="77777777">
      <w:pPr>
        <w:pStyle w:val="Bodytext2"/>
        <w:rPr>
          <w:szCs w:val="15"/>
          <w:highlight w:val="cyan"/>
          <w:lang w:val="fi-FI"/>
        </w:rPr>
      </w:pPr>
    </w:p>
    <w:p w:rsidR="00432649" w:rsidRPr="00432649" w:rsidP="00432649" w14:paraId="178576E2" w14:textId="77777777">
      <w:pPr>
        <w:pStyle w:val="Bodytext2"/>
        <w:rPr>
          <w:szCs w:val="15"/>
          <w:lang w:val="fi-FI"/>
        </w:rPr>
      </w:pPr>
      <w:r w:rsidRPr="009339E4">
        <w:rPr>
          <w:szCs w:val="15"/>
          <w:lang w:val="fi-FI"/>
        </w:rPr>
        <w:t>Muutokset* standardiin IAS 12 Tuloverot (sovellettava 1.1.2023 tai sen jälkeen alkavilla tilikausilla) edellyttävät yhtiöiden kirjaavan vuokrien ja käytöstä poistamisesta johtuvien velvoitteiden alkuper</w:t>
      </w:r>
      <w:r w:rsidRPr="009339E4">
        <w:rPr>
          <w:szCs w:val="15"/>
          <w:lang w:val="fi-FI"/>
        </w:rPr>
        <w:t>äisen kirjaamisen yhteydessä myös laskennallisia veroja, jos ne aiheuttavat yhtä suuret veronalaiset ja verotuksessa vähennyskelpoiset väliaikaiset erot. Konserni arvioi standardin vaikutuksia parhaillaan.</w:t>
      </w:r>
    </w:p>
    <w:p w:rsidR="00696EA8" w:rsidRPr="00432649" w:rsidP="00D006E1" w14:paraId="762E745F" w14:textId="77777777">
      <w:pPr>
        <w:pStyle w:val="Bodytext2"/>
        <w:rPr>
          <w:highlight w:val="red"/>
          <w:lang w:val="fi-FI"/>
        </w:rPr>
      </w:pPr>
    </w:p>
    <w:p w:rsidR="00432649" w:rsidP="00432649" w14:paraId="6F334A28" w14:textId="77777777">
      <w:pPr>
        <w:pStyle w:val="Bodytext2"/>
        <w:rPr>
          <w:lang w:val="fi-FI"/>
        </w:rPr>
      </w:pPr>
      <w:r w:rsidRPr="009339E4">
        <w:rPr>
          <w:lang w:val="fi-FI"/>
        </w:rPr>
        <w:t>IFRS 17 Vakuutussopimukset (sovellettava 1.1.2023</w:t>
      </w:r>
      <w:r w:rsidRPr="009339E4">
        <w:rPr>
          <w:lang w:val="fi-FI"/>
        </w:rPr>
        <w:t xml:space="preserve"> tai sen jälkeen alkavilla tilikausilla) koskee kaikentyyppisiä vakuutussopimuksia (ensivakuutukset ja jälleenvakuutus) riippumatta vakuutuksenantajan tyypistä sekä tiettyjä takuita ja rahoitusinstrumentteja, joissa on harkinnanvaraisia osallistumisominais</w:t>
      </w:r>
      <w:r w:rsidRPr="009339E4">
        <w:rPr>
          <w:lang w:val="fi-FI"/>
        </w:rPr>
        <w:t>uuksia. Yleisenä tavoitteena on yhdenmukaistaa vakuutussopimusten kirjanpitokäsittelyä. Konserni arvioi standardin vaikutuksia parhaillaan.</w:t>
      </w:r>
    </w:p>
    <w:p w:rsidR="00A13EF8" w:rsidP="00D006E1" w14:paraId="1DB0E53B" w14:textId="77777777">
      <w:pPr>
        <w:pStyle w:val="Bodytext2"/>
        <w:rPr>
          <w:lang w:val="fi-FI"/>
        </w:rPr>
      </w:pPr>
    </w:p>
    <w:p w:rsidR="00A13EF8" w:rsidP="00D006E1" w14:paraId="2656D649" w14:textId="77777777">
      <w:pPr>
        <w:pStyle w:val="Bodytext2"/>
        <w:rPr>
          <w:lang w:val="fi-FI"/>
        </w:rPr>
      </w:pPr>
      <w:r w:rsidRPr="00A13EF8">
        <w:rPr>
          <w:lang w:val="fi-FI"/>
        </w:rPr>
        <w:t xml:space="preserve">Muilla uusilla </w:t>
      </w:r>
      <w:r>
        <w:rPr>
          <w:lang w:val="fi-FI"/>
        </w:rPr>
        <w:t>tai</w:t>
      </w:r>
      <w:r w:rsidRPr="00A13EF8">
        <w:rPr>
          <w:lang w:val="fi-FI"/>
        </w:rPr>
        <w:t xml:space="preserve"> muutetuilla standardeilla ja tulkinnoilla</w:t>
      </w:r>
      <w:r>
        <w:rPr>
          <w:lang w:val="fi-FI"/>
        </w:rPr>
        <w:t>, jotka eivät ole vielä voimassa,</w:t>
      </w:r>
      <w:r w:rsidRPr="00A13EF8">
        <w:rPr>
          <w:lang w:val="fi-FI"/>
        </w:rPr>
        <w:t xml:space="preserve"> ei </w:t>
      </w:r>
      <w:r>
        <w:rPr>
          <w:lang w:val="fi-FI"/>
        </w:rPr>
        <w:t xml:space="preserve">odoteta </w:t>
      </w:r>
      <w:r w:rsidRPr="00A13EF8">
        <w:rPr>
          <w:lang w:val="fi-FI"/>
        </w:rPr>
        <w:t>ole</w:t>
      </w:r>
      <w:r>
        <w:rPr>
          <w:lang w:val="fi-FI"/>
        </w:rPr>
        <w:t>van</w:t>
      </w:r>
      <w:r w:rsidRPr="00A13EF8">
        <w:rPr>
          <w:lang w:val="fi-FI"/>
        </w:rPr>
        <w:t xml:space="preserve"> merkittävää vaikutusta konsernitilinpäätökseen tai muihin esitettäviin tietoihin.</w:t>
      </w:r>
    </w:p>
    <w:p w:rsidR="00150B39" w:rsidRPr="00D006E1" w:rsidP="00D006E1" w14:paraId="6C677DCB" w14:textId="77777777">
      <w:pPr>
        <w:pStyle w:val="Bodytext2"/>
        <w:rPr>
          <w:lang w:val="fi-FI"/>
        </w:rPr>
      </w:pPr>
    </w:p>
    <w:p w:rsidR="00D006E1" w:rsidP="00D006E1" w14:paraId="5951B554" w14:textId="77777777">
      <w:pPr>
        <w:pStyle w:val="Bodytext2"/>
        <w:rPr>
          <w:lang w:val="fi-FI"/>
        </w:rPr>
      </w:pPr>
      <w:r w:rsidRPr="00D006E1">
        <w:rPr>
          <w:lang w:val="fi-FI"/>
        </w:rPr>
        <w:t>* Kyseistä säännöstä ei ole hyväksytty sovellettavaksi EU:ssa 3</w:t>
      </w:r>
      <w:r w:rsidR="00150B39">
        <w:rPr>
          <w:lang w:val="fi-FI"/>
        </w:rPr>
        <w:t>1</w:t>
      </w:r>
      <w:r w:rsidRPr="00D006E1">
        <w:rPr>
          <w:lang w:val="fi-FI"/>
        </w:rPr>
        <w:t>.</w:t>
      </w:r>
      <w:r w:rsidR="00150B39">
        <w:rPr>
          <w:lang w:val="fi-FI"/>
        </w:rPr>
        <w:t>12</w:t>
      </w:r>
      <w:r w:rsidRPr="00D006E1">
        <w:rPr>
          <w:lang w:val="fi-FI"/>
        </w:rPr>
        <w:t>.202</w:t>
      </w:r>
      <w:r w:rsidR="008A28A4">
        <w:rPr>
          <w:lang w:val="fi-FI"/>
        </w:rPr>
        <w:t>1</w:t>
      </w:r>
      <w:r w:rsidRPr="00D006E1">
        <w:rPr>
          <w:lang w:val="fi-FI"/>
        </w:rPr>
        <w:t>.</w:t>
      </w:r>
    </w:p>
    <w:p w:rsidR="00150B39" w:rsidP="00D006E1" w14:paraId="2EA6369A" w14:textId="77777777">
      <w:pPr>
        <w:pStyle w:val="Bodytext2"/>
        <w:rPr>
          <w:lang w:val="fi-FI"/>
        </w:rPr>
      </w:pPr>
    </w:p>
    <w:p w:rsidR="00150B39" w:rsidRPr="00612800" w:rsidP="00150B39" w14:paraId="398978AE" w14:textId="77777777">
      <w:pPr>
        <w:pStyle w:val="Heading12"/>
        <w:rPr>
          <w:color w:val="auto"/>
          <w:lang w:val="fi-FI"/>
        </w:rPr>
      </w:pPr>
      <w:r w:rsidRPr="00612800">
        <w:rPr>
          <w:color w:val="auto"/>
          <w:lang w:val="fi-FI"/>
        </w:rPr>
        <w:t>1.4. JOHDON HARKINTAAN PERUSTUVAT RATKAISUT JA ARVIOIDEN KÄYTTÖ</w:t>
      </w:r>
    </w:p>
    <w:p w:rsidR="00150B39" w:rsidRPr="00612800" w:rsidP="00150B39" w14:paraId="69E770AB" w14:textId="77777777">
      <w:pPr>
        <w:pStyle w:val="Bodytext2"/>
        <w:rPr>
          <w:color w:val="auto"/>
          <w:szCs w:val="15"/>
          <w:lang w:val="fi-FI"/>
        </w:rPr>
      </w:pPr>
      <w:r w:rsidRPr="00612800">
        <w:rPr>
          <w:color w:val="auto"/>
          <w:lang w:val="fi-FI"/>
        </w:rPr>
        <w:t>Tilinpäätöksen laatiminen IFRS:n mukaan edellyttää yrityksen johdolta harkintaan perustuvia ratkaisuja sekä arvioita ja oletuksia, jotka vaikuttavat taseen varoihin ja velkoihin sekä muihin tietoihin, kuten ehdollisten varojen ja velkojen raportointiin sek</w:t>
      </w:r>
      <w:r w:rsidRPr="00612800">
        <w:rPr>
          <w:color w:val="auto"/>
          <w:lang w:val="fi-FI"/>
        </w:rPr>
        <w:t xml:space="preserve">ä tuottojen ja kulujen määriin. </w:t>
      </w:r>
      <w:r w:rsidRPr="00612800" w:rsidR="00FC62A1">
        <w:rPr>
          <w:color w:val="auto"/>
          <w:lang w:val="fi-FI"/>
        </w:rPr>
        <w:t>Vaikka nämä jatkuvan arvioinnin alla olevat harkintaan perustuvat ratkaisut ja arviot pohjautuvat johdon kokemukseen menneestä sekä parhaaseen näkemykseen nykyhetken tapahtumista ja tulevasta, lopputulemat saattavat erota arvioista.</w:t>
      </w:r>
    </w:p>
    <w:p w:rsidR="00150B39" w:rsidRPr="00612800" w:rsidP="00150B39" w14:paraId="6EDA3892" w14:textId="77777777">
      <w:pPr>
        <w:pStyle w:val="Bodytext2"/>
        <w:rPr>
          <w:color w:val="auto"/>
          <w:szCs w:val="15"/>
          <w:lang w:val="fi-FI"/>
        </w:rPr>
      </w:pPr>
    </w:p>
    <w:p w:rsidR="00C366B1" w:rsidRPr="00612800" w:rsidP="00150B39" w14:paraId="44B91AD2" w14:textId="77777777">
      <w:pPr>
        <w:pStyle w:val="Bodytext2"/>
        <w:rPr>
          <w:color w:val="auto"/>
          <w:szCs w:val="15"/>
          <w:lang w:val="fi-FI"/>
        </w:rPr>
      </w:pPr>
      <w:r w:rsidRPr="00612800">
        <w:rPr>
          <w:color w:val="auto"/>
          <w:szCs w:val="15"/>
          <w:lang w:val="fi-FI"/>
        </w:rPr>
        <w:t>Olennaisimmat Wärtsilän johdon harkintaan perustuvia arvioita ja oletuksia edellyttävät erät on listattu alla. Lisätietoa saatavilla vastaavista liitetiedoista.</w:t>
      </w:r>
    </w:p>
    <w:p w:rsidR="00C366B1" w:rsidRPr="00C366B1" w:rsidP="00150B39" w14:paraId="0C46C5C8" w14:textId="77777777">
      <w:pPr>
        <w:pStyle w:val="Bodytext2"/>
        <w:rPr>
          <w:szCs w:val="15"/>
          <w:highlight w:val="yellow"/>
          <w:lang w:val="fi-FI"/>
        </w:rPr>
      </w:pPr>
    </w:p>
    <w:p w:rsidR="00150B39" w:rsidRPr="00C366B1" w:rsidP="00150B39" w14:paraId="121E34D1" w14:textId="77777777">
      <w:pPr>
        <w:pStyle w:val="Bodytext2"/>
        <w:numPr>
          <w:ilvl w:val="0"/>
          <w:numId w:val="2"/>
        </w:numPr>
        <w:rPr>
          <w:szCs w:val="15"/>
          <w:lang w:val="fi-FI"/>
        </w:rPr>
      </w:pPr>
      <w:r w:rsidRPr="00C366B1">
        <w:rPr>
          <w:szCs w:val="15"/>
          <w:lang w:val="fi-FI"/>
        </w:rPr>
        <w:t xml:space="preserve">myyntituottojen tuloutus erityisesti pitkäaikaisten hankkeiden ja sopimusten osalta </w:t>
      </w:r>
      <w:r w:rsidRPr="00C366B1" w:rsidR="006775F8">
        <w:rPr>
          <w:szCs w:val="15"/>
          <w:lang w:val="fi-FI"/>
        </w:rPr>
        <w:t>(</w:t>
      </w:r>
      <w:r w:rsidRPr="00C366B1">
        <w:rPr>
          <w:szCs w:val="15"/>
          <w:lang w:val="fi-FI"/>
        </w:rPr>
        <w:t>l</w:t>
      </w:r>
      <w:r w:rsidRPr="00C366B1" w:rsidR="006775F8">
        <w:rPr>
          <w:szCs w:val="15"/>
          <w:lang w:val="fi-FI"/>
        </w:rPr>
        <w:t>iite</w:t>
      </w:r>
      <w:r w:rsidRPr="00C366B1">
        <w:rPr>
          <w:szCs w:val="15"/>
          <w:lang w:val="fi-FI"/>
        </w:rPr>
        <w:t>tieto</w:t>
      </w:r>
      <w:r w:rsidRPr="00C366B1" w:rsidR="006775F8">
        <w:rPr>
          <w:szCs w:val="15"/>
          <w:lang w:val="fi-FI"/>
        </w:rPr>
        <w:t xml:space="preserve"> 2.2. </w:t>
      </w:r>
      <w:r w:rsidRPr="00C366B1">
        <w:rPr>
          <w:szCs w:val="15"/>
          <w:lang w:val="fi-FI"/>
        </w:rPr>
        <w:t>Myyntitu</w:t>
      </w:r>
      <w:r>
        <w:rPr>
          <w:szCs w:val="15"/>
          <w:lang w:val="fi-FI"/>
        </w:rPr>
        <w:t>ottojen</w:t>
      </w:r>
      <w:r w:rsidRPr="00C366B1">
        <w:rPr>
          <w:szCs w:val="15"/>
          <w:lang w:val="fi-FI"/>
        </w:rPr>
        <w:t xml:space="preserve"> tuloutus</w:t>
      </w:r>
      <w:r w:rsidRPr="00C366B1" w:rsidR="006775F8">
        <w:rPr>
          <w:szCs w:val="15"/>
          <w:lang w:val="fi-FI"/>
        </w:rPr>
        <w:t>),</w:t>
      </w:r>
    </w:p>
    <w:p w:rsidR="00150B39" w:rsidRPr="00C366B1" w:rsidP="00150B39" w14:paraId="2BDD0161" w14:textId="77777777">
      <w:pPr>
        <w:pStyle w:val="Bodytext2"/>
        <w:numPr>
          <w:ilvl w:val="0"/>
          <w:numId w:val="2"/>
        </w:numPr>
        <w:rPr>
          <w:szCs w:val="15"/>
        </w:rPr>
      </w:pPr>
      <w:r w:rsidRPr="00C366B1">
        <w:rPr>
          <w:szCs w:val="15"/>
        </w:rPr>
        <w:t xml:space="preserve">epävarmat veropositiot </w:t>
      </w:r>
      <w:r w:rsidRPr="00C366B1" w:rsidR="006775F8">
        <w:rPr>
          <w:szCs w:val="15"/>
        </w:rPr>
        <w:t>(</w:t>
      </w:r>
      <w:r w:rsidRPr="00C366B1">
        <w:rPr>
          <w:szCs w:val="15"/>
        </w:rPr>
        <w:t>l</w:t>
      </w:r>
      <w:r w:rsidRPr="00C366B1" w:rsidR="006775F8">
        <w:rPr>
          <w:szCs w:val="15"/>
        </w:rPr>
        <w:t>iite</w:t>
      </w:r>
      <w:r w:rsidRPr="00C366B1">
        <w:rPr>
          <w:szCs w:val="15"/>
        </w:rPr>
        <w:t>tieto</w:t>
      </w:r>
      <w:r w:rsidRPr="00C366B1" w:rsidR="006775F8">
        <w:rPr>
          <w:szCs w:val="15"/>
        </w:rPr>
        <w:t xml:space="preserve"> 2.6. </w:t>
      </w:r>
      <w:r w:rsidRPr="00C366B1">
        <w:rPr>
          <w:szCs w:val="15"/>
        </w:rPr>
        <w:t>Tuloverot</w:t>
      </w:r>
      <w:r w:rsidRPr="00C366B1" w:rsidR="006775F8">
        <w:rPr>
          <w:szCs w:val="15"/>
        </w:rPr>
        <w:t>),</w:t>
      </w:r>
    </w:p>
    <w:p w:rsidR="00150B39" w:rsidRPr="00C366B1" w:rsidP="00150B39" w14:paraId="588ABCB4" w14:textId="77777777">
      <w:pPr>
        <w:pStyle w:val="Bodytext2"/>
        <w:numPr>
          <w:ilvl w:val="0"/>
          <w:numId w:val="2"/>
        </w:numPr>
        <w:rPr>
          <w:szCs w:val="15"/>
        </w:rPr>
      </w:pPr>
      <w:r w:rsidRPr="00C366B1">
        <w:rPr>
          <w:szCs w:val="15"/>
        </w:rPr>
        <w:t xml:space="preserve">arvonalentumistestaus </w:t>
      </w:r>
      <w:r w:rsidRPr="00C366B1" w:rsidR="006775F8">
        <w:rPr>
          <w:szCs w:val="15"/>
        </w:rPr>
        <w:t>(</w:t>
      </w:r>
      <w:r w:rsidRPr="00C366B1">
        <w:rPr>
          <w:szCs w:val="15"/>
        </w:rPr>
        <w:t>l</w:t>
      </w:r>
      <w:r w:rsidRPr="00C366B1" w:rsidR="006775F8">
        <w:rPr>
          <w:szCs w:val="15"/>
        </w:rPr>
        <w:t>iite</w:t>
      </w:r>
      <w:r w:rsidRPr="00C366B1">
        <w:rPr>
          <w:szCs w:val="15"/>
        </w:rPr>
        <w:t>tieto</w:t>
      </w:r>
      <w:r w:rsidRPr="00C366B1" w:rsidR="006775F8">
        <w:rPr>
          <w:szCs w:val="15"/>
        </w:rPr>
        <w:t xml:space="preserve"> 3.1. </w:t>
      </w:r>
      <w:r w:rsidR="00FC62A1">
        <w:rPr>
          <w:szCs w:val="15"/>
        </w:rPr>
        <w:t>Liikearvo</w:t>
      </w:r>
      <w:r w:rsidRPr="00C366B1" w:rsidR="006775F8">
        <w:rPr>
          <w:szCs w:val="15"/>
        </w:rPr>
        <w:t>),</w:t>
      </w:r>
    </w:p>
    <w:p w:rsidR="00150B39" w:rsidRPr="00FC62A1" w:rsidP="00150B39" w14:paraId="5D7636C1" w14:textId="77777777">
      <w:pPr>
        <w:pStyle w:val="Bodytext2"/>
        <w:numPr>
          <w:ilvl w:val="0"/>
          <w:numId w:val="2"/>
        </w:numPr>
        <w:rPr>
          <w:szCs w:val="15"/>
          <w:lang w:val="fi-FI"/>
        </w:rPr>
      </w:pPr>
      <w:r w:rsidRPr="00FC62A1">
        <w:rPr>
          <w:szCs w:val="15"/>
          <w:lang w:val="fi-FI"/>
        </w:rPr>
        <w:t>taloudellisten vaikutusaikojen ja arvo</w:t>
      </w:r>
      <w:r>
        <w:rPr>
          <w:szCs w:val="15"/>
          <w:lang w:val="fi-FI"/>
        </w:rPr>
        <w:t>nalentumistappioiden viitteiden a</w:t>
      </w:r>
      <w:r w:rsidRPr="00FC62A1">
        <w:rPr>
          <w:szCs w:val="15"/>
          <w:lang w:val="fi-FI"/>
        </w:rPr>
        <w:t>rviointi</w:t>
      </w:r>
      <w:r w:rsidRPr="00FC62A1" w:rsidR="006775F8">
        <w:rPr>
          <w:szCs w:val="15"/>
          <w:lang w:val="fi-FI"/>
        </w:rPr>
        <w:t xml:space="preserve"> (</w:t>
      </w:r>
      <w:r w:rsidRPr="00FC62A1" w:rsidR="00C366B1">
        <w:rPr>
          <w:szCs w:val="15"/>
          <w:lang w:val="fi-FI"/>
        </w:rPr>
        <w:t>l</w:t>
      </w:r>
      <w:r w:rsidRPr="00FC62A1" w:rsidR="006775F8">
        <w:rPr>
          <w:szCs w:val="15"/>
          <w:lang w:val="fi-FI"/>
        </w:rPr>
        <w:t>iite</w:t>
      </w:r>
      <w:r w:rsidRPr="00FC62A1" w:rsidR="00C366B1">
        <w:rPr>
          <w:szCs w:val="15"/>
          <w:lang w:val="fi-FI"/>
        </w:rPr>
        <w:t>tiedot</w:t>
      </w:r>
      <w:r w:rsidRPr="00FC62A1" w:rsidR="006775F8">
        <w:rPr>
          <w:szCs w:val="15"/>
          <w:lang w:val="fi-FI"/>
        </w:rPr>
        <w:t xml:space="preserve"> 3.2. </w:t>
      </w:r>
      <w:r w:rsidRPr="00FC62A1" w:rsidR="00C366B1">
        <w:rPr>
          <w:szCs w:val="15"/>
          <w:lang w:val="fi-FI"/>
        </w:rPr>
        <w:t>Muut aineettomat hyödykkeet ja</w:t>
      </w:r>
      <w:r w:rsidRPr="00FC62A1" w:rsidR="006775F8">
        <w:rPr>
          <w:szCs w:val="15"/>
          <w:lang w:val="fi-FI"/>
        </w:rPr>
        <w:t xml:space="preserve"> 3.3. </w:t>
      </w:r>
      <w:r w:rsidRPr="00FC62A1" w:rsidR="00C366B1">
        <w:rPr>
          <w:szCs w:val="15"/>
          <w:lang w:val="fi-FI"/>
        </w:rPr>
        <w:t>Aineelliset hyödykkeet</w:t>
      </w:r>
      <w:r w:rsidRPr="00FC62A1" w:rsidR="006775F8">
        <w:rPr>
          <w:szCs w:val="15"/>
          <w:lang w:val="fi-FI"/>
        </w:rPr>
        <w:t>),</w:t>
      </w:r>
    </w:p>
    <w:p w:rsidR="00150B39" w:rsidRPr="00186455" w:rsidP="00150B39" w14:paraId="1B1F8380" w14:textId="77777777">
      <w:pPr>
        <w:pStyle w:val="Bodytext2"/>
        <w:numPr>
          <w:ilvl w:val="0"/>
          <w:numId w:val="2"/>
        </w:numPr>
        <w:rPr>
          <w:szCs w:val="15"/>
          <w:lang w:val="fi-FI"/>
        </w:rPr>
      </w:pPr>
      <w:r w:rsidRPr="00186455">
        <w:rPr>
          <w:szCs w:val="15"/>
          <w:lang w:val="fi-FI"/>
        </w:rPr>
        <w:t>vuokrasopimus</w:t>
      </w:r>
      <w:r>
        <w:rPr>
          <w:szCs w:val="15"/>
          <w:lang w:val="fi-FI"/>
        </w:rPr>
        <w:t>ten vuokra-aikojen</w:t>
      </w:r>
      <w:r w:rsidRPr="00186455">
        <w:rPr>
          <w:szCs w:val="15"/>
          <w:lang w:val="fi-FI"/>
        </w:rPr>
        <w:t xml:space="preserve"> määrittely</w:t>
      </w:r>
      <w:r w:rsidRPr="00186455" w:rsidR="006775F8">
        <w:rPr>
          <w:szCs w:val="15"/>
          <w:lang w:val="fi-FI"/>
        </w:rPr>
        <w:t xml:space="preserve"> (</w:t>
      </w:r>
      <w:r w:rsidRPr="00186455">
        <w:rPr>
          <w:szCs w:val="15"/>
          <w:lang w:val="fi-FI"/>
        </w:rPr>
        <w:t>l</w:t>
      </w:r>
      <w:r w:rsidRPr="00186455" w:rsidR="006775F8">
        <w:rPr>
          <w:szCs w:val="15"/>
          <w:lang w:val="fi-FI"/>
        </w:rPr>
        <w:t>iite</w:t>
      </w:r>
      <w:r w:rsidRPr="00186455">
        <w:rPr>
          <w:szCs w:val="15"/>
          <w:lang w:val="fi-FI"/>
        </w:rPr>
        <w:t>tieto</w:t>
      </w:r>
      <w:r w:rsidRPr="00186455" w:rsidR="006775F8">
        <w:rPr>
          <w:szCs w:val="15"/>
          <w:lang w:val="fi-FI"/>
        </w:rPr>
        <w:t xml:space="preserve"> 3.4. </w:t>
      </w:r>
      <w:r w:rsidRPr="00186455">
        <w:rPr>
          <w:szCs w:val="15"/>
          <w:lang w:val="fi-FI"/>
        </w:rPr>
        <w:t>Vuokrasopimukset</w:t>
      </w:r>
      <w:r w:rsidRPr="00186455" w:rsidR="006775F8">
        <w:rPr>
          <w:szCs w:val="15"/>
          <w:lang w:val="fi-FI"/>
        </w:rPr>
        <w:t>),</w:t>
      </w:r>
    </w:p>
    <w:p w:rsidR="00150B39" w:rsidRPr="00186455" w:rsidP="00150B39" w14:paraId="230482DE" w14:textId="77777777">
      <w:pPr>
        <w:pStyle w:val="Bodytext2"/>
        <w:numPr>
          <w:ilvl w:val="0"/>
          <w:numId w:val="2"/>
        </w:numPr>
        <w:rPr>
          <w:szCs w:val="15"/>
          <w:lang w:val="fi-FI"/>
        </w:rPr>
      </w:pPr>
      <w:r w:rsidRPr="00186455">
        <w:rPr>
          <w:szCs w:val="15"/>
          <w:lang w:val="fi-FI"/>
        </w:rPr>
        <w:t>varastojen arvostaminen</w:t>
      </w:r>
      <w:r w:rsidRPr="00186455" w:rsidR="006775F8">
        <w:rPr>
          <w:szCs w:val="15"/>
          <w:lang w:val="fi-FI"/>
        </w:rPr>
        <w:t xml:space="preserve"> (</w:t>
      </w:r>
      <w:r w:rsidRPr="00186455">
        <w:rPr>
          <w:szCs w:val="15"/>
          <w:lang w:val="fi-FI"/>
        </w:rPr>
        <w:t>l</w:t>
      </w:r>
      <w:r w:rsidRPr="00186455" w:rsidR="006775F8">
        <w:rPr>
          <w:szCs w:val="15"/>
          <w:lang w:val="fi-FI"/>
        </w:rPr>
        <w:t>iite</w:t>
      </w:r>
      <w:r w:rsidRPr="00186455">
        <w:rPr>
          <w:szCs w:val="15"/>
          <w:lang w:val="fi-FI"/>
        </w:rPr>
        <w:t>tieto</w:t>
      </w:r>
      <w:r w:rsidRPr="00186455" w:rsidR="006775F8">
        <w:rPr>
          <w:szCs w:val="15"/>
          <w:lang w:val="fi-FI"/>
        </w:rPr>
        <w:t xml:space="preserve"> 4.1. </w:t>
      </w:r>
      <w:r w:rsidRPr="00186455">
        <w:rPr>
          <w:szCs w:val="15"/>
          <w:lang w:val="fi-FI"/>
        </w:rPr>
        <w:t>Vaihto-omaisuus</w:t>
      </w:r>
      <w:r w:rsidRPr="00186455" w:rsidR="006775F8">
        <w:rPr>
          <w:szCs w:val="15"/>
          <w:lang w:val="fi-FI"/>
        </w:rPr>
        <w:t>),</w:t>
      </w:r>
    </w:p>
    <w:p w:rsidR="00150B39" w:rsidRPr="00186455" w:rsidP="00150B39" w14:paraId="7F1D4F6B" w14:textId="77777777">
      <w:pPr>
        <w:pStyle w:val="Bodytext2"/>
        <w:numPr>
          <w:ilvl w:val="0"/>
          <w:numId w:val="2"/>
        </w:numPr>
        <w:rPr>
          <w:szCs w:val="15"/>
          <w:lang w:val="fi-FI"/>
        </w:rPr>
      </w:pPr>
      <w:r>
        <w:rPr>
          <w:szCs w:val="15"/>
          <w:lang w:val="fi-FI"/>
        </w:rPr>
        <w:t>myyntisaamisten arvostaminen</w:t>
      </w:r>
      <w:r w:rsidRPr="00186455" w:rsidR="006775F8">
        <w:rPr>
          <w:szCs w:val="15"/>
          <w:lang w:val="fi-FI"/>
        </w:rPr>
        <w:t xml:space="preserve"> (</w:t>
      </w:r>
      <w:r w:rsidRPr="00186455">
        <w:rPr>
          <w:szCs w:val="15"/>
          <w:lang w:val="fi-FI"/>
        </w:rPr>
        <w:t>l</w:t>
      </w:r>
      <w:r w:rsidRPr="00186455" w:rsidR="006775F8">
        <w:rPr>
          <w:szCs w:val="15"/>
          <w:lang w:val="fi-FI"/>
        </w:rPr>
        <w:t>iite</w:t>
      </w:r>
      <w:r w:rsidRPr="00186455">
        <w:rPr>
          <w:szCs w:val="15"/>
          <w:lang w:val="fi-FI"/>
        </w:rPr>
        <w:t>tieto</w:t>
      </w:r>
      <w:r w:rsidRPr="00186455" w:rsidR="006775F8">
        <w:rPr>
          <w:szCs w:val="15"/>
          <w:lang w:val="fi-FI"/>
        </w:rPr>
        <w:t xml:space="preserve"> 4.2. </w:t>
      </w:r>
      <w:r w:rsidRPr="00186455">
        <w:rPr>
          <w:szCs w:val="15"/>
          <w:lang w:val="fi-FI"/>
        </w:rPr>
        <w:t>Myyntisaamiset j</w:t>
      </w:r>
      <w:r w:rsidRPr="00186455">
        <w:rPr>
          <w:szCs w:val="15"/>
          <w:lang w:val="fi-FI"/>
        </w:rPr>
        <w:t xml:space="preserve">a sopimukseen perustuvat varat ja </w:t>
      </w:r>
      <w:r>
        <w:rPr>
          <w:szCs w:val="15"/>
          <w:lang w:val="fi-FI"/>
        </w:rPr>
        <w:t>velat</w:t>
      </w:r>
      <w:r w:rsidRPr="00186455" w:rsidR="006775F8">
        <w:rPr>
          <w:szCs w:val="15"/>
          <w:lang w:val="fi-FI"/>
        </w:rPr>
        <w:t>),</w:t>
      </w:r>
    </w:p>
    <w:p w:rsidR="00150B39" w:rsidRPr="00186455" w:rsidP="00150B39" w14:paraId="227CB4BC" w14:textId="77777777">
      <w:pPr>
        <w:pStyle w:val="Bodytext2"/>
        <w:numPr>
          <w:ilvl w:val="0"/>
          <w:numId w:val="2"/>
        </w:numPr>
        <w:rPr>
          <w:szCs w:val="15"/>
        </w:rPr>
      </w:pPr>
      <w:r w:rsidRPr="00186455">
        <w:rPr>
          <w:szCs w:val="15"/>
          <w:lang w:val="fi-FI"/>
        </w:rPr>
        <w:t xml:space="preserve">takuuvarausten ja oikeudenkäynteihin liittyvien varausten kirjaaminen </w:t>
      </w:r>
      <w:r w:rsidRPr="00186455" w:rsidR="006775F8">
        <w:rPr>
          <w:szCs w:val="15"/>
          <w:lang w:val="fi-FI"/>
        </w:rPr>
        <w:t>(</w:t>
      </w:r>
      <w:r w:rsidRPr="00186455">
        <w:rPr>
          <w:szCs w:val="15"/>
          <w:lang w:val="fi-FI"/>
        </w:rPr>
        <w:t>l</w:t>
      </w:r>
      <w:r w:rsidRPr="00186455" w:rsidR="006775F8">
        <w:rPr>
          <w:szCs w:val="15"/>
          <w:lang w:val="fi-FI"/>
        </w:rPr>
        <w:t>iite</w:t>
      </w:r>
      <w:r>
        <w:rPr>
          <w:szCs w:val="15"/>
          <w:lang w:val="fi-FI"/>
        </w:rPr>
        <w:t>tieto</w:t>
      </w:r>
      <w:r w:rsidRPr="00186455" w:rsidR="006775F8">
        <w:rPr>
          <w:szCs w:val="15"/>
          <w:lang w:val="fi-FI"/>
        </w:rPr>
        <w:t xml:space="preserve"> 4.5. </w:t>
      </w:r>
      <w:r>
        <w:rPr>
          <w:szCs w:val="15"/>
          <w:lang w:val="fi-FI"/>
        </w:rPr>
        <w:t>Varaukset</w:t>
      </w:r>
      <w:r w:rsidRPr="00186455" w:rsidR="006775F8">
        <w:rPr>
          <w:szCs w:val="15"/>
        </w:rPr>
        <w:t>),</w:t>
      </w:r>
    </w:p>
    <w:p w:rsidR="00150B39" w:rsidRPr="00687B3B" w:rsidP="00150B39" w14:paraId="252E4353" w14:textId="77777777">
      <w:pPr>
        <w:pStyle w:val="Bodytext2"/>
        <w:numPr>
          <w:ilvl w:val="0"/>
          <w:numId w:val="2"/>
        </w:numPr>
        <w:rPr>
          <w:szCs w:val="15"/>
          <w:lang w:val="fi-FI"/>
        </w:rPr>
      </w:pPr>
      <w:r w:rsidRPr="00186455">
        <w:rPr>
          <w:szCs w:val="15"/>
          <w:lang w:val="fi-FI"/>
        </w:rPr>
        <w:t>verotarkastusten lopputulokset ja verotuksen tappioista kirjatt</w:t>
      </w:r>
      <w:r>
        <w:rPr>
          <w:szCs w:val="15"/>
          <w:lang w:val="fi-FI"/>
        </w:rPr>
        <w:t>avat laskennalliset verosaamiset</w:t>
      </w:r>
      <w:r w:rsidRPr="00186455" w:rsidR="006775F8">
        <w:rPr>
          <w:szCs w:val="15"/>
          <w:lang w:val="fi-FI"/>
        </w:rPr>
        <w:t xml:space="preserve"> (</w:t>
      </w:r>
      <w:r>
        <w:rPr>
          <w:szCs w:val="15"/>
          <w:lang w:val="fi-FI"/>
        </w:rPr>
        <w:t>l</w:t>
      </w:r>
      <w:r w:rsidRPr="00186455" w:rsidR="006775F8">
        <w:rPr>
          <w:szCs w:val="15"/>
          <w:lang w:val="fi-FI"/>
        </w:rPr>
        <w:t>iite</w:t>
      </w:r>
      <w:r>
        <w:rPr>
          <w:szCs w:val="15"/>
          <w:lang w:val="fi-FI"/>
        </w:rPr>
        <w:t>tieto</w:t>
      </w:r>
      <w:r w:rsidRPr="00186455" w:rsidR="006775F8">
        <w:rPr>
          <w:szCs w:val="15"/>
          <w:lang w:val="fi-FI"/>
        </w:rPr>
        <w:t xml:space="preserve"> 4.6. </w:t>
      </w:r>
      <w:r w:rsidR="00FC62A1">
        <w:rPr>
          <w:szCs w:val="15"/>
          <w:lang w:val="fi-FI"/>
        </w:rPr>
        <w:t>Laskennalliset verot</w:t>
      </w:r>
      <w:r w:rsidRPr="00687B3B" w:rsidR="006775F8">
        <w:rPr>
          <w:szCs w:val="15"/>
          <w:lang w:val="fi-FI"/>
        </w:rPr>
        <w:t xml:space="preserve">), </w:t>
      </w:r>
      <w:r w:rsidRPr="00687B3B" w:rsidR="00FC62A1">
        <w:rPr>
          <w:szCs w:val="15"/>
          <w:lang w:val="fi-FI"/>
        </w:rPr>
        <w:t>ja</w:t>
      </w:r>
    </w:p>
    <w:p w:rsidR="00150B39" w:rsidRPr="00186455" w:rsidP="00150B39" w14:paraId="7AD99560" w14:textId="77777777">
      <w:pPr>
        <w:pStyle w:val="Bodytext2"/>
        <w:numPr>
          <w:ilvl w:val="0"/>
          <w:numId w:val="2"/>
        </w:numPr>
        <w:rPr>
          <w:szCs w:val="15"/>
          <w:lang w:val="fi-FI"/>
        </w:rPr>
      </w:pPr>
      <w:r w:rsidRPr="00186455">
        <w:rPr>
          <w:szCs w:val="15"/>
          <w:lang w:val="fi-FI"/>
        </w:rPr>
        <w:t xml:space="preserve">eläke-etuusvelvoitteet </w:t>
      </w:r>
      <w:r w:rsidRPr="00186455" w:rsidR="006775F8">
        <w:rPr>
          <w:szCs w:val="15"/>
          <w:lang w:val="fi-FI"/>
        </w:rPr>
        <w:t>(</w:t>
      </w:r>
      <w:r w:rsidRPr="00186455">
        <w:rPr>
          <w:szCs w:val="15"/>
          <w:lang w:val="fi-FI"/>
        </w:rPr>
        <w:t>l</w:t>
      </w:r>
      <w:r w:rsidRPr="00186455" w:rsidR="006775F8">
        <w:rPr>
          <w:szCs w:val="15"/>
          <w:lang w:val="fi-FI"/>
        </w:rPr>
        <w:t>iite</w:t>
      </w:r>
      <w:r>
        <w:rPr>
          <w:szCs w:val="15"/>
          <w:lang w:val="fi-FI"/>
        </w:rPr>
        <w:t>tieto</w:t>
      </w:r>
      <w:r w:rsidRPr="00186455" w:rsidR="006775F8">
        <w:rPr>
          <w:szCs w:val="15"/>
          <w:lang w:val="fi-FI"/>
        </w:rPr>
        <w:t xml:space="preserve"> 4.7. </w:t>
      </w:r>
      <w:r>
        <w:rPr>
          <w:szCs w:val="15"/>
          <w:lang w:val="fi-FI"/>
        </w:rPr>
        <w:t>Eläkevelvoitteet</w:t>
      </w:r>
      <w:r w:rsidRPr="00186455" w:rsidR="006775F8">
        <w:rPr>
          <w:szCs w:val="15"/>
          <w:lang w:val="fi-FI"/>
        </w:rPr>
        <w:t>),</w:t>
      </w:r>
    </w:p>
    <w:p w:rsidR="00150B39" w:rsidRPr="00186455" w:rsidP="00150B39" w14:paraId="084475FF" w14:textId="77777777">
      <w:pPr>
        <w:pStyle w:val="Bodytext2"/>
        <w:rPr>
          <w:szCs w:val="15"/>
          <w:lang w:val="fi-FI"/>
        </w:rPr>
      </w:pPr>
    </w:p>
    <w:p w:rsidR="00123047" w:rsidP="00150B39" w14:paraId="456F5D53" w14:textId="77777777">
      <w:pPr>
        <w:pStyle w:val="Bodytext2"/>
        <w:rPr>
          <w:szCs w:val="15"/>
          <w:lang w:val="fi-FI"/>
        </w:rPr>
      </w:pPr>
      <w:r w:rsidRPr="00C366B1">
        <w:rPr>
          <w:szCs w:val="15"/>
          <w:lang w:val="fi-FI"/>
        </w:rPr>
        <w:t>Lisäksi liiketoimintojen yhdistämisten kirjanpitokäsittely voi vaatia merkittävää johdon harkintaa (liit</w:t>
      </w:r>
      <w:r w:rsidRPr="00C366B1" w:rsidR="006775F8">
        <w:rPr>
          <w:szCs w:val="15"/>
          <w:lang w:val="fi-FI"/>
        </w:rPr>
        <w:t>e</w:t>
      </w:r>
      <w:r>
        <w:rPr>
          <w:szCs w:val="15"/>
          <w:lang w:val="fi-FI"/>
        </w:rPr>
        <w:t>tieto</w:t>
      </w:r>
      <w:r w:rsidRPr="00C366B1" w:rsidR="006775F8">
        <w:rPr>
          <w:szCs w:val="15"/>
          <w:lang w:val="fi-FI"/>
        </w:rPr>
        <w:t xml:space="preserve"> 6.1. </w:t>
      </w:r>
      <w:r w:rsidRPr="00C366B1">
        <w:rPr>
          <w:szCs w:val="15"/>
          <w:lang w:val="fi-FI"/>
        </w:rPr>
        <w:t>Yrityshankinnat</w:t>
      </w:r>
      <w:r w:rsidRPr="00687B3B" w:rsidR="006775F8">
        <w:rPr>
          <w:szCs w:val="15"/>
          <w:lang w:val="fi-FI"/>
        </w:rPr>
        <w:t>)</w:t>
      </w:r>
      <w:r>
        <w:rPr>
          <w:szCs w:val="15"/>
          <w:lang w:val="fi-FI"/>
        </w:rPr>
        <w:t>.</w:t>
      </w:r>
    </w:p>
    <w:p w:rsidR="00123047" w:rsidP="00150B39" w14:paraId="5C5C2100" w14:textId="77777777">
      <w:pPr>
        <w:pStyle w:val="Bodytext2"/>
        <w:rPr>
          <w:szCs w:val="15"/>
          <w:lang w:val="fi-FI"/>
        </w:rPr>
      </w:pPr>
    </w:p>
    <w:p w:rsidR="00A13EF8" w:rsidP="00150B39" w14:paraId="556AF3C3" w14:textId="77777777">
      <w:pPr>
        <w:pStyle w:val="Bodytext2"/>
        <w:rPr>
          <w:lang w:val="fi-FI"/>
        </w:rPr>
      </w:pPr>
      <w:r w:rsidRPr="00123047">
        <w:rPr>
          <w:lang w:val="fi-FI"/>
        </w:rPr>
        <w:t>COVID-19 -pandemian vuoksi Wä</w:t>
      </w:r>
      <w:r w:rsidRPr="00123047">
        <w:rPr>
          <w:lang w:val="fi-FI"/>
        </w:rPr>
        <w:t xml:space="preserve">rtsilä on tarkistanut </w:t>
      </w:r>
      <w:r>
        <w:rPr>
          <w:lang w:val="fi-FI"/>
        </w:rPr>
        <w:t>konsernitilinpäätöksen</w:t>
      </w:r>
      <w:r w:rsidRPr="00123047">
        <w:rPr>
          <w:lang w:val="fi-FI"/>
        </w:rPr>
        <w:t xml:space="preserve"> laatimisessa käytettyjä arvioita ja oletuksia. COVID-19 -pandemian aiheuttaman tilanteen mahdollinen vaikutus jokaisen arvion merkittäviin tekijöihin on huomioitu, ja pandemian vaikutus taloudellisessa raportoin</w:t>
      </w:r>
      <w:r w:rsidRPr="00123047">
        <w:rPr>
          <w:lang w:val="fi-FI"/>
        </w:rPr>
        <w:t>nissa käytettyihin arvioihin perustuu johdon parhaaseen harkintaan.</w:t>
      </w:r>
    </w:p>
    <w:p w:rsidR="00A13EF8" w:rsidP="00150B39" w14:paraId="031655DD" w14:textId="77777777">
      <w:pPr>
        <w:pStyle w:val="Bodytext2"/>
        <w:rPr>
          <w:lang w:val="fi-FI"/>
        </w:rPr>
      </w:pPr>
    </w:p>
    <w:p w:rsidR="00A13EF8" w:rsidP="00A13EF8" w14:paraId="0AE8A07B" w14:textId="77777777">
      <w:pPr>
        <w:pStyle w:val="Heading12"/>
        <w:rPr>
          <w:lang w:val="fi-FI"/>
        </w:rPr>
      </w:pPr>
      <w:r>
        <w:rPr>
          <w:lang w:val="fi-FI"/>
        </w:rPr>
        <w:t>1.5. MUUTOKSET LAADINTAPERIAATTEISSA</w:t>
      </w:r>
    </w:p>
    <w:p w:rsidR="00A13EF8" w:rsidP="00A13EF8" w14:paraId="19615412" w14:textId="77777777">
      <w:pPr>
        <w:pStyle w:val="Bodytext2"/>
        <w:rPr>
          <w:lang w:val="fi-FI"/>
        </w:rPr>
      </w:pPr>
      <w:r w:rsidRPr="00A13EF8">
        <w:rPr>
          <w:lang w:val="fi-FI"/>
        </w:rPr>
        <w:t>Käypään arvoon muiden laajan tuloksen erien kautta arvostettavat rahoitusvarat ja rahoitusvelat sisältävät</w:t>
      </w:r>
      <w:r w:rsidR="00514678">
        <w:rPr>
          <w:lang w:val="fi-FI"/>
        </w:rPr>
        <w:t xml:space="preserve"> </w:t>
      </w:r>
      <w:r w:rsidRPr="00A13EF8">
        <w:rPr>
          <w:lang w:val="fi-FI"/>
        </w:rPr>
        <w:t xml:space="preserve">suojauslaskennan </w:t>
      </w:r>
      <w:r w:rsidRPr="00A13EF8">
        <w:rPr>
          <w:lang w:val="fi-FI"/>
        </w:rPr>
        <w:t>soveltamisedellytykset täyttävien johdannaisinstrumenttien tehokkaan osuuden. Käypään arvoon</w:t>
      </w:r>
      <w:r w:rsidR="00514678">
        <w:rPr>
          <w:lang w:val="fi-FI"/>
        </w:rPr>
        <w:t xml:space="preserve"> </w:t>
      </w:r>
      <w:r w:rsidRPr="00A13EF8">
        <w:rPr>
          <w:lang w:val="fi-FI"/>
        </w:rPr>
        <w:t>tulosvaikutteisesti arvostettavat rahoitusvarat ja rahoitusvelat sisältävät johdannaisinstrumentit, jotka eivät täytä</w:t>
      </w:r>
      <w:r w:rsidR="00514678">
        <w:rPr>
          <w:lang w:val="fi-FI"/>
        </w:rPr>
        <w:t xml:space="preserve"> </w:t>
      </w:r>
      <w:r w:rsidRPr="00A13EF8">
        <w:rPr>
          <w:lang w:val="fi-FI"/>
        </w:rPr>
        <w:t>suojauslaskennan soveltamisedellytyksiä.</w:t>
      </w:r>
    </w:p>
    <w:p w:rsidR="00514678" w:rsidRPr="00A13EF8" w:rsidP="00A13EF8" w14:paraId="45E308A7" w14:textId="77777777">
      <w:pPr>
        <w:pStyle w:val="Bodytext2"/>
        <w:rPr>
          <w:lang w:val="fi-FI"/>
        </w:rPr>
      </w:pPr>
    </w:p>
    <w:p w:rsidR="00A13EF8" w:rsidP="00A13EF8" w14:paraId="31CFBC42" w14:textId="77777777">
      <w:pPr>
        <w:pStyle w:val="Bodytext2"/>
        <w:rPr>
          <w:lang w:val="fi-FI"/>
        </w:rPr>
      </w:pPr>
      <w:r w:rsidRPr="00A13EF8">
        <w:rPr>
          <w:lang w:val="fi-FI"/>
        </w:rPr>
        <w:t>1.1</w:t>
      </w:r>
      <w:r w:rsidRPr="00A13EF8">
        <w:rPr>
          <w:lang w:val="fi-FI"/>
        </w:rPr>
        <w:t>.2021 alkaen Wärtsilä on mukauttanut laskentaperiaatteitaan johdannaisten tuloksen esittämiseen liittyen.</w:t>
      </w:r>
      <w:r w:rsidR="00514678">
        <w:rPr>
          <w:lang w:val="fi-FI"/>
        </w:rPr>
        <w:t xml:space="preserve"> </w:t>
      </w:r>
      <w:r w:rsidRPr="00A13EF8">
        <w:rPr>
          <w:lang w:val="fi-FI"/>
        </w:rPr>
        <w:t>Suojauslaskennan ulkopuolella olevien johdannaisten voitot ja tappiot sekä suojauslaskennan alaisten johdannaisten</w:t>
      </w:r>
      <w:r w:rsidR="00514678">
        <w:rPr>
          <w:lang w:val="fi-FI"/>
        </w:rPr>
        <w:t xml:space="preserve"> </w:t>
      </w:r>
      <w:r w:rsidRPr="00A13EF8">
        <w:rPr>
          <w:lang w:val="fi-FI"/>
        </w:rPr>
        <w:t>tehoton osuus kirjataan liiketoimin</w:t>
      </w:r>
      <w:r w:rsidRPr="00A13EF8">
        <w:rPr>
          <w:lang w:val="fi-FI"/>
        </w:rPr>
        <w:t>nan muihin tuottoihin, liiketoiminnan muihin kuluihin tai rahoitustuottoihin ja -kuluihin sen mukaan, minne suojattava erä on kirjattu tuloslaskelmassa. Wärtsilä kirjaa jatkossakin johdannaisten</w:t>
      </w:r>
      <w:r w:rsidR="00514678">
        <w:rPr>
          <w:lang w:val="fi-FI"/>
        </w:rPr>
        <w:t xml:space="preserve"> </w:t>
      </w:r>
      <w:r w:rsidRPr="00A13EF8">
        <w:rPr>
          <w:lang w:val="fi-FI"/>
        </w:rPr>
        <w:t>aika-arvon tuloslaskelman rahoitustuottoihin ja -kuluihin.</w:t>
      </w:r>
    </w:p>
    <w:p w:rsidR="00514678" w:rsidRPr="00A13EF8" w:rsidP="00A13EF8" w14:paraId="0975FA02" w14:textId="77777777">
      <w:pPr>
        <w:pStyle w:val="Bodytext2"/>
        <w:rPr>
          <w:lang w:val="fi-FI"/>
        </w:rPr>
      </w:pPr>
    </w:p>
    <w:p w:rsidR="00150B39" w:rsidRPr="000452E2" w:rsidP="00A13EF8" w14:paraId="0E04E3E4" w14:textId="77777777">
      <w:pPr>
        <w:pStyle w:val="Bodytext2"/>
        <w:rPr>
          <w:sz w:val="2"/>
          <w:szCs w:val="2"/>
          <w:lang w:val="fi-FI"/>
        </w:rPr>
      </w:pPr>
      <w:r w:rsidRPr="00A13EF8">
        <w:rPr>
          <w:lang w:val="fi-FI"/>
        </w:rPr>
        <w:t>M</w:t>
      </w:r>
      <w:r w:rsidRPr="00A13EF8">
        <w:rPr>
          <w:lang w:val="fi-FI"/>
        </w:rPr>
        <w:t>uutoksen tarkoitus on yhdenmukaistaa suojauksen tuloksen ja suojattavan erän esittäminen tuloslaskelmassa.</w:t>
      </w:r>
      <w:r w:rsidR="00514678">
        <w:rPr>
          <w:lang w:val="fi-FI"/>
        </w:rPr>
        <w:t xml:space="preserve"> </w:t>
      </w:r>
      <w:r w:rsidRPr="00A13EF8">
        <w:rPr>
          <w:lang w:val="fi-FI"/>
        </w:rPr>
        <w:t>Muutoksella ei ole merkittävää vaikutusta konsernitilinpäätökseen.</w:t>
      </w:r>
      <w:r w:rsidRPr="00687B3B" w:rsidR="006775F8">
        <w:rPr>
          <w:sz w:val="2"/>
          <w:szCs w:val="2"/>
          <w:highlight w:val="yellow"/>
          <w:lang w:val="fi-FI"/>
        </w:rPr>
        <w:br w:type="column"/>
      </w:r>
    </w:p>
    <w:p w:rsidR="00150B58" w:rsidP="00F45225" w14:paraId="5B1D294D" w14:textId="77777777">
      <w:pPr>
        <w:pStyle w:val="Heading11"/>
        <w:rPr>
          <w:lang w:val="fi-FI"/>
        </w:rPr>
      </w:pPr>
      <w:bookmarkStart w:id="1448" w:name="RG_MARKER_7257"/>
      <w:bookmarkStart w:id="1449" w:name="RG_MARKER_7428"/>
      <w:r>
        <w:rPr>
          <w:noProof/>
          <w:lang w:val="fi-FI"/>
        </w:rPr>
        <w:drawing>
          <wp:anchor distT="0" distB="0" distL="114300" distR="114300" simplePos="0" relativeHeight="251669504" behindDoc="1" locked="0" layoutInCell="1" allowOverlap="1">
            <wp:simplePos x="0" y="0"/>
            <wp:positionH relativeFrom="page">
              <wp:posOffset>0</wp:posOffset>
            </wp:positionH>
            <wp:positionV relativeFrom="page">
              <wp:posOffset>1155700</wp:posOffset>
            </wp:positionV>
            <wp:extent cx="5115600" cy="5580000"/>
            <wp:effectExtent l="0" t="0" r="8890" b="1905"/>
            <wp:wrapNone/>
            <wp:docPr id="12393199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036738" name="Picture 2"/>
                    <pic:cNvPicPr>
                      <a:picLocks noChangeAspect="1" noChangeArrowheads="1"/>
                    </pic:cNvPicPr>
                  </pic:nvPicPr>
                  <pic:blipFill>
                    <a:blip xmlns:r="http://schemas.openxmlformats.org/officeDocument/2006/relationships" r:embed="rId59">
                      <a:extLst>
                        <a:ext xmlns:a="http://schemas.openxmlformats.org/drawingml/2006/main" uri="{28A0092B-C50C-407E-A947-70E740481C1C}">
                          <a14:useLocalDpi xmlns:a14="http://schemas.microsoft.com/office/drawing/2010/main" val="0"/>
                        </a:ext>
                      </a:extLst>
                    </a:blip>
                    <a:stretch>
                      <a:fillRect/>
                    </a:stretch>
                  </pic:blipFill>
                  <pic:spPr bwMode="auto">
                    <a:xfrm>
                      <a:off x="0" y="0"/>
                      <a:ext cx="5115600" cy="5580000"/>
                    </a:xfrm>
                    <a:prstGeom prst="rect">
                      <a:avLst/>
                    </a:prstGeom>
                    <a:noFill/>
                  </pic:spPr>
                </pic:pic>
              </a:graphicData>
            </a:graphic>
            <wp14:sizeRelH relativeFrom="margin">
              <wp14:pctWidth>0</wp14:pctWidth>
            </wp14:sizeRelH>
            <wp14:sizeRelV relativeFrom="margin">
              <wp14:pctHeight>0</wp14:pctHeight>
            </wp14:sizeRelV>
          </wp:anchor>
        </w:drawing>
      </w:r>
      <w:bookmarkEnd w:id="1449"/>
      <w:bookmarkEnd w:id="1448"/>
    </w:p>
    <w:p w:rsidR="00150B58" w:rsidP="00F45225" w14:paraId="08C66297" w14:textId="77777777">
      <w:pPr>
        <w:pStyle w:val="Heading11"/>
        <w:rPr>
          <w:lang w:val="fi-FI"/>
        </w:rPr>
      </w:pPr>
    </w:p>
    <w:p w:rsidR="00150B58" w:rsidP="00F45225" w14:paraId="3DC0F8BF" w14:textId="77777777">
      <w:pPr>
        <w:pStyle w:val="Heading11"/>
        <w:rPr>
          <w:lang w:val="fi-FI"/>
        </w:rPr>
      </w:pPr>
    </w:p>
    <w:p w:rsidR="00150B58" w:rsidP="00F45225" w14:paraId="2F139293" w14:textId="77777777">
      <w:pPr>
        <w:pStyle w:val="Heading11"/>
        <w:rPr>
          <w:lang w:val="fi-FI"/>
        </w:rPr>
      </w:pPr>
    </w:p>
    <w:p w:rsidR="00150B58" w:rsidP="00F45225" w14:paraId="1CEAED6B" w14:textId="77777777">
      <w:pPr>
        <w:pStyle w:val="Heading11"/>
        <w:rPr>
          <w:lang w:val="fi-FI"/>
        </w:rPr>
      </w:pPr>
    </w:p>
    <w:p w:rsidR="00150B58" w:rsidP="00F45225" w14:paraId="7BA2D771" w14:textId="77777777">
      <w:pPr>
        <w:pStyle w:val="Heading11"/>
        <w:rPr>
          <w:lang w:val="fi-FI"/>
        </w:rPr>
      </w:pPr>
    </w:p>
    <w:p w:rsidR="00150B58" w:rsidP="00F45225" w14:paraId="31300562" w14:textId="77777777">
      <w:pPr>
        <w:pStyle w:val="Heading11"/>
        <w:rPr>
          <w:lang w:val="fi-FI"/>
        </w:rPr>
      </w:pPr>
    </w:p>
    <w:p w:rsidR="00150B58" w:rsidP="00F45225" w14:paraId="1A4B59D8" w14:textId="77777777">
      <w:pPr>
        <w:pStyle w:val="Heading11"/>
        <w:rPr>
          <w:lang w:val="fi-FI"/>
        </w:rPr>
      </w:pPr>
    </w:p>
    <w:p w:rsidR="00150B58" w:rsidP="00F45225" w14:paraId="57C273C2" w14:textId="77777777">
      <w:pPr>
        <w:pStyle w:val="Heading11"/>
        <w:rPr>
          <w:lang w:val="fi-FI"/>
        </w:rPr>
      </w:pPr>
    </w:p>
    <w:p w:rsidR="00150B58" w:rsidP="00F45225" w14:paraId="59DFAD78" w14:textId="77777777">
      <w:pPr>
        <w:pStyle w:val="Heading11"/>
        <w:rPr>
          <w:lang w:val="fi-FI"/>
        </w:rPr>
      </w:pPr>
    </w:p>
    <w:p w:rsidR="00150B58" w:rsidP="00F45225" w14:paraId="750EC62F" w14:textId="77777777">
      <w:pPr>
        <w:pStyle w:val="Heading11"/>
        <w:rPr>
          <w:lang w:val="fi-FI"/>
        </w:rPr>
      </w:pPr>
    </w:p>
    <w:p w:rsidR="00150B58" w:rsidP="00F45225" w14:paraId="52D5E100" w14:textId="77777777">
      <w:pPr>
        <w:pStyle w:val="Heading11"/>
        <w:rPr>
          <w:lang w:val="fi-FI"/>
        </w:rPr>
      </w:pPr>
    </w:p>
    <w:p w:rsidR="00150B58" w:rsidP="00F45225" w14:paraId="72259470" w14:textId="77777777">
      <w:pPr>
        <w:pStyle w:val="Heading11"/>
        <w:rPr>
          <w:lang w:val="fi-FI"/>
        </w:rPr>
      </w:pPr>
    </w:p>
    <w:p w:rsidR="00150B58" w:rsidP="00F45225" w14:paraId="26BC8BEB" w14:textId="77777777">
      <w:pPr>
        <w:pStyle w:val="Heading11"/>
        <w:rPr>
          <w:lang w:val="fi-FI"/>
        </w:rPr>
      </w:pPr>
    </w:p>
    <w:p w:rsidR="00150B58" w:rsidP="00F45225" w14:paraId="2A507A55" w14:textId="77777777">
      <w:pPr>
        <w:pStyle w:val="Heading11"/>
        <w:rPr>
          <w:lang w:val="fi-FI"/>
        </w:rPr>
      </w:pPr>
    </w:p>
    <w:p w:rsidR="00150B58" w:rsidP="00F45225" w14:paraId="6C71DF0D" w14:textId="77777777">
      <w:pPr>
        <w:pStyle w:val="Heading11"/>
        <w:rPr>
          <w:lang w:val="fi-FI"/>
        </w:rPr>
      </w:pPr>
    </w:p>
    <w:p w:rsidR="00150B58" w:rsidP="00F45225" w14:paraId="6786DD32" w14:textId="77777777">
      <w:pPr>
        <w:pStyle w:val="Heading11"/>
        <w:rPr>
          <w:lang w:val="fi-FI"/>
        </w:rPr>
      </w:pPr>
    </w:p>
    <w:p w:rsidR="00EC2214" w:rsidRPr="00BA7A2F" w:rsidP="00EC2214" w14:paraId="3BE0C186" w14:textId="77777777">
      <w:pPr>
        <w:pStyle w:val="Heading11"/>
        <w:rPr>
          <w:lang w:val="fi-FI"/>
        </w:rPr>
      </w:pPr>
      <w:r w:rsidRPr="00CF4496">
        <w:rPr>
          <w:lang w:val="fi-FI"/>
        </w:rPr>
        <w:t>2. KONSERNIN TALOUDELLINEN TULOS</w:t>
      </w:r>
    </w:p>
    <w:p w:rsidR="00EC2214" w:rsidRPr="00BA7A2F" w:rsidP="00EC2214" w14:paraId="386CFCE9" w14:textId="77777777">
      <w:pPr>
        <w:pStyle w:val="Heading12"/>
        <w:rPr>
          <w:b w:val="0"/>
          <w:lang w:val="fi-FI"/>
        </w:rPr>
      </w:pPr>
      <w:r>
        <w:rPr>
          <w:noProof/>
        </w:rPr>
        <mc:AlternateContent>
          <mc:Choice Requires="wps">
            <w:drawing>
              <wp:anchor distT="0" distB="0" distL="114300" distR="114300" simplePos="0" relativeHeight="251702272" behindDoc="0" locked="0" layoutInCell="1" allowOverlap="1">
                <wp:simplePos x="0" y="0"/>
                <wp:positionH relativeFrom="column">
                  <wp:posOffset>0</wp:posOffset>
                </wp:positionH>
                <wp:positionV relativeFrom="paragraph">
                  <wp:posOffset>53975</wp:posOffset>
                </wp:positionV>
                <wp:extent cx="4679950" cy="0"/>
                <wp:effectExtent l="19050" t="19050" r="25400" b="19050"/>
                <wp:wrapNone/>
                <wp:docPr id="1552799294" name="Straight Connector 4"/>
                <wp:cNvGraphicFramePr/>
                <a:graphic xmlns:a="http://schemas.openxmlformats.org/drawingml/2006/main">
                  <a:graphicData uri="http://schemas.microsoft.com/office/word/2010/wordprocessingShape">
                    <wps:wsp xmlns:wps="http://schemas.microsoft.com/office/word/2010/wordprocessingShape">
                      <wps:cNvCnPr/>
                      <wps:spPr>
                        <a:xfrm>
                          <a:off x="0" y="0"/>
                          <a:ext cx="4679950" cy="0"/>
                        </a:xfrm>
                        <a:prstGeom prst="line">
                          <a:avLst/>
                        </a:prstGeom>
                        <a:ln w="28575" cap="rnd">
                          <a:solidFill>
                            <a:srgbClr val="99B7C4"/>
                          </a:solidFill>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id="Straight Connector 4" o:spid="_x0000_s1033" style="mso-height-percent:0;mso-height-relative:page;mso-width-percent:0;mso-width-relative:margin;mso-wrap-distance-bottom:0;mso-wrap-distance-left:9pt;mso-wrap-distance-right:9pt;mso-wrap-distance-top:0;position:absolute;v-text-anchor:top;z-index:251701248" from="0,4.25pt" to="368.5pt,4.25pt" fillcolor="this" stroked="t" strokecolor="#99b7c4" strokeweight="2.25pt">
                <v:stroke endcap="round"/>
              </v:line>
            </w:pict>
          </mc:Fallback>
        </mc:AlternateContent>
      </w:r>
    </w:p>
    <w:p w:rsidR="00EC2214" w:rsidRPr="00BA7A2F" w:rsidP="00EC2214" w14:paraId="482F3835" w14:textId="77777777">
      <w:pPr>
        <w:pStyle w:val="Heading12"/>
        <w:rPr>
          <w:b w:val="0"/>
          <w:bCs/>
          <w:color w:val="99B7C4"/>
          <w:lang w:val="fi-FI"/>
        </w:rPr>
      </w:pPr>
      <w:r w:rsidRPr="00BA7A2F">
        <w:rPr>
          <w:b w:val="0"/>
          <w:bCs/>
          <w:color w:val="99B7C4"/>
          <w:lang w:val="fi-FI"/>
        </w:rPr>
        <w:t>Osion sisältö:</w:t>
      </w:r>
    </w:p>
    <w:p w:rsidR="00EC2214" w:rsidRPr="00BA7A2F" w:rsidP="00EC2214" w14:paraId="568C209F" w14:textId="77777777">
      <w:pPr>
        <w:pStyle w:val="Heading12"/>
        <w:ind w:left="284"/>
        <w:rPr>
          <w:color w:val="99B7C4"/>
          <w:sz w:val="12"/>
          <w:szCs w:val="12"/>
          <w:lang w:val="fi-FI"/>
        </w:rPr>
      </w:pPr>
    </w:p>
    <w:p w:rsidR="00EC2214" w:rsidRPr="00BA7A2F" w:rsidP="00EC2214" w14:paraId="58CC45A8" w14:textId="77777777">
      <w:pPr>
        <w:pStyle w:val="Heading12"/>
        <w:ind w:left="284"/>
        <w:rPr>
          <w:color w:val="99B7C4"/>
          <w:lang w:val="fi-FI"/>
        </w:rPr>
      </w:pPr>
      <w:r w:rsidRPr="00BA7A2F">
        <w:rPr>
          <w:color w:val="99B7C4"/>
          <w:lang w:val="fi-FI"/>
        </w:rPr>
        <w:t>2.1. SEGMENTTI-INFORMAATIO</w:t>
      </w:r>
    </w:p>
    <w:p w:rsidR="00EC2214" w:rsidRPr="00EC2214" w:rsidP="00EC2214" w14:paraId="2F992C54" w14:textId="77777777">
      <w:pPr>
        <w:pStyle w:val="Heading12"/>
        <w:ind w:left="284"/>
        <w:rPr>
          <w:color w:val="99B7C4"/>
          <w:lang w:val="fi-FI"/>
        </w:rPr>
      </w:pPr>
      <w:r w:rsidRPr="00EC2214">
        <w:rPr>
          <w:color w:val="99B7C4"/>
          <w:lang w:val="fi-FI"/>
        </w:rPr>
        <w:t>2.2. MYYNTITUOTTOJEN TULOUTUS</w:t>
      </w:r>
    </w:p>
    <w:p w:rsidR="00EC2214" w:rsidRPr="00EC2214" w:rsidP="00EC2214" w14:paraId="22465461" w14:textId="77777777">
      <w:pPr>
        <w:pStyle w:val="Heading12"/>
        <w:ind w:left="284"/>
        <w:rPr>
          <w:color w:val="99B7C4"/>
          <w:lang w:val="fi-FI"/>
        </w:rPr>
      </w:pPr>
      <w:r w:rsidRPr="00EC2214">
        <w:rPr>
          <w:color w:val="99B7C4"/>
          <w:lang w:val="fi-FI"/>
        </w:rPr>
        <w:t>2.3. LIIKET</w:t>
      </w:r>
      <w:r>
        <w:rPr>
          <w:color w:val="99B7C4"/>
          <w:lang w:val="fi-FI"/>
        </w:rPr>
        <w:t>OIMINNAN MUUT TUOTOT JA KULUT</w:t>
      </w:r>
    </w:p>
    <w:p w:rsidR="00EC2214" w:rsidRPr="00EC2214" w:rsidP="00EC2214" w14:paraId="7F1FDA1C" w14:textId="77777777">
      <w:pPr>
        <w:pStyle w:val="Heading12"/>
        <w:ind w:left="284"/>
        <w:rPr>
          <w:color w:val="99B7C4"/>
          <w:lang w:val="fi-FI"/>
        </w:rPr>
      </w:pPr>
      <w:r w:rsidRPr="00EC2214">
        <w:rPr>
          <w:color w:val="99B7C4"/>
          <w:lang w:val="fi-FI"/>
        </w:rPr>
        <w:t>2.4. MATERIAALIT JA PALVELUT</w:t>
      </w:r>
    </w:p>
    <w:p w:rsidR="00EC2214" w:rsidRPr="00EC2214" w:rsidP="00EC2214" w14:paraId="03FF7251" w14:textId="77777777">
      <w:pPr>
        <w:pStyle w:val="Heading12"/>
        <w:ind w:left="284"/>
        <w:rPr>
          <w:color w:val="99B7C4"/>
          <w:lang w:val="fi-FI"/>
        </w:rPr>
      </w:pPr>
      <w:r w:rsidRPr="00EC2214">
        <w:rPr>
          <w:color w:val="99B7C4"/>
          <w:lang w:val="fi-FI"/>
        </w:rPr>
        <w:t>2.5. TY</w:t>
      </w:r>
      <w:r>
        <w:rPr>
          <w:color w:val="99B7C4"/>
          <w:lang w:val="fi-FI"/>
        </w:rPr>
        <w:t>ÖSUHDE-ETUUKSISTA AIHEUTUVAT KULUT</w:t>
      </w:r>
    </w:p>
    <w:p w:rsidR="00EC2214" w:rsidRPr="00EC2214" w:rsidP="00EC2214" w14:paraId="79D13090" w14:textId="77777777">
      <w:pPr>
        <w:pStyle w:val="Heading12"/>
        <w:ind w:left="284"/>
        <w:rPr>
          <w:color w:val="99B7C4"/>
          <w:lang w:val="fi-FI"/>
        </w:rPr>
      </w:pPr>
      <w:r w:rsidRPr="00EC2214">
        <w:rPr>
          <w:color w:val="99B7C4"/>
          <w:lang w:val="fi-FI"/>
        </w:rPr>
        <w:t xml:space="preserve">2.6. </w:t>
      </w:r>
      <w:r>
        <w:rPr>
          <w:color w:val="99B7C4"/>
          <w:lang w:val="fi-FI"/>
        </w:rPr>
        <w:t>TULOVEROT</w:t>
      </w:r>
    </w:p>
    <w:p w:rsidR="00EC2214" w:rsidRPr="00EC2214" w:rsidP="00EC2214" w14:paraId="69410BC8" w14:textId="77777777">
      <w:pPr>
        <w:pStyle w:val="Heading12"/>
        <w:ind w:left="284"/>
        <w:rPr>
          <w:color w:val="99B7C4"/>
          <w:lang w:val="fi-FI"/>
        </w:rPr>
      </w:pPr>
      <w:r w:rsidRPr="00EC2214">
        <w:rPr>
          <w:color w:val="99B7C4"/>
          <w:lang w:val="fi-FI"/>
        </w:rPr>
        <w:t xml:space="preserve">2.7. </w:t>
      </w:r>
      <w:r>
        <w:rPr>
          <w:color w:val="99B7C4"/>
          <w:lang w:val="fi-FI"/>
        </w:rPr>
        <w:t>OSAKEKOHTAINEN TULOS</w:t>
      </w:r>
    </w:p>
    <w:p w:rsidR="00EC2214" w:rsidRPr="00EC2214" w:rsidP="00EC2214" w14:paraId="7F6DE114" w14:textId="77777777">
      <w:pPr>
        <w:pStyle w:val="Bodytext2"/>
        <w:rPr>
          <w:lang w:val="fi-FI"/>
        </w:rPr>
      </w:pPr>
      <w:r>
        <w:rPr>
          <w:noProof/>
        </w:rPr>
        <mc:AlternateContent>
          <mc:Choice Requires="wps">
            <w:drawing>
              <wp:anchor distT="0" distB="0" distL="114300" distR="114300" simplePos="0" relativeHeight="251685888" behindDoc="0" locked="0" layoutInCell="1" allowOverlap="1">
                <wp:simplePos x="0" y="0"/>
                <wp:positionH relativeFrom="column">
                  <wp:posOffset>0</wp:posOffset>
                </wp:positionH>
                <wp:positionV relativeFrom="paragraph">
                  <wp:posOffset>71755</wp:posOffset>
                </wp:positionV>
                <wp:extent cx="4679950" cy="0"/>
                <wp:effectExtent l="19050" t="19050" r="25400" b="19050"/>
                <wp:wrapNone/>
                <wp:docPr id="3" name="Straight Connector 3"/>
                <wp:cNvGraphicFramePr/>
                <a:graphic xmlns:a="http://schemas.openxmlformats.org/drawingml/2006/main">
                  <a:graphicData uri="http://schemas.microsoft.com/office/word/2010/wordprocessingShape">
                    <wps:wsp xmlns:wps="http://schemas.microsoft.com/office/word/2010/wordprocessingShape">
                      <wps:cNvCnPr/>
                      <wps:spPr>
                        <a:xfrm>
                          <a:off x="0" y="0"/>
                          <a:ext cx="4679950" cy="0"/>
                        </a:xfrm>
                        <a:prstGeom prst="line">
                          <a:avLst/>
                        </a:prstGeom>
                        <a:ln w="28575" cap="rnd">
                          <a:solidFill>
                            <a:srgbClr val="99B7C4"/>
                          </a:solidFill>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id="Straight Connector 3" o:spid="_x0000_s1034" style="mso-height-percent:0;mso-height-relative:page;mso-width-percent:0;mso-width-relative:margin;mso-wrap-distance-bottom:0;mso-wrap-distance-left:9pt;mso-wrap-distance-right:9pt;mso-wrap-distance-top:0;position:absolute;v-text-anchor:top;z-index:251684864" from="0,5.65pt" to="368.5pt,5.65pt" fillcolor="this" stroked="t" strokecolor="#99b7c4" strokeweight="2.25pt">
                <v:stroke endcap="round"/>
              </v:line>
            </w:pict>
          </mc:Fallback>
        </mc:AlternateContent>
      </w:r>
    </w:p>
    <w:p w:rsidR="00EC2214" w:rsidRPr="00EC2214" w:rsidP="00EC2214" w14:paraId="3560ABE9" w14:textId="77777777">
      <w:pPr>
        <w:pStyle w:val="Bodytext2"/>
        <w:rPr>
          <w:lang w:val="fi-FI"/>
        </w:rPr>
      </w:pPr>
    </w:p>
    <w:p w:rsidR="00EC2214" w:rsidRPr="00EC2214" w:rsidP="00EC2214" w14:paraId="58AFD5FF" w14:textId="77777777">
      <w:pPr>
        <w:pStyle w:val="Bodytext2"/>
        <w:rPr>
          <w:lang w:val="fi-FI"/>
        </w:rPr>
      </w:pPr>
    </w:p>
    <w:p w:rsidR="00D43631" w:rsidRPr="00BA7A2F" w:rsidP="00D43631" w14:paraId="6CB174FF" w14:textId="77777777">
      <w:pPr>
        <w:pStyle w:val="Heading12"/>
        <w:rPr>
          <w:lang w:val="fi-FI"/>
        </w:rPr>
      </w:pPr>
      <w:r w:rsidRPr="00BA7A2F">
        <w:rPr>
          <w:lang w:val="fi-FI"/>
        </w:rPr>
        <w:t>2.1. SEGMENTTI-INFORMAATIO</w:t>
      </w:r>
    </w:p>
    <w:p w:rsidR="00D43631" w:rsidP="00D43631" w14:paraId="6EE240E9" w14:textId="77777777">
      <w:pPr>
        <w:pStyle w:val="Bodytext2"/>
        <w:rPr>
          <w:lang w:val="fi-FI"/>
        </w:rPr>
      </w:pPr>
      <w:r w:rsidRPr="00FD2A89">
        <w:rPr>
          <w:lang w:val="fi-FI"/>
        </w:rPr>
        <w:t xml:space="preserve">Wärtsilän raportoitavat segmentit ovat Wärtsilä Marine Power, Wärtsilä Marine Systems, Wärtsilä Voyage ja Wärtsilä Energy. Lisäksi Wärtsilä Portfolio Business raportoidaan muina </w:t>
      </w:r>
      <w:r w:rsidRPr="00FD2A89">
        <w:rPr>
          <w:lang w:val="fi-FI"/>
        </w:rPr>
        <w:t>liiketoimintoina. Segmentit</w:t>
      </w:r>
      <w:r w:rsidRPr="00126FBB">
        <w:rPr>
          <w:lang w:val="fi-FI"/>
        </w:rPr>
        <w:t xml:space="preserve"> ja muut liiketoiminnot kattavat sekä laitemyynnin että huoltotoiminnan omi</w:t>
      </w:r>
      <w:r>
        <w:rPr>
          <w:lang w:val="fi-FI"/>
        </w:rPr>
        <w:t>ssa liiketoiminnoissaan</w:t>
      </w:r>
      <w:r w:rsidRPr="00126FBB">
        <w:rPr>
          <w:lang w:val="fi-FI"/>
        </w:rPr>
        <w:t>.</w:t>
      </w:r>
    </w:p>
    <w:p w:rsidR="00126FBB" w:rsidRPr="00126FBB" w:rsidP="00F45225" w14:paraId="78E12899" w14:textId="77777777">
      <w:pPr>
        <w:pStyle w:val="Bodytext2"/>
        <w:rPr>
          <w:lang w:val="fi-FI"/>
        </w:rPr>
      </w:pPr>
    </w:p>
    <w:p w:rsidR="00F45225" w:rsidP="00F45225" w14:paraId="70DF5C75" w14:textId="77777777">
      <w:pPr>
        <w:pStyle w:val="Bodytext2"/>
        <w:rPr>
          <w:lang w:val="fi-FI"/>
        </w:rPr>
      </w:pPr>
      <w:r w:rsidRPr="00F45225">
        <w:rPr>
          <w:lang w:val="fi-FI"/>
        </w:rPr>
        <w:t>Wärtsilän ylin operatiivinen päätöksentekijä (CODM, Chief Operating Decision Maker) on yhtiön toimitusjohtaja, joka on samalla k</w:t>
      </w:r>
      <w:r w:rsidRPr="00F45225">
        <w:rPr>
          <w:lang w:val="fi-FI"/>
        </w:rPr>
        <w:t>onsernijohtaja. Häntä tukee johtoryhmä ja joissain tapauksissa myös yhtiön hallitus.</w:t>
      </w:r>
    </w:p>
    <w:p w:rsidR="00F45225" w:rsidRPr="00F45225" w:rsidP="00F45225" w14:paraId="43EADD7B" w14:textId="77777777">
      <w:pPr>
        <w:pStyle w:val="Bodytext2"/>
        <w:rPr>
          <w:lang w:val="fi-FI"/>
        </w:rPr>
      </w:pPr>
    </w:p>
    <w:p w:rsidR="00F45225" w:rsidP="00F45225" w14:paraId="243F7D98" w14:textId="77777777">
      <w:pPr>
        <w:pStyle w:val="Bodytext2"/>
        <w:rPr>
          <w:lang w:val="fi-FI"/>
        </w:rPr>
      </w:pPr>
      <w:r w:rsidRPr="00F45225">
        <w:rPr>
          <w:lang w:val="fi-FI"/>
        </w:rPr>
        <w:t xml:space="preserve">Marine Powerilla, </w:t>
      </w:r>
      <w:r w:rsidR="000108AA">
        <w:rPr>
          <w:lang w:val="fi-FI"/>
        </w:rPr>
        <w:t>M</w:t>
      </w:r>
      <w:r w:rsidRPr="00F45225">
        <w:rPr>
          <w:lang w:val="fi-FI"/>
        </w:rPr>
        <w:t>arine Systemsillä, Voyagella, Energyllä ja Portfolio Businessillä on kullakin oma johtajansa. Liiketoimin</w:t>
      </w:r>
      <w:r>
        <w:rPr>
          <w:lang w:val="fi-FI"/>
        </w:rPr>
        <w:t>nat</w:t>
      </w:r>
      <w:r w:rsidRPr="00F45225">
        <w:rPr>
          <w:lang w:val="fi-FI"/>
        </w:rPr>
        <w:t xml:space="preserve"> toimittavat erilliset taloustietonsa CODM:</w:t>
      </w:r>
      <w:r w:rsidRPr="00F45225">
        <w:rPr>
          <w:lang w:val="fi-FI"/>
        </w:rPr>
        <w:t>lle päätöksenteon tueksi. Wärtsilän esittämä segmentti-informaatio vastaa sisäistä raportointia johdolle. Segmentti-informaatio raportoidaan liiketuloksen tasolle, sillä liiketuloksen jälkeisiä eriä ei kohdisteta liiketoimin</w:t>
      </w:r>
      <w:r>
        <w:rPr>
          <w:lang w:val="fi-FI"/>
        </w:rPr>
        <w:t>noille</w:t>
      </w:r>
      <w:r w:rsidRPr="00F45225">
        <w:rPr>
          <w:lang w:val="fi-FI"/>
        </w:rPr>
        <w:t>.</w:t>
      </w:r>
    </w:p>
    <w:p w:rsidR="00215BC6" w:rsidP="00F45225" w14:paraId="32C1F5C1" w14:textId="77777777">
      <w:pPr>
        <w:pStyle w:val="Bodytext2"/>
        <w:rPr>
          <w:lang w:val="fi-FI"/>
        </w:rPr>
      </w:pPr>
    </w:p>
    <w:p w:rsidR="00215BC6" w:rsidP="00215BC6" w14:paraId="55FDB62B" w14:textId="77777777">
      <w:pPr>
        <w:pStyle w:val="Bodytext2"/>
        <w:rPr>
          <w:lang w:val="fi-FI"/>
        </w:rPr>
      </w:pPr>
      <w:r w:rsidRPr="00215BC6">
        <w:rPr>
          <w:lang w:val="fi-FI"/>
        </w:rPr>
        <w:t>Segmenttien ja muiden l</w:t>
      </w:r>
      <w:r w:rsidRPr="00215BC6">
        <w:rPr>
          <w:lang w:val="fi-FI"/>
        </w:rPr>
        <w:t>iiketoimintojen välistä sisäistä myyntiä ei raportoida johdolle, vaan liikevaihto ja myynnin kustannukset kirjataan suoraan asiaankuuluvalle asiakkaalle</w:t>
      </w:r>
      <w:r w:rsidR="00CF4496">
        <w:rPr>
          <w:lang w:val="fi-FI"/>
        </w:rPr>
        <w:t xml:space="preserve">, </w:t>
      </w:r>
      <w:r w:rsidRPr="00215BC6">
        <w:rPr>
          <w:lang w:val="fi-FI"/>
        </w:rPr>
        <w:t>projektille</w:t>
      </w:r>
      <w:r w:rsidR="00CF4496">
        <w:rPr>
          <w:lang w:val="fi-FI"/>
        </w:rPr>
        <w:t xml:space="preserve"> ja tilaukselle</w:t>
      </w:r>
      <w:r w:rsidRPr="00215BC6">
        <w:rPr>
          <w:lang w:val="fi-FI"/>
        </w:rPr>
        <w:t>. Epäsuorat kustannukset ja hallintokulut kohdistetaan asiaankuuluvalle segm</w:t>
      </w:r>
      <w:r w:rsidRPr="00215BC6">
        <w:rPr>
          <w:lang w:val="fi-FI"/>
        </w:rPr>
        <w:t>entille tai muille liiketoiminnoille pääasiassa liikevaihdon ja henkilöstömäärän mukaan. Konsernin johdon näkemyksen mukaan nämä kohdistusperiaatteet heijastavat parhaiten kunkin segmentin ja muiden liiketoimintojen todellisia kustannuksia. Kohdistusperiaa</w:t>
      </w:r>
      <w:r w:rsidRPr="00215BC6">
        <w:rPr>
          <w:lang w:val="fi-FI"/>
        </w:rPr>
        <w:t>tteet tarkistetaan säännöllisin väliajoin.</w:t>
      </w:r>
    </w:p>
    <w:p w:rsidR="00204C93" w:rsidP="00215BC6" w14:paraId="01426D49" w14:textId="77777777">
      <w:pPr>
        <w:pStyle w:val="Bodytext2"/>
        <w:rPr>
          <w:lang w:val="fi-FI"/>
        </w:rPr>
      </w:pPr>
    </w:p>
    <w:p w:rsidR="00204C93" w:rsidP="00215BC6" w14:paraId="6C673EF1" w14:textId="77777777">
      <w:pPr>
        <w:pStyle w:val="Bodytext2"/>
        <w:rPr>
          <w:lang w:val="fi-FI"/>
        </w:rPr>
      </w:pPr>
      <w:r w:rsidRPr="00FD2A89">
        <w:rPr>
          <w:lang w:val="fi-FI"/>
        </w:rPr>
        <w:t>Wärtsilän päämääränä on kehittää kestävää yhteiskuntaa teknologia- ja palveluinnovaatioiden avulla. Puhtaan ja joustavan energian kysyntä sekä tehokkaiden ja turvallisten kuljetusjärjestelmien tarve vaikuttavat y</w:t>
      </w:r>
      <w:r w:rsidRPr="00FD2A89">
        <w:rPr>
          <w:lang w:val="fi-FI"/>
        </w:rPr>
        <w:t>hä enemmän asiakkaiden toimintaan. Tämä luo perustan Wärtsilän Smart Marine ja Smart Energy -visioille.</w:t>
      </w:r>
    </w:p>
    <w:p w:rsidR="00215BC6" w:rsidRPr="00215BC6" w:rsidP="00215BC6" w14:paraId="4FE690F2" w14:textId="77777777">
      <w:pPr>
        <w:pStyle w:val="Bodytext2"/>
        <w:rPr>
          <w:lang w:val="fi-FI"/>
        </w:rPr>
      </w:pPr>
    </w:p>
    <w:p w:rsidR="00204C93" w:rsidP="00215BC6" w14:paraId="5B5380C9" w14:textId="77777777">
      <w:pPr>
        <w:pStyle w:val="Bodytext2"/>
        <w:rPr>
          <w:rFonts w:ascii="Helvetica" w:hAnsi="Helvetica" w:cs="Helvetica"/>
          <w:color w:val="0F172B"/>
          <w:sz w:val="30"/>
          <w:szCs w:val="30"/>
          <w:lang w:val="fi-FI"/>
        </w:rPr>
      </w:pPr>
      <w:r w:rsidRPr="00FD2A89">
        <w:rPr>
          <w:lang w:val="fi-FI"/>
        </w:rPr>
        <w:t>Wärtsilän tavoitteena on johtaa merenkulkualan muutosta kohti älykästä merenkulun ekosysteemiä. Wärtsilä tarjoaa asiakkaille uusia tapoja luoda arvoa h</w:t>
      </w:r>
      <w:r w:rsidRPr="00FD2A89">
        <w:rPr>
          <w:lang w:val="fi-FI"/>
        </w:rPr>
        <w:t>yödyntämällä tietoverkkoja, digitalisaatiota ja älyteknologiaa. Vankkana perustana tälle on</w:t>
      </w:r>
      <w:r w:rsidR="00FD2A89">
        <w:rPr>
          <w:lang w:val="fi-FI"/>
        </w:rPr>
        <w:t xml:space="preserve"> </w:t>
      </w:r>
      <w:r w:rsidR="00DF1C53">
        <w:rPr>
          <w:lang w:val="fi-FI"/>
        </w:rPr>
        <w:t>Wärtsilän</w:t>
      </w:r>
      <w:r w:rsidRPr="00FD2A89">
        <w:rPr>
          <w:lang w:val="fi-FI"/>
        </w:rPr>
        <w:t xml:space="preserve"> ase</w:t>
      </w:r>
      <w:r w:rsidR="00FD2A89">
        <w:rPr>
          <w:lang w:val="fi-FI"/>
        </w:rPr>
        <w:t>ma</w:t>
      </w:r>
      <w:r w:rsidRPr="00FD2A89">
        <w:rPr>
          <w:lang w:val="fi-FI"/>
        </w:rPr>
        <w:t xml:space="preserve"> meri- sekä öljy- ja kaasuteollisuuden johtavana tuoteinnovaatioiden, integroitujen ratkaisujen ja elinkaaripalvelujen toimittajana.</w:t>
      </w:r>
    </w:p>
    <w:p w:rsidR="00215BC6" w:rsidRPr="00215BC6" w:rsidP="00215BC6" w14:paraId="2D8075F0" w14:textId="77777777">
      <w:pPr>
        <w:pStyle w:val="Bodytext2"/>
        <w:rPr>
          <w:lang w:val="fi-FI"/>
        </w:rPr>
      </w:pPr>
    </w:p>
    <w:p w:rsidR="00215BC6" w:rsidP="00215BC6" w14:paraId="343946A3" w14:textId="77777777">
      <w:pPr>
        <w:pStyle w:val="Bodytext2"/>
        <w:rPr>
          <w:lang w:val="fi-FI"/>
        </w:rPr>
      </w:pPr>
      <w:r w:rsidRPr="00215BC6">
        <w:rPr>
          <w:lang w:val="fi-FI"/>
        </w:rPr>
        <w:t>Wärtsilällä on merenkulkuasiakkaita kaikilla suurimmilla alussegmenteillä, kuten perinteiset kauppalaivat, kaasutankkerit, risteilyalukset ja matkustajalautat, laivastot ja erikoisalukset. Öljy- ja kaasuteollisuudessa Wärtsilä palvelee aktiivisesti offshor</w:t>
      </w:r>
      <w:r w:rsidRPr="00215BC6">
        <w:rPr>
          <w:lang w:val="fi-FI"/>
        </w:rPr>
        <w:t>e-laitoksia ja niihin liittyviä aluksia sekä maalla sijaitsevia kaasulaitoksia. Wärtsilän asiakaskunta koostuu laivanvarustamoista, telakoista ja laivojen liikennöitsijöistä.</w:t>
      </w:r>
    </w:p>
    <w:p w:rsidR="00204C93" w:rsidP="00215BC6" w14:paraId="1457BBE0" w14:textId="77777777">
      <w:pPr>
        <w:pStyle w:val="Bodytext2"/>
        <w:rPr>
          <w:lang w:val="fi-FI"/>
        </w:rPr>
      </w:pPr>
    </w:p>
    <w:p w:rsidR="00F45225" w:rsidP="00F45225" w14:paraId="04CF3FFE" w14:textId="49290B67">
      <w:pPr>
        <w:pStyle w:val="Bodytext2"/>
        <w:rPr>
          <w:lang w:val="fi-FI"/>
        </w:rPr>
      </w:pPr>
      <w:r w:rsidRPr="00B350AE">
        <w:rPr>
          <w:lang w:val="fi-FI"/>
        </w:rPr>
        <w:t>Energian tuotanto ja kulutus kehittyvät kohti joustavampia ja kestävämpiä energi</w:t>
      </w:r>
      <w:r w:rsidRPr="00B350AE">
        <w:rPr>
          <w:lang w:val="fi-FI"/>
        </w:rPr>
        <w:t>ajärjestelmiä uusien teknologioiden muuttuessa yhä edullisemmiksi. Wärtsilä tavoitteena on olla asiakkaidensa luottokumppani ja valjastaa heidän käyttöönsä optimaalisen energiamurroksen tuottama lisäarvo tarjoamalla keskeiset kestäviin, luotettaviin ja edu</w:t>
      </w:r>
      <w:r w:rsidRPr="00B350AE">
        <w:rPr>
          <w:lang w:val="fi-FI"/>
        </w:rPr>
        <w:t>llisiin voimantuotantojärjestelmiin tarvittavat teknologiat, palvelut ja ratkaisut.</w:t>
      </w:r>
    </w:p>
    <w:p w:rsidR="00DD7598" w:rsidRPr="00F45225" w:rsidP="00F45225" w14:paraId="46A75751" w14:textId="77777777">
      <w:pPr>
        <w:pStyle w:val="Bodytext2"/>
        <w:rPr>
          <w:lang w:val="fi-FI"/>
        </w:rPr>
      </w:pPr>
    </w:p>
    <w:p w:rsidR="00F45225" w:rsidRPr="00CF4496" w:rsidP="00F45225" w14:paraId="1DD6AEEB" w14:textId="77777777">
      <w:pPr>
        <w:pStyle w:val="Heading13"/>
        <w:rPr>
          <w:lang w:val="fi-FI"/>
        </w:rPr>
      </w:pPr>
      <w:r>
        <w:rPr>
          <w:lang w:val="fi-FI"/>
        </w:rPr>
        <w:t xml:space="preserve">Wärtsilä </w:t>
      </w:r>
      <w:r w:rsidRPr="00CF4496">
        <w:rPr>
          <w:lang w:val="fi-FI"/>
        </w:rPr>
        <w:t>Marine Power</w:t>
      </w:r>
    </w:p>
    <w:p w:rsidR="00215BC6" w:rsidP="00215BC6" w14:paraId="50013753" w14:textId="77777777">
      <w:pPr>
        <w:pStyle w:val="Bodytext2"/>
        <w:rPr>
          <w:lang w:val="fi-FI"/>
        </w:rPr>
      </w:pPr>
      <w:r w:rsidRPr="00215BC6">
        <w:rPr>
          <w:lang w:val="fi-FI"/>
        </w:rPr>
        <w:t>Marine Powerin toiminta keskittyy Wärtsilän kattavaan moottori- ja propulsiovalikoimaan. Sen tarjooma – sisältäen moottorit, generaattorit, vaihdelaat</w:t>
      </w:r>
      <w:r w:rsidRPr="00215BC6">
        <w:rPr>
          <w:lang w:val="fi-FI"/>
        </w:rPr>
        <w:t>ikot, propulsiolaitteet sekä LNG-polttoainekäsittelyn, energianhallinnan ja typen oksidien vähentämisen teknologiat – tekee Marine Powerista asiakkaiden johtavan kumppanin meriteollisuuden hiilidioksidipäästöjen vähentämisessä etenkin polttoainejoustavuude</w:t>
      </w:r>
      <w:r w:rsidRPr="00215BC6">
        <w:rPr>
          <w:lang w:val="fi-FI"/>
        </w:rPr>
        <w:t>n ja hybridiratkaisujen avulla.</w:t>
      </w:r>
    </w:p>
    <w:p w:rsidR="00215BC6" w:rsidRPr="00215BC6" w:rsidP="00215BC6" w14:paraId="59B44FB4" w14:textId="77777777">
      <w:pPr>
        <w:pStyle w:val="Bodytext2"/>
        <w:rPr>
          <w:lang w:val="fi-FI"/>
        </w:rPr>
      </w:pPr>
    </w:p>
    <w:p w:rsidR="00F45225" w:rsidRPr="00215BC6" w:rsidP="00215BC6" w14:paraId="7562A373" w14:textId="77777777">
      <w:pPr>
        <w:pStyle w:val="Bodytext2"/>
        <w:rPr>
          <w:lang w:val="fi-FI"/>
        </w:rPr>
      </w:pPr>
      <w:r>
        <w:t xml:space="preserve">Marine </w:t>
      </w:r>
      <w:r>
        <w:t>Powerilla</w:t>
      </w:r>
      <w:r>
        <w:t xml:space="preserve"> on </w:t>
      </w:r>
      <w:r>
        <w:t>kuusi</w:t>
      </w:r>
      <w:r>
        <w:t xml:space="preserve"> </w:t>
      </w:r>
      <w:r>
        <w:t>liiketoimintayksikköä</w:t>
      </w:r>
      <w:r>
        <w:t xml:space="preserve">: Power Supply, Propulsion, Parts, Performance, Projects </w:t>
      </w:r>
      <w:r>
        <w:t>sekä</w:t>
      </w:r>
      <w:r>
        <w:t xml:space="preserve"> Field Services &amp; Workshops. </w:t>
      </w:r>
      <w:r w:rsidRPr="00842C9A">
        <w:rPr>
          <w:lang w:val="fi-FI"/>
        </w:rPr>
        <w:t>Wä</w:t>
      </w:r>
      <w:r>
        <w:rPr>
          <w:lang w:val="fi-FI"/>
        </w:rPr>
        <w:t xml:space="preserve">rtsilä </w:t>
      </w:r>
      <w:r w:rsidRPr="00215BC6">
        <w:rPr>
          <w:lang w:val="fi-FI"/>
        </w:rPr>
        <w:t>Marine Power on suunniteltu tukemaan asiakkaita koko aluksen elinkaaren ajan.</w:t>
      </w:r>
      <w:r w:rsidRPr="00215BC6">
        <w:rPr>
          <w:lang w:val="fi-FI"/>
        </w:rPr>
        <w:t xml:space="preserve"> Se suunnittelee, kehittää ja toimittaa korkealaatuisia tuotteita ja ratkaisuja, jotka takaavat erinomaisen suorituskyvyn ja kykenevät vastaamaan muuttuviin ympäristövaatimuksiin, sekä tukee asiakkaita laajalla huoltoverkostolla, joka tarjoaa varaosia, pät</w:t>
      </w:r>
      <w:r w:rsidRPr="00215BC6">
        <w:rPr>
          <w:lang w:val="fi-FI"/>
        </w:rPr>
        <w:t>evää kenttähuoltohenkilöstöä sekä tuote- ja ratkaisupäivityksiä ja vähentää operatiivista riskiä.</w:t>
      </w:r>
    </w:p>
    <w:p w:rsidR="00F45225" w:rsidRPr="00215BC6" w:rsidP="00F45225" w14:paraId="642564AB" w14:textId="77777777">
      <w:pPr>
        <w:pStyle w:val="Bodytext2"/>
        <w:rPr>
          <w:lang w:val="fi-FI"/>
        </w:rPr>
      </w:pPr>
    </w:p>
    <w:p w:rsidR="00F45225" w:rsidRPr="00CF4496" w:rsidP="00F45225" w14:paraId="0993D18F" w14:textId="77777777">
      <w:pPr>
        <w:pStyle w:val="Heading13"/>
        <w:rPr>
          <w:lang w:val="fi-FI"/>
        </w:rPr>
      </w:pPr>
      <w:r>
        <w:rPr>
          <w:lang w:val="fi-FI"/>
        </w:rPr>
        <w:t xml:space="preserve">Wärtsilä </w:t>
      </w:r>
      <w:r w:rsidRPr="00CF4496">
        <w:rPr>
          <w:lang w:val="fi-FI"/>
        </w:rPr>
        <w:t>Marine Systems</w:t>
      </w:r>
    </w:p>
    <w:p w:rsidR="00215BC6" w:rsidP="00215BC6" w14:paraId="06DB21D6" w14:textId="77777777">
      <w:pPr>
        <w:pStyle w:val="Bodytext2"/>
        <w:rPr>
          <w:lang w:val="fi-FI"/>
        </w:rPr>
      </w:pPr>
      <w:r w:rsidRPr="00215BC6">
        <w:rPr>
          <w:lang w:val="fi-FI"/>
        </w:rPr>
        <w:t xml:space="preserve">Marine Systems koostuu neljästä kokonaisvaltaisia elinkaariratkaisuja tarjoavasta liiketoimintayksiköstä: Exhaust </w:t>
      </w:r>
      <w:r w:rsidRPr="00215BC6">
        <w:rPr>
          <w:lang w:val="fi-FI"/>
        </w:rPr>
        <w:t>Treatment, Gas Solutions, Marine Electrical Systems ja Shaft Line Solutions.</w:t>
      </w:r>
    </w:p>
    <w:p w:rsidR="00215BC6" w:rsidRPr="00215BC6" w:rsidP="00215BC6" w14:paraId="1FADBBC7" w14:textId="77777777">
      <w:pPr>
        <w:pStyle w:val="Bodytext2"/>
        <w:rPr>
          <w:lang w:val="fi-FI"/>
        </w:rPr>
      </w:pPr>
    </w:p>
    <w:p w:rsidR="00215BC6" w:rsidP="00215BC6" w14:paraId="67097B23" w14:textId="77777777">
      <w:pPr>
        <w:pStyle w:val="Bodytext2"/>
        <w:rPr>
          <w:lang w:val="fi-FI"/>
        </w:rPr>
      </w:pPr>
      <w:r w:rsidRPr="00215BC6">
        <w:rPr>
          <w:lang w:val="fi-FI"/>
        </w:rPr>
        <w:t>Exhaust Treatment -liiketoimintayksikkö kehittää pakokaasujen puhdistamiseen liittyvää liiketoimintaa. Wärtsilän pakokaasujen puhdistustekniikka on taloudellinen ja ympäristöystä</w:t>
      </w:r>
      <w:r w:rsidRPr="00215BC6">
        <w:rPr>
          <w:lang w:val="fi-FI"/>
        </w:rPr>
        <w:t>vällinen ratkaisu kaikkien uusien ja olemassa olevien sääntöjen ja määräysten noudattamiseen. Wärtsilän rikkipesurijärjestelmät on suunniteltu tarjoamaan joustavuutta ja luotettavuutta, missä tahansa asiakkaat toimivatkin.</w:t>
      </w:r>
    </w:p>
    <w:p w:rsidR="00215BC6" w:rsidRPr="00215BC6" w:rsidP="00215BC6" w14:paraId="71C5D03E" w14:textId="77777777">
      <w:pPr>
        <w:pStyle w:val="Bodytext2"/>
        <w:rPr>
          <w:lang w:val="fi-FI"/>
        </w:rPr>
      </w:pPr>
    </w:p>
    <w:p w:rsidR="00215BC6" w:rsidP="00215BC6" w14:paraId="4CD2D541" w14:textId="77777777">
      <w:pPr>
        <w:pStyle w:val="Bodytext2"/>
        <w:rPr>
          <w:lang w:val="fi-FI"/>
        </w:rPr>
      </w:pPr>
      <w:r w:rsidRPr="00215BC6">
        <w:rPr>
          <w:lang w:val="fi-FI"/>
        </w:rPr>
        <w:t>Gas Solutions -liiketoimintayksi</w:t>
      </w:r>
      <w:r w:rsidRPr="00215BC6">
        <w:rPr>
          <w:lang w:val="fi-FI"/>
        </w:rPr>
        <w:t xml:space="preserve">kkö on johtava kaasuteknologian ja -palveluiden tarjoaja. Yksikön laajaan tuotevalikoimaan sisältyy kaasunkuljetusalusten lastinkäsittelyjärjestelmät, nesteytys- ja kaasutusjärjestelmät </w:t>
      </w:r>
      <w:r w:rsidRPr="00215BC6">
        <w:rPr>
          <w:lang w:val="fi-FI"/>
        </w:rPr>
        <w:t>eri sovelluksille, polttoainejärjestelmät vaihtoehtoisille moottorirat</w:t>
      </w:r>
      <w:r w:rsidRPr="00215BC6">
        <w:rPr>
          <w:lang w:val="fi-FI"/>
        </w:rPr>
        <w:t>kaisuille ja polttoaineille sekä uusiutuvan kaasun järjestelmät, kuten biokaasuun liittyvät modernisointi- ja nesteytysratkaisut.</w:t>
      </w:r>
    </w:p>
    <w:p w:rsidR="00215BC6" w:rsidRPr="00215BC6" w:rsidP="00215BC6" w14:paraId="4F4C0CD5" w14:textId="77777777">
      <w:pPr>
        <w:pStyle w:val="Bodytext2"/>
        <w:rPr>
          <w:lang w:val="fi-FI"/>
        </w:rPr>
      </w:pPr>
    </w:p>
    <w:p w:rsidR="00215BC6" w:rsidP="00215BC6" w14:paraId="339528A3" w14:textId="77777777">
      <w:pPr>
        <w:pStyle w:val="Bodytext2"/>
        <w:rPr>
          <w:lang w:val="fi-FI"/>
        </w:rPr>
      </w:pPr>
      <w:r w:rsidRPr="00215BC6">
        <w:rPr>
          <w:lang w:val="fi-FI"/>
        </w:rPr>
        <w:t>Marine Electrical Systems -liiketoimintayksikkö tarjoaa sähköjärjestelmien kokonaisratkaisuja niche-markkinoilla kuten merivo</w:t>
      </w:r>
      <w:r w:rsidRPr="00215BC6">
        <w:rPr>
          <w:lang w:val="fi-FI"/>
        </w:rPr>
        <w:t>imat ja superjahdit. Yksikkö vastaa koko projektista aina perussuunnittelusta käyttöönottoon asti.</w:t>
      </w:r>
    </w:p>
    <w:p w:rsidR="00215BC6" w:rsidRPr="00215BC6" w:rsidP="00215BC6" w14:paraId="7C44C635" w14:textId="77777777">
      <w:pPr>
        <w:pStyle w:val="Bodytext2"/>
        <w:rPr>
          <w:lang w:val="fi-FI"/>
        </w:rPr>
      </w:pPr>
    </w:p>
    <w:p w:rsidR="00F45225" w:rsidRPr="00CF4496" w:rsidP="00215BC6" w14:paraId="7574ED04" w14:textId="77777777">
      <w:pPr>
        <w:pStyle w:val="Bodytext2"/>
        <w:rPr>
          <w:lang w:val="fi-FI"/>
        </w:rPr>
      </w:pPr>
      <w:r w:rsidRPr="00215BC6">
        <w:rPr>
          <w:lang w:val="fi-FI"/>
        </w:rPr>
        <w:t xml:space="preserve">Shaft Line Solutions -liiketoimintayksikkö (entinen Seals &amp; Bearings) tarjoaa ympäri maailmaa sijaitsevilta tehtailtaan ja palvelupisteiltään tiivisteisiin </w:t>
      </w:r>
      <w:r w:rsidRPr="00215BC6">
        <w:rPr>
          <w:lang w:val="fi-FI"/>
        </w:rPr>
        <w:t xml:space="preserve">ja laakereihin liittyviä kokonaisvaltaisia, integroituja ratkaisuja. </w:t>
      </w:r>
      <w:r w:rsidRPr="00CF4496">
        <w:rPr>
          <w:lang w:val="fi-FI"/>
        </w:rPr>
        <w:t>Yksikön ydinmarkkinoita ovat merivoima-, kauppalaiva- ja risteilyalussegmentit.</w:t>
      </w:r>
    </w:p>
    <w:p w:rsidR="00F45225" w:rsidRPr="00CF4496" w:rsidP="00F45225" w14:paraId="21B5A5C5" w14:textId="77777777">
      <w:pPr>
        <w:pStyle w:val="Bodytext2"/>
        <w:rPr>
          <w:lang w:val="fi-FI"/>
        </w:rPr>
      </w:pPr>
    </w:p>
    <w:p w:rsidR="00F45225" w:rsidRPr="00CF4496" w:rsidP="00F45225" w14:paraId="50A53F05" w14:textId="77777777">
      <w:pPr>
        <w:pStyle w:val="Heading13"/>
        <w:rPr>
          <w:lang w:val="fi-FI"/>
        </w:rPr>
      </w:pPr>
      <w:r>
        <w:rPr>
          <w:lang w:val="fi-FI"/>
        </w:rPr>
        <w:t xml:space="preserve">Wärtsilä </w:t>
      </w:r>
      <w:r w:rsidRPr="00CF4496">
        <w:rPr>
          <w:lang w:val="fi-FI"/>
        </w:rPr>
        <w:t>Voyage</w:t>
      </w:r>
    </w:p>
    <w:p w:rsidR="00215BC6" w:rsidP="00215BC6" w14:paraId="6E6F9574" w14:textId="77777777">
      <w:pPr>
        <w:pStyle w:val="Bodytext2"/>
        <w:rPr>
          <w:lang w:val="fi-FI"/>
        </w:rPr>
      </w:pPr>
      <w:r w:rsidRPr="00215BC6">
        <w:rPr>
          <w:lang w:val="fi-FI"/>
        </w:rPr>
        <w:t>Voyage tukee laivamatkojen toteuttamistavan muutosta hyödyntämällä uusimpia digitaalisia t</w:t>
      </w:r>
      <w:r w:rsidRPr="00215BC6">
        <w:rPr>
          <w:lang w:val="fi-FI"/>
        </w:rPr>
        <w:t>eknologioita, jotka parantavat turvallisuutta, tehokkuutta ja luotettavuutta sekä vähentävät päästöjä. Yhdistämällä komentosiltajärjestelmät, pilvidatan hallinnan, datapalvelut, päätöksenteon tukityökalut ja pääsyn reaaliaikaiseen</w:t>
      </w:r>
      <w:r>
        <w:rPr>
          <w:lang w:val="fi-FI"/>
        </w:rPr>
        <w:t xml:space="preserve"> </w:t>
      </w:r>
      <w:r w:rsidRPr="00215BC6">
        <w:rPr>
          <w:lang w:val="fi-FI"/>
        </w:rPr>
        <w:t>tietoon</w:t>
      </w:r>
      <w:r>
        <w:rPr>
          <w:lang w:val="fi-FI"/>
        </w:rPr>
        <w:t xml:space="preserve"> </w:t>
      </w:r>
      <w:r w:rsidRPr="00215BC6">
        <w:rPr>
          <w:lang w:val="fi-FI"/>
        </w:rPr>
        <w:t xml:space="preserve">Voyage on mukana </w:t>
      </w:r>
      <w:r w:rsidRPr="00215BC6">
        <w:rPr>
          <w:lang w:val="fi-FI"/>
        </w:rPr>
        <w:t>luomassa tulevaisuuden digitaalista ekosysteemiä. Voyagella on yksi suurimmista asennetuista laitekannoista ja tarjoomista koskien navigointi-, automaatio-, simulaatio- ja koulutusratkaisuja sekä laivaliikenteen ohjausratkaisuja.</w:t>
      </w:r>
    </w:p>
    <w:p w:rsidR="00215BC6" w:rsidRPr="00215BC6" w:rsidP="00215BC6" w14:paraId="49C57FE5" w14:textId="77777777">
      <w:pPr>
        <w:pStyle w:val="Bodytext2"/>
        <w:rPr>
          <w:lang w:val="fi-FI"/>
        </w:rPr>
      </w:pPr>
    </w:p>
    <w:p w:rsidR="00215BC6" w:rsidP="00215BC6" w14:paraId="38C85EAA" w14:textId="77777777">
      <w:pPr>
        <w:pStyle w:val="Bodytext2"/>
        <w:rPr>
          <w:lang w:val="fi-FI"/>
        </w:rPr>
      </w:pPr>
      <w:r w:rsidRPr="00215BC6">
        <w:rPr>
          <w:lang w:val="fi-FI"/>
        </w:rPr>
        <w:t>Voyage palvelee keskeisiä</w:t>
      </w:r>
      <w:r w:rsidRPr="00215BC6">
        <w:rPr>
          <w:lang w:val="fi-FI"/>
        </w:rPr>
        <w:t xml:space="preserve"> markkinasegmenttejä, kuten risteilyaluksia, matkustajalauttoja, kauppalaivoja ja merivoimia, sekä myös muita kuin aluksia, kuten esimerkiksi satamaviranomaisia ja merenkulkulaitoksia. Voyage toimii sekä uusien että jo olemassa olevien alusten markkinoilla</w:t>
      </w:r>
      <w:r w:rsidRPr="00215BC6">
        <w:rPr>
          <w:lang w:val="fi-FI"/>
        </w:rPr>
        <w:t>. Voyage toteuttaa kasvustrategiaa, joka perustuu innovatiiviseen tuotekehitykseen, järjestelmäintegraatioon, liitettävyyteen, etätoimintoihin ja kyberturvallisuuteen älykkään merenkulun ekosysteemin kehityksen mukaisesti.</w:t>
      </w:r>
    </w:p>
    <w:p w:rsidR="00215BC6" w:rsidP="00215BC6" w14:paraId="79E47DDD" w14:textId="77777777">
      <w:pPr>
        <w:pStyle w:val="Bodytext2"/>
        <w:rPr>
          <w:lang w:val="fi-FI"/>
        </w:rPr>
      </w:pPr>
    </w:p>
    <w:p w:rsidR="00F45225" w:rsidRPr="00215BC6" w:rsidP="00215BC6" w14:paraId="4DBD8CE2" w14:textId="77777777">
      <w:pPr>
        <w:pStyle w:val="Heading13"/>
        <w:rPr>
          <w:lang w:val="fi-FI"/>
        </w:rPr>
      </w:pPr>
      <w:r>
        <w:rPr>
          <w:lang w:val="fi-FI"/>
        </w:rPr>
        <w:t xml:space="preserve">Wärtsilä </w:t>
      </w:r>
      <w:r w:rsidRPr="00215BC6">
        <w:rPr>
          <w:lang w:val="fi-FI"/>
        </w:rPr>
        <w:t>Energy</w:t>
      </w:r>
    </w:p>
    <w:p w:rsidR="00215BC6" w:rsidP="00215BC6" w14:paraId="7BD28ED8" w14:textId="77777777">
      <w:pPr>
        <w:pStyle w:val="Bodytext2"/>
        <w:rPr>
          <w:lang w:val="fi-FI"/>
        </w:rPr>
      </w:pPr>
      <w:r w:rsidRPr="00215BC6">
        <w:rPr>
          <w:lang w:val="fi-FI"/>
        </w:rPr>
        <w:t>Wärtsilän tarjoo</w:t>
      </w:r>
      <w:r w:rsidRPr="00215BC6">
        <w:rPr>
          <w:lang w:val="fi-FI"/>
        </w:rPr>
        <w:t>ma sisältää joustavat voimalaitosratkaisut, energian hallinta- ja varastointijärjestelmät sekä koko elinkaaren kattavat palvelut, jotka parantavat tehokkuutta ja varmistavat suorituskyvyn.</w:t>
      </w:r>
    </w:p>
    <w:p w:rsidR="00215BC6" w:rsidRPr="00215BC6" w:rsidP="00215BC6" w14:paraId="57BEDF04" w14:textId="77777777">
      <w:pPr>
        <w:pStyle w:val="Bodytext2"/>
        <w:rPr>
          <w:lang w:val="fi-FI"/>
        </w:rPr>
      </w:pPr>
    </w:p>
    <w:p w:rsidR="00F45225" w:rsidRPr="00215BC6" w:rsidP="00215BC6" w14:paraId="507E81AE" w14:textId="77777777">
      <w:pPr>
        <w:pStyle w:val="Bodytext2"/>
        <w:rPr>
          <w:lang w:val="fi-FI"/>
        </w:rPr>
      </w:pPr>
      <w:r w:rsidRPr="00215BC6">
        <w:rPr>
          <w:lang w:val="fi-FI"/>
        </w:rPr>
        <w:t>Wärtsilän kolme tärkeintä asiakassegmenttiä energiamarkkinoilla ov</w:t>
      </w:r>
      <w:r w:rsidRPr="00215BC6">
        <w:rPr>
          <w:lang w:val="fi-FI"/>
        </w:rPr>
        <w:t xml:space="preserve">at sähkölaitokset, itsenäiset voimantuottajat ja teollisuusasiakkaat. Wärtsilän energiaratkaisut soveltuvat hyvin monenlaisiin tarkoituksiin, esimerkiksi perusvoiman tuotantoon, kantaverkon vakautta varmistavaan tuotantoon, kuormitushuippujen tasaamiseen, </w:t>
      </w:r>
      <w:r w:rsidRPr="00215BC6">
        <w:rPr>
          <w:lang w:val="fi-FI"/>
        </w:rPr>
        <w:t>kuormaa seuraavaan tuotantoon sekä tuuli- ja aurinkovoiman integrointiin. Wärtsilä tarjoaa asiakkailleen kattavaa energiajärjestelmäosaamista, mukaan lukien täysin integroidut laitteet ja ohjelmistot sekä lisäarvoa tuottavat elinkaaripalvelut.</w:t>
      </w:r>
    </w:p>
    <w:p w:rsidR="00F45225" w:rsidRPr="00215BC6" w:rsidP="00F45225" w14:paraId="2041D943" w14:textId="77777777">
      <w:pPr>
        <w:pStyle w:val="Bodytext2"/>
        <w:rPr>
          <w:lang w:val="fi-FI"/>
        </w:rPr>
      </w:pPr>
    </w:p>
    <w:p w:rsidR="00F45225" w:rsidRPr="00215BC6" w:rsidP="00F45225" w14:paraId="1938AC25" w14:textId="77777777">
      <w:pPr>
        <w:pStyle w:val="Heading13"/>
        <w:rPr>
          <w:lang w:val="fi-FI"/>
        </w:rPr>
      </w:pPr>
      <w:r>
        <w:rPr>
          <w:lang w:val="fi-FI"/>
        </w:rPr>
        <w:t xml:space="preserve">Wärtsilä </w:t>
      </w:r>
      <w:r w:rsidRPr="00215BC6">
        <w:rPr>
          <w:lang w:val="fi-FI"/>
        </w:rPr>
        <w:t>Po</w:t>
      </w:r>
      <w:r w:rsidRPr="00215BC6">
        <w:rPr>
          <w:lang w:val="fi-FI"/>
        </w:rPr>
        <w:t>rtfolio Business</w:t>
      </w:r>
    </w:p>
    <w:p w:rsidR="00215BC6" w:rsidP="00215BC6" w14:paraId="2E30C1E3" w14:textId="77777777">
      <w:pPr>
        <w:pStyle w:val="Bodytext2"/>
        <w:rPr>
          <w:szCs w:val="15"/>
          <w:lang w:val="fi-FI"/>
        </w:rPr>
      </w:pPr>
      <w:r w:rsidRPr="00215BC6">
        <w:rPr>
          <w:szCs w:val="15"/>
          <w:lang w:val="fi-FI"/>
        </w:rPr>
        <w:t>Portfolio Business raportoidaan muina liiketoimintoina.</w:t>
      </w:r>
    </w:p>
    <w:p w:rsidR="0041758E" w:rsidP="00215BC6" w14:paraId="1F8AEF05" w14:textId="77777777">
      <w:pPr>
        <w:pStyle w:val="Bodytext2"/>
        <w:rPr>
          <w:szCs w:val="15"/>
          <w:lang w:val="fi-FI"/>
        </w:rPr>
      </w:pPr>
    </w:p>
    <w:p w:rsidR="00E360E5" w:rsidP="00215BC6" w14:paraId="30004638" w14:textId="77777777">
      <w:pPr>
        <w:pStyle w:val="Bodytext2"/>
        <w:rPr>
          <w:lang w:val="fi-FI"/>
        </w:rPr>
      </w:pPr>
      <w:r w:rsidRPr="00215BC6">
        <w:rPr>
          <w:szCs w:val="15"/>
          <w:lang w:val="fi-FI"/>
        </w:rPr>
        <w:t xml:space="preserve">Portfolio Business koostuu useista liiketoimintayksiköistä, joita johdetaan itsenäisesti. Tavoitteena on nopeuttaa yksiköiden tuloksentekokyvyn kasvua ja vapauttaa niiden koko potentiaali yritysmyyntien tai muiden strategisten vaihtoehtojen kautta. </w:t>
      </w:r>
      <w:r w:rsidRPr="00B350AE">
        <w:rPr>
          <w:lang w:val="fi-FI"/>
        </w:rPr>
        <w:t>Portfol</w:t>
      </w:r>
      <w:r w:rsidRPr="00B350AE">
        <w:rPr>
          <w:lang w:val="fi-FI"/>
        </w:rPr>
        <w:t>io Business kattaa säiliönohjausjärjestelmät, veden- ja jätteenkäsittelyn sekä vesivoimaratkaisujen ja turbiinihuollon liiketoiminnan American Hydron.</w:t>
      </w:r>
      <w:r w:rsidRPr="00E360E5">
        <w:rPr>
          <w:lang w:val="fi-FI"/>
        </w:rPr>
        <w:t xml:space="preserve"> </w:t>
      </w:r>
    </w:p>
    <w:p w:rsidR="00E360E5" w:rsidP="00215BC6" w14:paraId="15929D0D" w14:textId="77777777">
      <w:pPr>
        <w:pStyle w:val="Bodytext2"/>
        <w:rPr>
          <w:lang w:val="fi-FI"/>
        </w:rPr>
      </w:pPr>
    </w:p>
    <w:p w:rsidR="00E360E5" w:rsidP="00215BC6" w14:paraId="349FB2DF" w14:textId="77777777">
      <w:pPr>
        <w:pStyle w:val="Bodytext2"/>
        <w:rPr>
          <w:szCs w:val="15"/>
          <w:lang w:val="fi-FI"/>
        </w:rPr>
      </w:pPr>
      <w:r w:rsidRPr="00B350AE">
        <w:rPr>
          <w:lang w:val="fi-FI"/>
        </w:rPr>
        <w:t xml:space="preserve">Portfolio Business sisälsi myös viihdejärjestelmät- sekä </w:t>
      </w:r>
      <w:r w:rsidRPr="00B350AE">
        <w:rPr>
          <w:lang w:val="fi-FI"/>
        </w:rPr>
        <w:t>muuntajat-liiketoimintayksiköt yritysmyynteihin asti. Huhtikuussa 2021 Wärtsilä myi 100% viihdejärjestelmät-liiketoimintayksikön, Wärtsilä Funa GmbH:n, osakkeista, ja heinäkuussa 2021 Wärtsilä myi 100% Wärtsilä EUROATLAS GmbH:n osakkeista. Wärtsilä EUROATL</w:t>
      </w:r>
      <w:r w:rsidRPr="00B350AE">
        <w:rPr>
          <w:lang w:val="fi-FI"/>
        </w:rPr>
        <w:t>AS kuului muuntajat-liiketoimintayksikköön</w:t>
      </w:r>
      <w:r w:rsidRPr="00B350AE" w:rsidR="007E3858">
        <w:rPr>
          <w:lang w:val="fi-FI"/>
        </w:rPr>
        <w:t>.</w:t>
      </w:r>
    </w:p>
    <w:p w:rsidR="00E360E5" w:rsidP="00215BC6" w14:paraId="6D9DE2DC" w14:textId="77777777">
      <w:pPr>
        <w:pStyle w:val="Bodytext2"/>
        <w:rPr>
          <w:szCs w:val="15"/>
          <w:lang w:val="fi-FI"/>
        </w:rPr>
      </w:pPr>
    </w:p>
    <w:p w:rsidR="00FB51C9" w:rsidP="00FB51C9" w14:paraId="5D15078F" w14:textId="77777777">
      <w:pPr>
        <w:pStyle w:val="Heading13"/>
        <w:rPr>
          <w:lang w:val="fi-FI"/>
        </w:rPr>
      </w:pPr>
      <w:r>
        <w:rPr>
          <w:lang w:val="fi-FI"/>
        </w:rPr>
        <w:t>2021</w:t>
      </w:r>
    </w:p>
    <w:p w:rsidR="00FB51C9" w:rsidRPr="00E13F5D" w:rsidP="00F45225" w14:paraId="0ACFD9AF" w14:textId="77777777">
      <w:pPr>
        <w:pStyle w:val="Bodytext2"/>
        <w:rPr>
          <w:szCs w:val="15"/>
          <w:lang w:val="fi-FI"/>
        </w:rPr>
      </w:pPr>
    </w:p>
    <w:tbl>
      <w:tblPr>
        <w:tblStyle w:val="TableNormal"/>
        <w:tblCaption w:val="Table_segment_information_cur"/>
        <w:tblW w:w="7350" w:type="dxa"/>
        <w:tblLayout w:type="fixed"/>
        <w:tblLook w:val="0600"/>
      </w:tblPr>
      <w:tblGrid>
        <w:gridCol w:w="2130"/>
        <w:gridCol w:w="870"/>
        <w:gridCol w:w="870"/>
        <w:gridCol w:w="870"/>
        <w:gridCol w:w="870"/>
        <w:gridCol w:w="870"/>
        <w:gridCol w:w="870"/>
      </w:tblGrid>
      <w:tr>
        <w:tblPrEx>
          <w:tblW w:w="7350" w:type="dxa"/>
          <w:tblLayout w:type="fixed"/>
          <w:tblLook w:val="0600"/>
        </w:tblPrEx>
        <w:trPr>
          <w:trHeight w:val="240"/>
        </w:trPr>
        <w:tc>
          <w:tcPr>
            <w:tcW w:w="213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Marine</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Power</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Marine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Systems</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Voyage</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Energy</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Portfolio</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Business</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sä</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Liikevaihto</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1 863</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654</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279</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1 861</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121</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4 778</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Poistot ja arvonalentumiset</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-73</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-23</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Osuus osakkuus- ja yhteisyritysten tuloksista</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Liiketulos</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47</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-39</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134</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314</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FFFFFF" w:fill="FFFFFF"/>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prosentteina liikevaihdosta (%)</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9,7</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7,2</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7,2</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-7,5</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6,6</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Vertailukelpoinen liiketulos</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195</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52</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-28</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136</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357</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FFFFFF" w:fill="FFFFFF"/>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prosentteina liikevaihdosta (%)</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10,5</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7,9</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-9,9</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7,3</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7,5</w:t>
            </w:r>
          </w:p>
        </w:tc>
      </w:tr>
    </w:tbl>
    <w:p w:rsidR="00FB51C9" w:rsidRPr="00E13F5D" w:rsidP="00F45225" w14:paraId="19A43D6B" w14:textId="77777777">
      <w:pPr>
        <w:pStyle w:val="Bodytext2"/>
        <w:rPr>
          <w:szCs w:val="15"/>
          <w:lang w:val="fi-FI"/>
        </w:rPr>
      </w:pPr>
    </w:p>
    <w:p w:rsidR="00FB51C9" w:rsidRPr="00E13F5D" w:rsidP="00FB51C9" w14:paraId="4CD4FC33" w14:textId="77777777">
      <w:pPr>
        <w:pStyle w:val="Heading13"/>
        <w:rPr>
          <w:lang w:val="en-GB"/>
        </w:rPr>
      </w:pPr>
      <w:r w:rsidRPr="00E13F5D">
        <w:rPr>
          <w:lang w:val="en-GB"/>
        </w:rPr>
        <w:t>2020</w:t>
      </w:r>
    </w:p>
    <w:p w:rsidR="00FB51C9" w:rsidP="00F45225" w14:paraId="21DC1190" w14:textId="77777777">
      <w:pPr>
        <w:pStyle w:val="Bodytext2"/>
        <w:rPr>
          <w:szCs w:val="15"/>
          <w:lang w:val="en-GB"/>
        </w:rPr>
      </w:pPr>
    </w:p>
    <w:tbl>
      <w:tblPr>
        <w:tblStyle w:val="TableNormal"/>
        <w:tblCaption w:val="Table_segment_information_pre"/>
        <w:tblW w:w="7350" w:type="dxa"/>
        <w:tblLayout w:type="fixed"/>
        <w:tblLook w:val="0600"/>
      </w:tblPr>
      <w:tblGrid>
        <w:gridCol w:w="2130"/>
        <w:gridCol w:w="870"/>
        <w:gridCol w:w="870"/>
        <w:gridCol w:w="870"/>
        <w:gridCol w:w="870"/>
        <w:gridCol w:w="870"/>
        <w:gridCol w:w="870"/>
      </w:tblGrid>
      <w:tr>
        <w:tblPrEx>
          <w:tblW w:w="7350" w:type="dxa"/>
          <w:tblLayout w:type="fixed"/>
          <w:tblLook w:val="0600"/>
        </w:tblPrEx>
        <w:trPr>
          <w:trHeight w:val="240"/>
        </w:trPr>
        <w:tc>
          <w:tcPr>
            <w:tcW w:w="213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Marine</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Power</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Marine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Systems</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Voyage</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Energy</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Portfolio</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Business</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sä</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Liikevaihto</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1 748</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808</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248</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1 620</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181</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4 604</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Poistot ja arvonalentumiset</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-68</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-32</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-28</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-174</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Osuus osakkuus- ja yhteisyritysten tuloksista</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Liiketulos</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134</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-42</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-29</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234</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FFFFFF" w:fill="FFFFFF"/>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prosentteina liikevaihdosta (%)</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7,7</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-17,0</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5,6</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-16,2</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5,1</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Vertailukelpoinen liiketulos</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137</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83</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275</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FFFFFF" w:fill="FFFFFF"/>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prosentteina liikevaihdosta (%)</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7,8</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10,3</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-16,5</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6,3</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6,0</w:t>
            </w:r>
          </w:p>
        </w:tc>
      </w:tr>
    </w:tbl>
    <w:p w:rsidR="00F45225" w:rsidRPr="00FB51C9" w:rsidP="00F45225" w14:paraId="4BC9CC2F" w14:textId="77777777">
      <w:pPr>
        <w:pStyle w:val="Bodytext2"/>
        <w:rPr>
          <w:szCs w:val="15"/>
          <w:lang w:val="en-GB"/>
        </w:rPr>
      </w:pPr>
    </w:p>
    <w:p w:rsidR="00215BC6" w:rsidRPr="00CF4496" w:rsidP="00215BC6" w14:paraId="17AAF2E8" w14:textId="77777777">
      <w:pPr>
        <w:pStyle w:val="Heading13"/>
        <w:rPr>
          <w:lang w:val="fi-FI"/>
        </w:rPr>
      </w:pPr>
      <w:r w:rsidRPr="00215BC6">
        <w:rPr>
          <w:lang w:val="fi-FI"/>
        </w:rPr>
        <w:t>Vaihtoehtoiset tunnusluvut</w:t>
      </w:r>
    </w:p>
    <w:p w:rsidR="00215BC6" w:rsidRPr="00215BC6" w:rsidP="00215BC6" w14:paraId="14355ADE" w14:textId="77777777">
      <w:pPr>
        <w:pStyle w:val="Bodytext2"/>
        <w:rPr>
          <w:szCs w:val="15"/>
          <w:lang w:val="fi-FI"/>
        </w:rPr>
      </w:pPr>
      <w:r w:rsidRPr="00215BC6">
        <w:rPr>
          <w:szCs w:val="15"/>
          <w:lang w:val="fi-FI"/>
        </w:rPr>
        <w:t xml:space="preserve">Wärtsilä esittää tiettyjä taloudellisia tunnuslukuja, joita ei ole määritelty </w:t>
      </w:r>
      <w:r w:rsidRPr="00215BC6">
        <w:rPr>
          <w:szCs w:val="15"/>
          <w:lang w:val="fi-FI"/>
        </w:rPr>
        <w:t>IFRS-standardeissa. Vaihtoehtoiset tunnusluvut ovat johdon seuraamia ja käyttämiä tunnuslukuja heidän arvioidessaan yhtiön liiketoiminnan kehitystä ja taloudellisesta tilannetta. Vaihtoehtoiset tunnusluvut antavat hyödyllistä tietoa myös pääomamarkkinoille</w:t>
      </w:r>
      <w:r w:rsidRPr="00215BC6">
        <w:rPr>
          <w:szCs w:val="15"/>
          <w:lang w:val="fi-FI"/>
        </w:rPr>
        <w:t>.</w:t>
      </w:r>
    </w:p>
    <w:p w:rsidR="00215BC6" w:rsidRPr="00215BC6" w:rsidP="00215BC6" w14:paraId="5DEBAD0B" w14:textId="77777777">
      <w:pPr>
        <w:pStyle w:val="Bodytext2"/>
        <w:rPr>
          <w:szCs w:val="15"/>
          <w:lang w:val="fi-FI"/>
        </w:rPr>
      </w:pPr>
    </w:p>
    <w:p w:rsidR="00215BC6" w:rsidRPr="00215BC6" w:rsidP="00215BC6" w14:paraId="355A7A41" w14:textId="77777777">
      <w:pPr>
        <w:pStyle w:val="Bodytext2"/>
        <w:rPr>
          <w:szCs w:val="15"/>
          <w:lang w:val="fi-FI"/>
        </w:rPr>
      </w:pPr>
      <w:r w:rsidRPr="00215BC6">
        <w:rPr>
          <w:szCs w:val="15"/>
          <w:lang w:val="fi-FI"/>
        </w:rPr>
        <w:t xml:space="preserve">Wärtsilän esittämiä vaihtoehtoisia tunnuslukuja ei pidä tarkastella erillään IFRS-tunnusluvuista. </w:t>
      </w:r>
      <w:r w:rsidR="00690DE9">
        <w:rPr>
          <w:szCs w:val="15"/>
          <w:lang w:val="fi-FI"/>
        </w:rPr>
        <w:t>Vaihtoehtoisten t</w:t>
      </w:r>
      <w:r w:rsidRPr="00215BC6">
        <w:rPr>
          <w:szCs w:val="15"/>
          <w:lang w:val="fi-FI"/>
        </w:rPr>
        <w:t>unnuslukujen laskentakaavat ovat luettavissa osiossa Tunnuslukujen laskentakaavat.</w:t>
      </w:r>
    </w:p>
    <w:p w:rsidR="00215BC6" w:rsidP="00215BC6" w14:paraId="6B10E1BB" w14:textId="77777777">
      <w:pPr>
        <w:pStyle w:val="Bodytext2"/>
        <w:rPr>
          <w:szCs w:val="15"/>
          <w:lang w:val="fi-FI"/>
        </w:rPr>
      </w:pPr>
    </w:p>
    <w:p w:rsidR="00215BC6" w:rsidRPr="00215BC6" w:rsidP="00215BC6" w14:paraId="01B0C623" w14:textId="77777777">
      <w:pPr>
        <w:pStyle w:val="Bodytext2"/>
        <w:rPr>
          <w:szCs w:val="15"/>
          <w:lang w:val="fi-FI"/>
        </w:rPr>
      </w:pPr>
      <w:r w:rsidRPr="00215BC6">
        <w:rPr>
          <w:szCs w:val="15"/>
          <w:lang w:val="fi-FI"/>
        </w:rPr>
        <w:t>Wärtsilä julkistaa tiettyjä vertailukelpoisia tunnuslu</w:t>
      </w:r>
      <w:r w:rsidRPr="00215BC6">
        <w:rPr>
          <w:szCs w:val="15"/>
          <w:lang w:val="fi-FI"/>
        </w:rPr>
        <w:t>kuja kausien vertailtavuuden parantamiseksi. Tietyt tuotot ja kulut esitetään vertailukelpoisuuteen vaikuttavina erinä, kun niillä on merkittävä vaikutus konsernin tuloslaskelmaan. Vertailukelpoisuuteen vaikuttavat erät koostuvat tuloista ja kuluista, jotk</w:t>
      </w:r>
      <w:r w:rsidRPr="00215BC6">
        <w:rPr>
          <w:szCs w:val="15"/>
          <w:lang w:val="fi-FI"/>
        </w:rPr>
        <w:t>a johtuvat Wärtsilän toiminnan kapasiteetin sopeuttamiseen tähtäävistä uudelleenjärjestelytoimista. Ne voivat myös sisältää muita tuottoja ja kuluja, jotka eivät liity Wärtsilän no</w:t>
      </w:r>
      <w:r>
        <w:rPr>
          <w:szCs w:val="15"/>
          <w:lang w:val="fi-FI"/>
        </w:rPr>
        <w:t>r</w:t>
      </w:r>
      <w:r w:rsidRPr="00215BC6">
        <w:rPr>
          <w:szCs w:val="15"/>
          <w:lang w:val="fi-FI"/>
        </w:rPr>
        <w:t>maaliin liiketoimintaan</w:t>
      </w:r>
      <w:r w:rsidR="006F46A5">
        <w:rPr>
          <w:szCs w:val="15"/>
          <w:lang w:val="fi-FI"/>
        </w:rPr>
        <w:t>,</w:t>
      </w:r>
      <w:r w:rsidRPr="00215BC6">
        <w:rPr>
          <w:szCs w:val="15"/>
          <w:lang w:val="fi-FI"/>
        </w:rPr>
        <w:t xml:space="preserve"> kuten arvonalentumistappiota, yrityshankintoihin l</w:t>
      </w:r>
      <w:r w:rsidRPr="00215BC6">
        <w:rPr>
          <w:szCs w:val="15"/>
          <w:lang w:val="fi-FI"/>
        </w:rPr>
        <w:t xml:space="preserve">iittyviä kuluja, kolmansien osapuolten kanssa käydyn oikeudenkäynnin seurauksena kirjattuja kuluja tai </w:t>
      </w:r>
      <w:r w:rsidR="006F46A5">
        <w:rPr>
          <w:szCs w:val="15"/>
          <w:lang w:val="fi-FI"/>
        </w:rPr>
        <w:t>lopetettuihin toimintoihin liittyviä o</w:t>
      </w:r>
      <w:r w:rsidRPr="00215BC6">
        <w:rPr>
          <w:szCs w:val="15"/>
          <w:lang w:val="fi-FI"/>
        </w:rPr>
        <w:t>dottamattomia v</w:t>
      </w:r>
      <w:r w:rsidR="006F46A5">
        <w:rPr>
          <w:szCs w:val="15"/>
          <w:lang w:val="fi-FI"/>
        </w:rPr>
        <w:t>elvoitteita.</w:t>
      </w:r>
    </w:p>
    <w:p w:rsidR="00215BC6" w:rsidRPr="00215BC6" w:rsidP="00215BC6" w14:paraId="75ADE249" w14:textId="77777777">
      <w:pPr>
        <w:pStyle w:val="Bodytext2"/>
        <w:rPr>
          <w:szCs w:val="15"/>
          <w:lang w:val="fi-FI"/>
        </w:rPr>
      </w:pPr>
    </w:p>
    <w:p w:rsidR="00215BC6" w:rsidRPr="00215BC6" w:rsidP="00215BC6" w14:paraId="2ACF05DB" w14:textId="77777777">
      <w:pPr>
        <w:pStyle w:val="Bodytext2"/>
        <w:rPr>
          <w:szCs w:val="15"/>
          <w:lang w:val="fi-FI"/>
        </w:rPr>
      </w:pPr>
      <w:r w:rsidRPr="00215BC6">
        <w:rPr>
          <w:szCs w:val="15"/>
          <w:lang w:val="fi-FI"/>
        </w:rPr>
        <w:t xml:space="preserve">Täsmäytyslaskelma vertailukelpoisesta liiketuloksesta liiketulokseen on esitetty alla </w:t>
      </w:r>
      <w:r w:rsidRPr="00215BC6">
        <w:rPr>
          <w:szCs w:val="15"/>
          <w:lang w:val="fi-FI"/>
        </w:rPr>
        <w:t>olevassa taulukossa</w:t>
      </w:r>
      <w:r w:rsidR="00126FBB">
        <w:rPr>
          <w:szCs w:val="15"/>
          <w:lang w:val="fi-FI"/>
        </w:rPr>
        <w:t>.</w:t>
      </w:r>
    </w:p>
    <w:p w:rsidR="00215BC6" w:rsidRPr="00215BC6" w:rsidP="00F45225" w14:paraId="63206C5C" w14:textId="77777777">
      <w:pPr>
        <w:pStyle w:val="Bodytext2"/>
        <w:rPr>
          <w:szCs w:val="15"/>
          <w:lang w:val="fi-FI"/>
        </w:rPr>
      </w:pPr>
    </w:p>
    <w:p w:rsidR="00F45225" w:rsidRPr="00215BC6" w:rsidP="00F45225" w14:paraId="6DEA0266" w14:textId="77777777">
      <w:pPr>
        <w:pStyle w:val="Heading13"/>
        <w:rPr>
          <w:lang w:val="fi-FI"/>
        </w:rPr>
      </w:pPr>
      <w:r w:rsidRPr="00215BC6">
        <w:rPr>
          <w:lang w:val="fi-FI"/>
        </w:rPr>
        <w:t>Tuloksen määreet ja vertailukelpoisuuteen vaikuttavat e</w:t>
      </w:r>
      <w:r>
        <w:rPr>
          <w:lang w:val="fi-FI"/>
        </w:rPr>
        <w:t>rät</w:t>
      </w:r>
    </w:p>
    <w:p w:rsidR="00F45225" w:rsidRPr="00215BC6" w:rsidP="00F45225" w14:paraId="456B025C" w14:textId="77777777">
      <w:pPr>
        <w:pStyle w:val="Bodytext2"/>
        <w:rPr>
          <w:szCs w:val="15"/>
          <w:lang w:val="fi-FI"/>
        </w:rPr>
      </w:pPr>
    </w:p>
    <w:tbl>
      <w:tblPr>
        <w:tblStyle w:val="TableNormal"/>
        <w:tblCaption w:val="Table_NRI"/>
        <w:tblW w:w="7320" w:type="dxa"/>
        <w:tblLayout w:type="fixed"/>
        <w:tblLook w:val="0600"/>
      </w:tblPr>
      <w:tblGrid>
        <w:gridCol w:w="4830"/>
        <w:gridCol w:w="1245"/>
        <w:gridCol w:w="1245"/>
      </w:tblGrid>
      <w:tr>
        <w:tblPrEx>
          <w:tblW w:w="7320" w:type="dxa"/>
          <w:tblLayout w:type="fixed"/>
          <w:tblLook w:val="0600"/>
        </w:tblPrEx>
        <w:trPr>
          <w:trHeight w:hRule="exact" w:val="240"/>
        </w:trPr>
        <w:tc>
          <w:tcPr>
            <w:tcW w:w="48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Vertailukelpoinen oikaistu EBITA</w:t>
            </w:r>
          </w:p>
        </w:tc>
        <w:tc>
          <w:tcPr>
            <w:tcW w:w="12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388</w:t>
            </w:r>
          </w:p>
        </w:tc>
        <w:tc>
          <w:tcPr>
            <w:tcW w:w="124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308</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Hankintamenojen allokointeihin liittyvät poistot</w:t>
            </w:r>
          </w:p>
        </w:tc>
        <w:tc>
          <w:tcPr>
            <w:tcW w:w="1245"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-33</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Vertailukelpoinen liiketulos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357</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Vertailukelpoisuuteen vaikuttavat erät:</w:t>
            </w: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Henkilöstön vähentämiseen liittyvät kulut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Arvonalentumiset ja alaskirjaukset</w:t>
            </w:r>
          </w:p>
        </w:tc>
        <w:tc>
          <w:tcPr>
            <w:tcW w:w="1245"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w:t>
            </w:r>
          </w:p>
        </w:tc>
        <w:tc>
          <w:tcPr>
            <w:tcW w:w="124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Voitot ja tappiot yritysmyynneistä</w:t>
            </w:r>
          </w:p>
        </w:tc>
        <w:tc>
          <w:tcPr>
            <w:tcW w:w="1245"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24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8" w:space="0" w:color="000000"/>
              <w:right w:val="nil"/>
              <w:tl2br w:val="nil"/>
              <w:tr2bl w:val="nil"/>
            </w:tcBorders>
            <w:shd w:val="clear" w:color="FFFFFF" w:fill="FFFFFF"/>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kulut</w:t>
            </w:r>
          </w:p>
        </w:tc>
        <w:tc>
          <w:tcPr>
            <w:tcW w:w="1245" w:type="dxa"/>
            <w:tcBorders>
              <w:top w:val="single" w:sz="4" w:space="0" w:color="004A6B"/>
              <w:left w:val="nil"/>
              <w:bottom w:val="single" w:sz="8" w:space="0" w:color="000000"/>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w:t>
            </w:r>
          </w:p>
        </w:tc>
        <w:tc>
          <w:tcPr>
            <w:tcW w:w="1245" w:type="dxa"/>
            <w:tcBorders>
              <w:top w:val="single" w:sz="4" w:space="0" w:color="004A6B"/>
              <w:left w:val="nil"/>
              <w:bottom w:val="single" w:sz="8" w:space="0" w:color="000000"/>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nil"/>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Vertailukelpoisuuteen vaikuttavat erät yhteensä</w:t>
            </w:r>
          </w:p>
        </w:tc>
        <w:tc>
          <w:tcPr>
            <w:tcW w:w="12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-43</w:t>
            </w:r>
          </w:p>
        </w:tc>
        <w:tc>
          <w:tcPr>
            <w:tcW w:w="1245" w:type="dxa"/>
            <w:tcBorders>
              <w:top w:val="nil"/>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Liiketulos</w:t>
            </w:r>
          </w:p>
        </w:tc>
        <w:tc>
          <w:tcPr>
            <w:tcW w:w="12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314</w:t>
            </w:r>
          </w:p>
        </w:tc>
        <w:tc>
          <w:tcPr>
            <w:tcW w:w="124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234</w:t>
            </w:r>
          </w:p>
        </w:tc>
      </w:tr>
    </w:tbl>
    <w:p w:rsidR="00F45225" w:rsidRPr="00CF4496" w:rsidP="00F45225" w14:paraId="6535BEE0" w14:textId="77777777">
      <w:pPr>
        <w:pStyle w:val="Bodytext2"/>
        <w:rPr>
          <w:szCs w:val="15"/>
          <w:lang w:val="fi-FI"/>
        </w:rPr>
      </w:pPr>
    </w:p>
    <w:p w:rsidR="00F45225" w:rsidRPr="00215BC6" w:rsidP="00F45225" w14:paraId="59E88358" w14:textId="77777777">
      <w:pPr>
        <w:pStyle w:val="Heading13"/>
        <w:rPr>
          <w:lang w:val="fi-FI"/>
        </w:rPr>
      </w:pPr>
      <w:r w:rsidRPr="007D4A82">
        <w:rPr>
          <w:color w:val="auto"/>
          <w:lang w:val="fi-FI"/>
        </w:rPr>
        <w:t>Konsernitason t</w:t>
      </w:r>
      <w:r w:rsidRPr="00215BC6">
        <w:rPr>
          <w:lang w:val="fi-FI"/>
        </w:rPr>
        <w:t>iedot</w:t>
      </w:r>
    </w:p>
    <w:p w:rsidR="00215BC6" w:rsidP="00215BC6" w14:paraId="4803BD5B" w14:textId="77777777">
      <w:pPr>
        <w:pStyle w:val="Bodytext2"/>
        <w:rPr>
          <w:lang w:val="fi-FI"/>
        </w:rPr>
      </w:pPr>
      <w:r w:rsidRPr="00215BC6">
        <w:rPr>
          <w:lang w:val="fi-FI"/>
        </w:rPr>
        <w:t>Segmentti-informaation lisäksi Wärtsilä raportoi segmenttien sekä muiden liiketoimintojen yhteenlasketun palvelu</w:t>
      </w:r>
      <w:r>
        <w:rPr>
          <w:lang w:val="fi-FI"/>
        </w:rPr>
        <w:t xml:space="preserve">iden </w:t>
      </w:r>
      <w:r w:rsidRPr="00215BC6">
        <w:rPr>
          <w:lang w:val="fi-FI"/>
        </w:rPr>
        <w:t>liikevaihdon.</w:t>
      </w:r>
    </w:p>
    <w:p w:rsidR="00B723CF" w:rsidP="00215BC6" w14:paraId="52842599" w14:textId="77777777">
      <w:pPr>
        <w:pStyle w:val="Bodytext2"/>
        <w:rPr>
          <w:lang w:val="fi-FI"/>
        </w:rPr>
      </w:pPr>
    </w:p>
    <w:p w:rsidR="00B723CF" w:rsidRPr="00B723CF" w:rsidP="00E02DAB" w14:paraId="32A33ABF" w14:textId="77777777">
      <w:pPr>
        <w:pStyle w:val="Bodytext2"/>
        <w:rPr>
          <w:lang w:val="fi-FI"/>
        </w:rPr>
      </w:pPr>
      <w:r w:rsidRPr="00B723CF">
        <w:rPr>
          <w:lang w:val="fi-FI"/>
        </w:rPr>
        <w:t>Wärtsilän maantieteelliset raportointialueet ovat Suomi, muu Eurooppa, Aasia, Amerikka ja muut.</w:t>
      </w:r>
      <w:r w:rsidR="00E02DAB">
        <w:rPr>
          <w:lang w:val="fi-FI"/>
        </w:rPr>
        <w:t xml:space="preserve"> </w:t>
      </w:r>
      <w:r w:rsidRPr="00C42ACD">
        <w:rPr>
          <w:lang w:val="fi-FI"/>
        </w:rPr>
        <w:t>Maantieteellinen informaatio määräytyy</w:t>
      </w:r>
      <w:r>
        <w:rPr>
          <w:lang w:val="fi-FI"/>
        </w:rPr>
        <w:t xml:space="preserve"> </w:t>
      </w:r>
      <w:r w:rsidRPr="00C42ACD">
        <w:rPr>
          <w:lang w:val="fi-FI"/>
        </w:rPr>
        <w:t>liikevaihdon osalta asiakkaan kotimaan mukaan sekä pitkäaikaisten varojen osalta sen mukaan, missä ne sijaitsevat.</w:t>
      </w:r>
      <w:r>
        <w:rPr>
          <w:lang w:val="fi-FI"/>
        </w:rPr>
        <w:t xml:space="preserve"> </w:t>
      </w:r>
      <w:r w:rsidRPr="00C42ACD">
        <w:rPr>
          <w:lang w:val="fi-FI"/>
        </w:rPr>
        <w:t>Pitkäa</w:t>
      </w:r>
      <w:r w:rsidRPr="00C42ACD">
        <w:rPr>
          <w:lang w:val="fi-FI"/>
        </w:rPr>
        <w:t>ikai</w:t>
      </w:r>
      <w:r w:rsidR="00E02DAB">
        <w:rPr>
          <w:lang w:val="fi-FI"/>
        </w:rPr>
        <w:t>s</w:t>
      </w:r>
      <w:r w:rsidRPr="00C42ACD">
        <w:rPr>
          <w:lang w:val="fi-FI"/>
        </w:rPr>
        <w:t>e</w:t>
      </w:r>
      <w:r>
        <w:rPr>
          <w:lang w:val="fi-FI"/>
        </w:rPr>
        <w:t>t</w:t>
      </w:r>
      <w:r w:rsidRPr="00C42ACD">
        <w:rPr>
          <w:lang w:val="fi-FI"/>
        </w:rPr>
        <w:t xml:space="preserve"> </w:t>
      </w:r>
      <w:r w:rsidR="00E02DAB">
        <w:rPr>
          <w:lang w:val="fi-FI"/>
        </w:rPr>
        <w:t>varat</w:t>
      </w:r>
      <w:r w:rsidRPr="00C42ACD">
        <w:rPr>
          <w:lang w:val="fi-FI"/>
        </w:rPr>
        <w:t xml:space="preserve"> koostu</w:t>
      </w:r>
      <w:r w:rsidR="00E02DAB">
        <w:rPr>
          <w:lang w:val="fi-FI"/>
        </w:rPr>
        <w:t>vat</w:t>
      </w:r>
      <w:r w:rsidRPr="00C42ACD">
        <w:rPr>
          <w:lang w:val="fi-FI"/>
        </w:rPr>
        <w:t xml:space="preserve"> liikearvosta, </w:t>
      </w:r>
      <w:r w:rsidR="00E02DAB">
        <w:rPr>
          <w:lang w:val="fi-FI"/>
        </w:rPr>
        <w:t xml:space="preserve">muista </w:t>
      </w:r>
      <w:r w:rsidRPr="00C42ACD">
        <w:rPr>
          <w:lang w:val="fi-FI"/>
        </w:rPr>
        <w:t>aineettom</w:t>
      </w:r>
      <w:r w:rsidR="00E02DAB">
        <w:rPr>
          <w:lang w:val="fi-FI"/>
        </w:rPr>
        <w:t>i</w:t>
      </w:r>
      <w:r w:rsidRPr="00C42ACD">
        <w:rPr>
          <w:lang w:val="fi-FI"/>
        </w:rPr>
        <w:t xml:space="preserve">sta </w:t>
      </w:r>
      <w:r w:rsidR="00E02DAB">
        <w:rPr>
          <w:lang w:val="fi-FI"/>
        </w:rPr>
        <w:t>hyödykkeistä</w:t>
      </w:r>
      <w:r w:rsidRPr="00C42ACD">
        <w:rPr>
          <w:lang w:val="fi-FI"/>
        </w:rPr>
        <w:t>, aineellisista hyödykkeistä, käyttöoikeusomaisuuseristä sekä sijoituksista osakkuus- ja yhteisyrityksiin.</w:t>
      </w:r>
    </w:p>
    <w:p w:rsidR="00F45225" w:rsidRPr="00215BC6" w:rsidP="00E02DAB" w14:paraId="3B1174E6" w14:textId="77777777">
      <w:pPr>
        <w:pStyle w:val="Bodytext2"/>
        <w:rPr>
          <w:lang w:val="fi-FI"/>
        </w:rPr>
      </w:pPr>
    </w:p>
    <w:p w:rsidR="00126FBB" w:rsidP="00126FBB" w14:paraId="27BE6848" w14:textId="77777777">
      <w:pPr>
        <w:pStyle w:val="Heading13"/>
        <w:rPr>
          <w:lang w:val="fi-FI"/>
        </w:rPr>
      </w:pPr>
      <w:r w:rsidRPr="00126FBB">
        <w:rPr>
          <w:lang w:val="fi-FI"/>
        </w:rPr>
        <w:t>Maantieteellinen informaati</w:t>
      </w:r>
      <w:r>
        <w:rPr>
          <w:lang w:val="fi-FI"/>
        </w:rPr>
        <w:t>o</w:t>
      </w:r>
    </w:p>
    <w:p w:rsidR="00F45225" w:rsidP="00F45225" w14:paraId="4EB36BFF" w14:textId="77777777">
      <w:pPr>
        <w:pStyle w:val="Bodytext2"/>
        <w:rPr>
          <w:szCs w:val="15"/>
          <w:lang w:val="fi-FI"/>
        </w:rPr>
      </w:pPr>
      <w:r w:rsidRPr="00126FBB">
        <w:rPr>
          <w:szCs w:val="15"/>
          <w:lang w:val="fi-FI"/>
        </w:rPr>
        <w:t>Tilikausilla 1.1.–31.12.20</w:t>
      </w:r>
      <w:r>
        <w:rPr>
          <w:szCs w:val="15"/>
          <w:lang w:val="fi-FI"/>
        </w:rPr>
        <w:t>21</w:t>
      </w:r>
      <w:r w:rsidRPr="00126FBB">
        <w:rPr>
          <w:szCs w:val="15"/>
          <w:lang w:val="fi-FI"/>
        </w:rPr>
        <w:t xml:space="preserve"> ja 1.1.–31.12.20</w:t>
      </w:r>
      <w:r>
        <w:rPr>
          <w:szCs w:val="15"/>
          <w:lang w:val="fi-FI"/>
        </w:rPr>
        <w:t>20</w:t>
      </w:r>
      <w:r w:rsidRPr="00126FBB">
        <w:rPr>
          <w:szCs w:val="15"/>
          <w:lang w:val="fi-FI"/>
        </w:rPr>
        <w:t xml:space="preserve"> </w:t>
      </w:r>
      <w:r w:rsidRPr="00126FBB">
        <w:rPr>
          <w:szCs w:val="15"/>
          <w:lang w:val="fi-FI"/>
        </w:rPr>
        <w:t xml:space="preserve">Wärtsilällä ei ole ollut yksittäisiä merkittäviä asiakkaita eikä maita. Myynti Yhdysvaltoihin oli </w:t>
      </w:r>
      <w:r>
        <w:rPr>
          <w:szCs w:val="15"/>
          <w:lang w:val="fi-FI"/>
        </w:rPr>
        <w:t>16</w:t>
      </w:r>
      <w:r w:rsidRPr="00126FBB">
        <w:rPr>
          <w:szCs w:val="15"/>
          <w:lang w:val="fi-FI"/>
        </w:rPr>
        <w:t>% (1</w:t>
      </w:r>
      <w:r>
        <w:rPr>
          <w:szCs w:val="15"/>
          <w:lang w:val="fi-FI"/>
        </w:rPr>
        <w:t>1</w:t>
      </w:r>
      <w:r w:rsidRPr="00126FBB">
        <w:rPr>
          <w:szCs w:val="15"/>
          <w:lang w:val="fi-FI"/>
        </w:rPr>
        <w:t xml:space="preserve">) ja myynti Kiinaan </w:t>
      </w:r>
      <w:r>
        <w:rPr>
          <w:szCs w:val="15"/>
          <w:lang w:val="fi-FI"/>
        </w:rPr>
        <w:t>9</w:t>
      </w:r>
      <w:r w:rsidRPr="00126FBB">
        <w:rPr>
          <w:szCs w:val="15"/>
          <w:lang w:val="fi-FI"/>
        </w:rPr>
        <w:t>% (</w:t>
      </w:r>
      <w:r>
        <w:rPr>
          <w:szCs w:val="15"/>
          <w:lang w:val="fi-FI"/>
        </w:rPr>
        <w:t>10</w:t>
      </w:r>
      <w:r w:rsidRPr="00126FBB">
        <w:rPr>
          <w:szCs w:val="15"/>
          <w:lang w:val="fi-FI"/>
        </w:rPr>
        <w:t>) kokonaisliikevaihdosta.</w:t>
      </w:r>
    </w:p>
    <w:p w:rsidR="00EC2214" w:rsidP="00F45225" w14:paraId="5442E74F" w14:textId="77777777">
      <w:pPr>
        <w:pStyle w:val="Bodytext2"/>
        <w:rPr>
          <w:szCs w:val="15"/>
          <w:lang w:val="fi-FI"/>
        </w:rPr>
      </w:pPr>
    </w:p>
    <w:tbl>
      <w:tblPr>
        <w:tblStyle w:val="TableNormal"/>
        <w:tblCaption w:val="Table_Geographical_information"/>
        <w:tblW w:w="7320" w:type="dxa"/>
        <w:tblLayout w:type="fixed"/>
        <w:tblLook w:val="0600"/>
      </w:tblPr>
      <w:tblGrid>
        <w:gridCol w:w="4830"/>
        <w:gridCol w:w="1245"/>
        <w:gridCol w:w="1245"/>
      </w:tblGrid>
      <w:tr>
        <w:tblPrEx>
          <w:tblW w:w="7320" w:type="dxa"/>
          <w:tblLayout w:type="fixed"/>
          <w:tblLook w:val="0600"/>
        </w:tblPrEx>
        <w:trPr>
          <w:trHeight w:hRule="exact" w:val="240"/>
        </w:trPr>
        <w:tc>
          <w:tcPr>
            <w:tcW w:w="48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Liikevaihto</w:t>
            </w:r>
          </w:p>
        </w:tc>
        <w:tc>
          <w:tcPr>
            <w:tcW w:w="12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Suomi</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73</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98</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 Eurooppa</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1 518</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1 445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Aasia</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1 464</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1 570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Amerikka</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1 286</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1 077</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8" w:space="0" w:color="0F172B"/>
              <w:right w:val="nil"/>
              <w:tl2br w:val="nil"/>
              <w:tr2bl w:val="nil"/>
            </w:tcBorders>
            <w:shd w:val="clear" w:color="FFFFFF" w:fill="FFFFFF"/>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w:t>
            </w:r>
          </w:p>
        </w:tc>
        <w:tc>
          <w:tcPr>
            <w:tcW w:w="12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437</w:t>
            </w:r>
          </w:p>
        </w:tc>
        <w:tc>
          <w:tcPr>
            <w:tcW w:w="124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415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2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4 778</w:t>
            </w:r>
          </w:p>
        </w:tc>
        <w:tc>
          <w:tcPr>
            <w:tcW w:w="124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4 604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Pitkäaikaiset varat</w:t>
            </w: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Suomi</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409</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329</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 Eurooppa</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1 533</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1 515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Aasia</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112</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97</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Amerikka</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246</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235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8" w:space="0" w:color="0F172B"/>
              <w:right w:val="nil"/>
              <w:tl2br w:val="nil"/>
              <w:tr2bl w:val="nil"/>
            </w:tcBorders>
            <w:shd w:val="clear" w:color="FFFFFF" w:fill="FFFFFF"/>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w:t>
            </w:r>
          </w:p>
        </w:tc>
        <w:tc>
          <w:tcPr>
            <w:tcW w:w="12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124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245" w:type="dxa"/>
            <w:tcBorders>
              <w:top w:val="single" w:sz="8" w:space="0" w:color="0F172B"/>
              <w:left w:val="nil"/>
              <w:bottom w:val="single" w:sz="8" w:space="0" w:color="0F172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2 307</w:t>
            </w:r>
          </w:p>
        </w:tc>
        <w:tc>
          <w:tcPr>
            <w:tcW w:w="1245" w:type="dxa"/>
            <w:tcBorders>
              <w:top w:val="single" w:sz="8" w:space="0" w:color="0F172B"/>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2 183</w:t>
            </w:r>
          </w:p>
        </w:tc>
      </w:tr>
    </w:tbl>
    <w:p w:rsidR="00F45225" w:rsidRPr="00BA7A2F" w:rsidP="00F45225" w14:paraId="033A8F96" w14:textId="77777777">
      <w:pPr>
        <w:pStyle w:val="Bodytext2"/>
        <w:rPr>
          <w:szCs w:val="15"/>
          <w:lang w:val="fi-FI"/>
        </w:rPr>
      </w:pPr>
    </w:p>
    <w:p w:rsidR="00F45225" w:rsidRPr="00060298" w:rsidP="00060298" w14:paraId="78A312E1" w14:textId="77777777">
      <w:pPr>
        <w:pStyle w:val="Heading13"/>
      </w:pPr>
      <w:r w:rsidRPr="00060298">
        <w:t>Palveluiden</w:t>
      </w:r>
      <w:r w:rsidRPr="00060298">
        <w:t xml:space="preserve"> </w:t>
      </w:r>
      <w:r w:rsidRPr="00060298">
        <w:t>liikevaihto</w:t>
      </w:r>
    </w:p>
    <w:p w:rsidR="00F45225" w:rsidP="00F45225" w14:paraId="23183415" w14:textId="77777777">
      <w:pPr>
        <w:pStyle w:val="Bodytext2"/>
        <w:rPr>
          <w:szCs w:val="15"/>
        </w:rPr>
      </w:pPr>
    </w:p>
    <w:tbl>
      <w:tblPr>
        <w:tblStyle w:val="TableNormal"/>
        <w:tblCaption w:val="Table_Service_information"/>
        <w:tblW w:w="7320" w:type="dxa"/>
        <w:tblLayout w:type="fixed"/>
        <w:tblLook w:val="0600"/>
      </w:tblPr>
      <w:tblGrid>
        <w:gridCol w:w="4830"/>
        <w:gridCol w:w="1245"/>
        <w:gridCol w:w="1245"/>
      </w:tblGrid>
      <w:tr>
        <w:tblPrEx>
          <w:tblW w:w="7320" w:type="dxa"/>
          <w:tblLayout w:type="fixed"/>
          <w:tblLook w:val="0600"/>
        </w:tblPrEx>
        <w:trPr>
          <w:trHeight w:val="240"/>
        </w:trPr>
        <w:tc>
          <w:tcPr>
            <w:tcW w:w="483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Liikevaihto</w:t>
            </w:r>
          </w:p>
        </w:tc>
        <w:tc>
          <w:tcPr>
            <w:tcW w:w="12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FFFFFF" w:fill="FFFFFF"/>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Marine Power, palvelut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1 226</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1 096</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FFFFFF" w:fill="FFFFFF"/>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Marine Systems, palvelut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211</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219</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FFFFFF" w:fill="FFFFFF"/>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Voyage, palvelut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105</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FFFFFF" w:fill="FFFFFF"/>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Energy, palvelut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891</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782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8" w:space="0" w:color="0F172B"/>
              <w:right w:val="nil"/>
              <w:tl2br w:val="nil"/>
              <w:tr2bl w:val="nil"/>
            </w:tcBorders>
            <w:shd w:val="clear" w:color="FFFFFF" w:fill="FFFFFF"/>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Portfolio Business, palvelut</w:t>
            </w:r>
          </w:p>
        </w:tc>
        <w:tc>
          <w:tcPr>
            <w:tcW w:w="12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67</w:t>
            </w:r>
          </w:p>
        </w:tc>
        <w:tc>
          <w:tcPr>
            <w:tcW w:w="124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2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2 499</w:t>
            </w:r>
          </w:p>
        </w:tc>
        <w:tc>
          <w:tcPr>
            <w:tcW w:w="124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2 255</w:t>
            </w:r>
          </w:p>
        </w:tc>
      </w:tr>
    </w:tbl>
    <w:p w:rsidR="0087536A" w:rsidP="0087536A" w14:paraId="3DBEAAE2" w14:textId="15C8450F">
      <w:pPr>
        <w:pStyle w:val="Heading12"/>
      </w:pPr>
      <w:bookmarkStart w:id="1450" w:name="RG_MARKER_7429"/>
      <w:r>
        <w:t>2.2. MYYNTITUOTTOJEN TULOUTUS</w:t>
      </w:r>
      <w:bookmarkEnd w:id="1450"/>
    </w:p>
    <w:tbl>
      <w:tblPr>
        <w:tblStyle w:val="TableGrid"/>
        <w:tblW w:w="7371" w:type="dxa"/>
        <w:tblLook w:val="04A0"/>
      </w:tblPr>
      <w:tblGrid>
        <w:gridCol w:w="7371"/>
      </w:tblGrid>
      <w:tr w14:paraId="4ED79529" w14:textId="77777777" w:rsidTr="0087536A">
        <w:tblPrEx>
          <w:tblW w:w="7371" w:type="dxa"/>
          <w:tblLook w:val="04A0"/>
        </w:tblPrEx>
        <w:tc>
          <w:tcPr>
            <w:tcW w:w="7371" w:type="dxa"/>
            <w:tcBorders>
              <w:top w:val="nil"/>
              <w:left w:val="nil"/>
              <w:bottom w:val="nil"/>
              <w:right w:val="nil"/>
            </w:tcBorders>
            <w:shd w:val="clear" w:color="auto" w:fill="B6C8D1"/>
          </w:tcPr>
          <w:p w:rsidR="0087536A" w:rsidRPr="0035563C" w14:paraId="56AE67CF" w14:textId="3C97E6CD">
            <w:pPr>
              <w:pStyle w:val="Heading13"/>
              <w:rPr>
                <w:rFonts w:eastAsiaTheme="minorEastAsia" w:cstheme="minorHAnsi"/>
                <w:lang w:val="fi-FI" w:eastAsia="fi-FI"/>
              </w:rPr>
            </w:pPr>
            <w:r w:rsidRPr="0035563C">
              <w:rPr>
                <w:lang w:val="fi-FI"/>
              </w:rPr>
              <w:t>Laadintaperiaatteet</w:t>
            </w:r>
          </w:p>
          <w:p w:rsidR="0087536A" w14:paraId="26181E8F" w14:textId="14CBCA78">
            <w:pPr>
              <w:pStyle w:val="Bodytext2"/>
              <w:rPr>
                <w:lang w:val="fi-FI"/>
              </w:rPr>
            </w:pPr>
            <w:r w:rsidRPr="00252075">
              <w:rPr>
                <w:lang w:val="fi-FI"/>
              </w:rPr>
              <w:t>Tuotot on esitetty nettona, josta on vähennetty välilliset verot, sopimussakot ja alennukset. Tuotot kirjataan, kun tavaroiden hallinta tai palvelu luovutetaan asiakkaalle, siihen määrään, jonka konserni arvioi olevansa oikeutettu saamaan kyseisten tavaroi</w:t>
            </w:r>
            <w:r w:rsidRPr="00252075">
              <w:rPr>
                <w:lang w:val="fi-FI"/>
              </w:rPr>
              <w:t>den ja palveluiden luovutuksesta. Transaktion hintaan saattaa sisältyä erilaisia elementtejä, kuten sopimussakkoja, suoritusbonuksia ja alennuksia</w:t>
            </w:r>
            <w:r w:rsidRPr="003C5B8F">
              <w:rPr>
                <w:lang w:val="fi-FI"/>
              </w:rPr>
              <w:t>.</w:t>
            </w:r>
            <w:r w:rsidRPr="003C5B8F" w:rsidR="00046D0D">
              <w:rPr>
                <w:lang w:val="fi-FI"/>
              </w:rPr>
              <w:t xml:space="preserve"> Muuttuva vastike sisällytetään  tuottoihin vain siihen määrään, johon </w:t>
            </w:r>
            <w:r w:rsidRPr="003C5B8F" w:rsidR="00445F66">
              <w:rPr>
                <w:lang w:val="fi-FI"/>
              </w:rPr>
              <w:t xml:space="preserve">ei erittäin todennäköisesti </w:t>
            </w:r>
            <w:r w:rsidRPr="003C5B8F" w:rsidR="00046D0D">
              <w:rPr>
                <w:lang w:val="fi-FI"/>
              </w:rPr>
              <w:t>kohdistu</w:t>
            </w:r>
            <w:r w:rsidRPr="003C5B8F" w:rsidR="003C5B8F">
              <w:rPr>
                <w:lang w:val="fi-FI"/>
              </w:rPr>
              <w:t xml:space="preserve"> merkittävää</w:t>
            </w:r>
            <w:r w:rsidRPr="003C5B8F" w:rsidR="00046D0D">
              <w:rPr>
                <w:lang w:val="fi-FI"/>
              </w:rPr>
              <w:t xml:space="preserve"> peruutusta.</w:t>
            </w:r>
            <w:r w:rsidR="00046D0D">
              <w:rPr>
                <w:lang w:val="fi-FI"/>
              </w:rPr>
              <w:t xml:space="preserve"> </w:t>
            </w:r>
            <w:r w:rsidRPr="00252075">
              <w:rPr>
                <w:lang w:val="fi-FI"/>
              </w:rPr>
              <w:t>Raportointipäivään mennessä kirjattu tuotto kuvastaa Wärtsilän tuottaman palvelun arvoa asiakkaalle.</w:t>
            </w:r>
          </w:p>
          <w:p w:rsidR="00252075" w:rsidRPr="00252075" w14:paraId="0FE32FEA" w14:textId="77777777">
            <w:pPr>
              <w:pStyle w:val="Bodytext2"/>
              <w:rPr>
                <w:rFonts w:eastAsiaTheme="minorEastAsia"/>
                <w:lang w:val="fi-FI" w:eastAsia="fi-FI"/>
              </w:rPr>
            </w:pPr>
          </w:p>
          <w:p w:rsidR="0087536A" w:rsidRPr="00C863F0" w14:paraId="06591451" w14:textId="670A97D9">
            <w:pPr>
              <w:pStyle w:val="Bodytext2"/>
              <w:rPr>
                <w:rFonts w:eastAsiaTheme="minorEastAsia"/>
                <w:lang w:val="fi-FI" w:eastAsia="fi-FI"/>
              </w:rPr>
            </w:pPr>
            <w:r w:rsidRPr="00C863F0">
              <w:rPr>
                <w:lang w:val="fi-FI"/>
              </w:rPr>
              <w:t>Konserni kirjaa myyntituottoa sitä mukaa kun yksilöidyn suoritevelvoitteen mukaista tavaraa tai palvelua luovutetaan asiakkaalle. Y</w:t>
            </w:r>
            <w:r w:rsidRPr="00C863F0">
              <w:rPr>
                <w:lang w:val="fi-FI"/>
              </w:rPr>
              <w:t>leensä tavara tai palvelu katsotaan luovutetuksi, kun asiakas saa määräysvallan siihen.</w:t>
            </w:r>
            <w:r>
              <w:rPr>
                <w:lang w:val="fi-FI"/>
              </w:rPr>
              <w:t xml:space="preserve"> </w:t>
            </w:r>
            <w:r w:rsidRPr="00C863F0">
              <w:rPr>
                <w:lang w:val="fi-FI"/>
              </w:rPr>
              <w:t>Määräysvalta</w:t>
            </w:r>
            <w:r>
              <w:rPr>
                <w:lang w:val="fi-FI"/>
              </w:rPr>
              <w:t xml:space="preserve"> siirtyy joko yhtenä ajankohtana tai ajan kuluessa.</w:t>
            </w:r>
          </w:p>
          <w:p w:rsidR="0087536A" w:rsidRPr="00C863F0" w14:paraId="226D1C07" w14:textId="77777777">
            <w:pPr>
              <w:pStyle w:val="Bodytext2"/>
              <w:rPr>
                <w:rFonts w:eastAsiaTheme="minorEastAsia"/>
                <w:lang w:val="fi-FI" w:eastAsia="fi-FI"/>
              </w:rPr>
            </w:pPr>
          </w:p>
          <w:p w:rsidR="0087536A" w:rsidRPr="00252075" w14:paraId="4ED8FFA6" w14:textId="330EF4CC">
            <w:pPr>
              <w:pStyle w:val="Bodytext2"/>
              <w:rPr>
                <w:rFonts w:eastAsiaTheme="minorEastAsia"/>
                <w:lang w:val="fi-FI" w:eastAsia="fi-FI"/>
              </w:rPr>
            </w:pPr>
            <w:r w:rsidRPr="003C5B8F">
              <w:rPr>
                <w:lang w:val="fi-FI"/>
              </w:rPr>
              <w:t>Wärtsilä keskittyy merenkul</w:t>
            </w:r>
            <w:r>
              <w:rPr>
                <w:lang w:val="fi-FI"/>
              </w:rPr>
              <w:t xml:space="preserve">ku- </w:t>
            </w:r>
            <w:r w:rsidRPr="003C5B8F">
              <w:rPr>
                <w:lang w:val="fi-FI"/>
              </w:rPr>
              <w:t>ja energiamarkkino</w:t>
            </w:r>
            <w:r>
              <w:rPr>
                <w:lang w:val="fi-FI"/>
              </w:rPr>
              <w:t>ille</w:t>
            </w:r>
            <w:r w:rsidRPr="003C5B8F">
              <w:rPr>
                <w:lang w:val="fi-FI"/>
              </w:rPr>
              <w:t xml:space="preserve"> laitteiden, ratkaisujen ja palvelujen toimittajan</w:t>
            </w:r>
            <w:r w:rsidRPr="003C5B8F">
              <w:rPr>
                <w:lang w:val="fi-FI"/>
              </w:rPr>
              <w:t>a.</w:t>
            </w:r>
            <w:r>
              <w:rPr>
                <w:lang w:val="fi-FI"/>
              </w:rPr>
              <w:t xml:space="preserve"> </w:t>
            </w:r>
            <w:r w:rsidRPr="00252075" w:rsidR="00787ED5">
              <w:rPr>
                <w:lang w:val="fi-FI"/>
              </w:rPr>
              <w:t>Asiakassopimuksista saadut tuotot ovat peräisin neljästä eri tulotyypistä</w:t>
            </w:r>
            <w:r w:rsidRPr="003C5B8F" w:rsidR="001D5B5C">
              <w:rPr>
                <w:lang w:val="fi-FI"/>
              </w:rPr>
              <w:t>: tuotteista, tuotteista ja palveluista, projekteista sekä pitkäaikaisista sopimuksista</w:t>
            </w:r>
            <w:r w:rsidRPr="003C5B8F" w:rsidR="00787ED5">
              <w:rPr>
                <w:lang w:val="fi-FI"/>
              </w:rPr>
              <w:t>. Kaikkia tulotyyppejä esiintyy</w:t>
            </w:r>
            <w:r w:rsidRPr="00252075" w:rsidR="00787ED5">
              <w:rPr>
                <w:lang w:val="fi-FI"/>
              </w:rPr>
              <w:t xml:space="preserve"> </w:t>
            </w:r>
            <w:r w:rsidR="00787ED5">
              <w:rPr>
                <w:lang w:val="fi-FI"/>
              </w:rPr>
              <w:t>kaikissa</w:t>
            </w:r>
            <w:r w:rsidRPr="00252075" w:rsidR="00787ED5">
              <w:rPr>
                <w:lang w:val="fi-FI"/>
              </w:rPr>
              <w:t xml:space="preserve"> raportoi</w:t>
            </w:r>
            <w:r w:rsidR="00787ED5">
              <w:rPr>
                <w:lang w:val="fi-FI"/>
              </w:rPr>
              <w:t>nti</w:t>
            </w:r>
            <w:r w:rsidRPr="00252075" w:rsidR="00787ED5">
              <w:rPr>
                <w:lang w:val="fi-FI"/>
              </w:rPr>
              <w:t>segmenteissä ja muissa liiketoiminnoissa: Wärtsilä</w:t>
            </w:r>
            <w:r w:rsidRPr="00252075" w:rsidR="00164D7D">
              <w:rPr>
                <w:lang w:val="fi-FI"/>
              </w:rPr>
              <w:t xml:space="preserve"> Marine Power</w:t>
            </w:r>
            <w:r w:rsidRPr="00252075" w:rsidR="00787ED5">
              <w:rPr>
                <w:lang w:val="fi-FI"/>
              </w:rPr>
              <w:t>issa</w:t>
            </w:r>
            <w:r w:rsidRPr="00252075" w:rsidR="00164D7D">
              <w:rPr>
                <w:lang w:val="fi-FI"/>
              </w:rPr>
              <w:t xml:space="preserve">, </w:t>
            </w:r>
            <w:r w:rsidRPr="00252075" w:rsidR="00787ED5">
              <w:rPr>
                <w:lang w:val="fi-FI"/>
              </w:rPr>
              <w:t xml:space="preserve">Wärtsilä </w:t>
            </w:r>
            <w:r w:rsidRPr="00252075" w:rsidR="00164D7D">
              <w:rPr>
                <w:lang w:val="fi-FI"/>
              </w:rPr>
              <w:t>Marine Systems</w:t>
            </w:r>
            <w:r w:rsidRPr="00252075" w:rsidR="00787ED5">
              <w:rPr>
                <w:lang w:val="fi-FI"/>
              </w:rPr>
              <w:t>issä</w:t>
            </w:r>
            <w:r w:rsidRPr="00252075" w:rsidR="00164D7D">
              <w:rPr>
                <w:lang w:val="fi-FI"/>
              </w:rPr>
              <w:t xml:space="preserve">, </w:t>
            </w:r>
            <w:r w:rsidRPr="00252075" w:rsidR="00787ED5">
              <w:rPr>
                <w:lang w:val="fi-FI"/>
              </w:rPr>
              <w:t xml:space="preserve">Wärtsilä </w:t>
            </w:r>
            <w:r w:rsidRPr="00252075" w:rsidR="00164D7D">
              <w:rPr>
                <w:lang w:val="fi-FI"/>
              </w:rPr>
              <w:t>Voyage</w:t>
            </w:r>
            <w:r w:rsidRPr="00252075" w:rsidR="00787ED5">
              <w:rPr>
                <w:lang w:val="fi-FI"/>
              </w:rPr>
              <w:t>issa</w:t>
            </w:r>
            <w:r w:rsidRPr="00252075" w:rsidR="00164D7D">
              <w:rPr>
                <w:lang w:val="fi-FI"/>
              </w:rPr>
              <w:t xml:space="preserve">, </w:t>
            </w:r>
            <w:r w:rsidRPr="00252075" w:rsidR="00787ED5">
              <w:rPr>
                <w:lang w:val="fi-FI"/>
              </w:rPr>
              <w:t xml:space="preserve">Wärtsilä </w:t>
            </w:r>
            <w:r w:rsidRPr="00252075" w:rsidR="00164D7D">
              <w:rPr>
                <w:lang w:val="fi-FI"/>
              </w:rPr>
              <w:t>Energy</w:t>
            </w:r>
            <w:r w:rsidRPr="00252075" w:rsidR="00787ED5">
              <w:rPr>
                <w:lang w:val="fi-FI"/>
              </w:rPr>
              <w:t xml:space="preserve">ssä ja Wärtsilä </w:t>
            </w:r>
            <w:r w:rsidRPr="00252075" w:rsidR="00164D7D">
              <w:rPr>
                <w:lang w:val="fi-FI"/>
              </w:rPr>
              <w:t>Portfolio Business</w:t>
            </w:r>
            <w:r w:rsidRPr="00252075" w:rsidR="00787ED5">
              <w:rPr>
                <w:lang w:val="fi-FI"/>
              </w:rPr>
              <w:t>issä</w:t>
            </w:r>
            <w:r w:rsidRPr="00252075" w:rsidR="00164D7D">
              <w:rPr>
                <w:lang w:val="fi-FI"/>
              </w:rPr>
              <w:t>.</w:t>
            </w:r>
          </w:p>
          <w:p w:rsidR="0087536A" w:rsidRPr="00252075" w14:paraId="75D46B9A" w14:textId="77777777">
            <w:pPr>
              <w:pStyle w:val="Bodytext2"/>
              <w:rPr>
                <w:rFonts w:eastAsiaTheme="minorEastAsia"/>
                <w:lang w:val="fi-FI" w:eastAsia="fi-FI"/>
              </w:rPr>
            </w:pPr>
          </w:p>
          <w:p w:rsidR="0087536A" w:rsidRPr="00252075" w14:paraId="7D06D4E5" w14:textId="436DBBD9">
            <w:pPr>
              <w:pStyle w:val="Bodytext2"/>
              <w:rPr>
                <w:lang w:val="fi-FI"/>
              </w:rPr>
            </w:pPr>
            <w:r w:rsidRPr="00252075">
              <w:rPr>
                <w:lang w:val="fi-FI"/>
              </w:rPr>
              <w:t>Tuotemyynnit koostuvat varaosien ja standardilaitteistojen myynneistä, joista tuotot kirjataan sillä het</w:t>
            </w:r>
            <w:r w:rsidRPr="00252075">
              <w:rPr>
                <w:lang w:val="fi-FI"/>
              </w:rPr>
              <w:t>kellä, kun tuotteiden hallinta luovutetaan asiakkaalle, yleensä tavaroiden toimittamisen yhteydessä. Tuotemyyntisopimukset sisältävät pääasiassa yhden suorit</w:t>
            </w:r>
            <w:r>
              <w:rPr>
                <w:lang w:val="fi-FI"/>
              </w:rPr>
              <w:t>e</w:t>
            </w:r>
            <w:r w:rsidRPr="00252075">
              <w:rPr>
                <w:lang w:val="fi-FI"/>
              </w:rPr>
              <w:t>velvoitteen.</w:t>
            </w:r>
          </w:p>
          <w:p w:rsidR="00252075" w:rsidRPr="00252075" w14:paraId="70C4E458" w14:textId="77777777">
            <w:pPr>
              <w:pStyle w:val="Bodytext2"/>
              <w:rPr>
                <w:rFonts w:eastAsiaTheme="minorEastAsia"/>
                <w:lang w:val="fi-FI" w:eastAsia="fi-FI"/>
              </w:rPr>
            </w:pPr>
          </w:p>
          <w:p w:rsidR="0087536A" w:rsidRPr="00252075" w14:paraId="0A224C68" w14:textId="1B081667">
            <w:pPr>
              <w:pStyle w:val="Bodytext2"/>
              <w:rPr>
                <w:rFonts w:eastAsiaTheme="minorEastAsia"/>
                <w:lang w:val="fi-FI" w:eastAsia="fi-FI"/>
              </w:rPr>
            </w:pPr>
            <w:r>
              <w:rPr>
                <w:lang w:val="fi-FI"/>
              </w:rPr>
              <w:t>Tuotteet</w:t>
            </w:r>
            <w:r w:rsidRPr="00252075">
              <w:rPr>
                <w:lang w:val="fi-FI"/>
              </w:rPr>
              <w:t xml:space="preserve"> ja palvelut -tyyppiset tulot liittyvät lyhytaikaisiin palvelusuorituksiin, </w:t>
            </w:r>
            <w:r w:rsidRPr="00252075">
              <w:rPr>
                <w:lang w:val="fi-FI"/>
              </w:rPr>
              <w:t xml:space="preserve">joihin sisältyy palvelun ja laitteiden yhdistelmän toimittaminen. Tuotto kirjataan sillä hetkellä, kun palvelu suoritetaan. </w:t>
            </w:r>
            <w:r>
              <w:rPr>
                <w:lang w:val="fi-FI"/>
              </w:rPr>
              <w:t>Tuotteet</w:t>
            </w:r>
            <w:r w:rsidRPr="00252075">
              <w:rPr>
                <w:lang w:val="fi-FI"/>
              </w:rPr>
              <w:t xml:space="preserve"> ja palvelut -tyyppiset sopimukset sisältävät pääasiassa yhden suorit</w:t>
            </w:r>
            <w:r>
              <w:rPr>
                <w:lang w:val="fi-FI"/>
              </w:rPr>
              <w:t>e</w:t>
            </w:r>
            <w:r w:rsidRPr="00252075">
              <w:rPr>
                <w:lang w:val="fi-FI"/>
              </w:rPr>
              <w:t>velvoitteen</w:t>
            </w:r>
            <w:r w:rsidRPr="00252075" w:rsidR="00164D7D">
              <w:rPr>
                <w:lang w:val="fi-FI"/>
              </w:rPr>
              <w:t>.</w:t>
            </w:r>
          </w:p>
          <w:p w:rsidR="0087536A" w:rsidRPr="00252075" w14:paraId="60D9E4F5" w14:textId="77777777">
            <w:pPr>
              <w:pStyle w:val="Bodytext2"/>
              <w:rPr>
                <w:rFonts w:eastAsiaTheme="minorEastAsia"/>
                <w:lang w:val="fi-FI" w:eastAsia="fi-FI"/>
              </w:rPr>
            </w:pPr>
          </w:p>
          <w:p w:rsidR="00295940" w:rsidRPr="00E07BD9" w14:paraId="02004EC1" w14:textId="36D79EAD">
            <w:pPr>
              <w:pStyle w:val="Bodytext2"/>
              <w:rPr>
                <w:lang w:val="fi-FI"/>
              </w:rPr>
            </w:pPr>
            <w:r w:rsidRPr="00E07BD9">
              <w:rPr>
                <w:lang w:val="fi-FI"/>
              </w:rPr>
              <w:t>Projekteja on sekä lyhyt- että pitkäaika</w:t>
            </w:r>
            <w:r w:rsidRPr="00E07BD9">
              <w:rPr>
                <w:lang w:val="fi-FI"/>
              </w:rPr>
              <w:t xml:space="preserve">isia. Sopimusehdoista ja sopimuksen kestosta riippuen tuloutus tapahtuu joko ajan kuluessa tai yhtenä ajankohtana. Laajamittaisissa, insinööritekniikkaa vaativissa </w:t>
            </w:r>
            <w:r w:rsidRPr="001D5B5C">
              <w:rPr>
                <w:lang w:val="fi-FI"/>
              </w:rPr>
              <w:t xml:space="preserve">järjestelmä- tai laitetoimituksissa, kuten </w:t>
            </w:r>
            <w:r w:rsidRPr="001D5B5C" w:rsidR="00445F66">
              <w:rPr>
                <w:lang w:val="fi-FI"/>
              </w:rPr>
              <w:t xml:space="preserve">Energyn </w:t>
            </w:r>
            <w:r w:rsidRPr="001D5B5C">
              <w:rPr>
                <w:lang w:val="fi-FI"/>
              </w:rPr>
              <w:t>voimaloissa</w:t>
            </w:r>
            <w:r w:rsidRPr="001D5B5C" w:rsidR="00445F66">
              <w:rPr>
                <w:lang w:val="fi-FI"/>
              </w:rPr>
              <w:t xml:space="preserve"> ja energian varastointijärjestelmissä</w:t>
            </w:r>
            <w:r w:rsidRPr="001D5B5C" w:rsidR="002D5580">
              <w:rPr>
                <w:lang w:val="fi-FI"/>
              </w:rPr>
              <w:t xml:space="preserve"> sekä</w:t>
            </w:r>
            <w:r w:rsidRPr="001D5B5C">
              <w:rPr>
                <w:lang w:val="fi-FI"/>
              </w:rPr>
              <w:t xml:space="preserve"> </w:t>
            </w:r>
            <w:r w:rsidRPr="001D5B5C" w:rsidR="00445F66">
              <w:rPr>
                <w:lang w:val="fi-FI"/>
              </w:rPr>
              <w:t xml:space="preserve">Marine Systemsin </w:t>
            </w:r>
            <w:r w:rsidRPr="001D5B5C">
              <w:rPr>
                <w:lang w:val="fi-FI"/>
              </w:rPr>
              <w:t>kaasuratkaisu</w:t>
            </w:r>
            <w:r w:rsidRPr="001D5B5C" w:rsidR="00B86500">
              <w:rPr>
                <w:lang w:val="fi-FI"/>
              </w:rPr>
              <w:t xml:space="preserve">jen toimitussopimuksissa, tuloutus tapahtuu ajan kuluessa, koska konsernilla ei ole siihen asti tuotetulle omaisuuserälle vaihtoehtoista käyttöä ja konsernilla on oikeus saada siitä maksu. </w:t>
            </w:r>
            <w:r w:rsidRPr="001D5B5C">
              <w:rPr>
                <w:lang w:val="fi-FI"/>
              </w:rPr>
              <w:t>Näihin liittyvät</w:t>
            </w:r>
            <w:r w:rsidRPr="001D5B5C" w:rsidR="00B86500">
              <w:rPr>
                <w:lang w:val="fi-FI"/>
              </w:rPr>
              <w:t xml:space="preserve"> sopimukset sisältävät yleensä yhden suoritevelvoitteen</w:t>
            </w:r>
            <w:r w:rsidRPr="001D5B5C" w:rsidR="002D5580">
              <w:rPr>
                <w:lang w:val="fi-FI"/>
              </w:rPr>
              <w:t>, jonka täyttämisaste määritellään</w:t>
            </w:r>
            <w:r w:rsidRPr="001D5B5C" w:rsidR="00BD03AF">
              <w:rPr>
                <w:lang w:val="fi-FI"/>
              </w:rPr>
              <w:t xml:space="preserve"> </w:t>
            </w:r>
            <w:r>
              <w:rPr>
                <w:lang w:val="fi-FI"/>
              </w:rPr>
              <w:t>kulu</w:t>
            </w:r>
            <w:r w:rsidRPr="001D5B5C" w:rsidR="00BD03AF">
              <w:rPr>
                <w:lang w:val="fi-FI"/>
              </w:rPr>
              <w:t>pohjaise</w:t>
            </w:r>
            <w:r w:rsidRPr="001D5B5C">
              <w:rPr>
                <w:lang w:val="fi-FI"/>
              </w:rPr>
              <w:t>n</w:t>
            </w:r>
            <w:r w:rsidRPr="001D5B5C" w:rsidR="00BD03AF">
              <w:rPr>
                <w:lang w:val="fi-FI"/>
              </w:rPr>
              <w:t xml:space="preserve"> </w:t>
            </w:r>
            <w:r w:rsidRPr="001D5B5C">
              <w:rPr>
                <w:lang w:val="fi-FI"/>
              </w:rPr>
              <w:t>menetelmän avulla (cost-to-cost)</w:t>
            </w:r>
            <w:r w:rsidRPr="001D5B5C" w:rsidR="00034CC3">
              <w:rPr>
                <w:lang w:val="fi-FI"/>
              </w:rPr>
              <w:t xml:space="preserve">, jossa myynnit ja tuotot kirjataan kunkin sopimuksen osalta sen perusteella paljonko on toteutuneiden </w:t>
            </w:r>
            <w:r>
              <w:rPr>
                <w:lang w:val="fi-FI"/>
              </w:rPr>
              <w:t>kulujen</w:t>
            </w:r>
            <w:r w:rsidRPr="001D5B5C" w:rsidR="00034CC3">
              <w:rPr>
                <w:lang w:val="fi-FI"/>
              </w:rPr>
              <w:t xml:space="preserve"> suhde arvioituihin kokonais</w:t>
            </w:r>
            <w:r>
              <w:rPr>
                <w:lang w:val="fi-FI"/>
              </w:rPr>
              <w:t>kuluihin</w:t>
            </w:r>
            <w:r w:rsidRPr="001D5B5C" w:rsidR="00034CC3">
              <w:rPr>
                <w:lang w:val="fi-FI"/>
              </w:rPr>
              <w:t xml:space="preserve">. </w:t>
            </w:r>
            <w:r w:rsidRPr="001D5B5C" w:rsidR="00305AFC">
              <w:rPr>
                <w:lang w:val="fi-FI"/>
              </w:rPr>
              <w:t>Räätälöidyt</w:t>
            </w:r>
            <w:r w:rsidRPr="00E07BD9" w:rsidR="00305AFC">
              <w:rPr>
                <w:lang w:val="fi-FI"/>
              </w:rPr>
              <w:t xml:space="preserve"> laitetoimitusprojektit tuloutetaan yhtenä ajankohtana kun määräysvalta siirtyy asiakkaalle, yleensä toimituksen yhteydessä. </w:t>
            </w:r>
            <w:r w:rsidRPr="00E07BD9">
              <w:rPr>
                <w:lang w:val="fi-FI"/>
              </w:rPr>
              <w:t>Näihin liittyvät</w:t>
            </w:r>
            <w:r w:rsidRPr="00E07BD9" w:rsidR="00305AFC">
              <w:rPr>
                <w:lang w:val="fi-FI"/>
              </w:rPr>
              <w:t xml:space="preserve"> sopimukset sisältävät tavallisesti yhden suoritevelvoitteen, mutt</w:t>
            </w:r>
            <w:r w:rsidRPr="00E07BD9" w:rsidR="00FD34A4">
              <w:rPr>
                <w:lang w:val="fi-FI"/>
              </w:rPr>
              <w:t>a tietyissä tilanteissa, jos sopimus sisältää useita toimituksia, niitä voidaan pitää erillisinä suoritevelvoitteina</w:t>
            </w:r>
            <w:r w:rsidRPr="001D5B5C" w:rsidR="00FD34A4">
              <w:rPr>
                <w:lang w:val="fi-FI"/>
              </w:rPr>
              <w:t>.</w:t>
            </w:r>
            <w:r w:rsidRPr="001D5B5C" w:rsidR="00305AFC">
              <w:rPr>
                <w:lang w:val="fi-FI"/>
              </w:rPr>
              <w:t xml:space="preserve"> </w:t>
            </w:r>
            <w:r w:rsidRPr="001D5B5C" w:rsidR="00034CC3">
              <w:rPr>
                <w:lang w:val="fi-FI"/>
              </w:rPr>
              <w:t>Räätälöityä laitemyyntiä on pääasiassa Marine Powerissa ja Marine Systemsissä.</w:t>
            </w:r>
            <w:r w:rsidR="00034CC3">
              <w:rPr>
                <w:lang w:val="fi-FI"/>
              </w:rPr>
              <w:t xml:space="preserve"> </w:t>
            </w:r>
            <w:r w:rsidRPr="00E07BD9" w:rsidR="00FD34A4">
              <w:rPr>
                <w:lang w:val="fi-FI"/>
              </w:rPr>
              <w:t>Palvelutoimintaan liittyvistä projekteista</w:t>
            </w:r>
            <w:r w:rsidRPr="00E07BD9">
              <w:rPr>
                <w:lang w:val="fi-FI"/>
              </w:rPr>
              <w:t xml:space="preserve">, kuten modernisointi- ja parannusprojekteista, myyntituotot kirjataan </w:t>
            </w:r>
            <w:r w:rsidRPr="00E07BD9">
              <w:rPr>
                <w:lang w:val="fi-FI"/>
              </w:rPr>
              <w:t>ajan kuluessa, koska asiakaalla yleensä on määräysvalta paranneltavaan omaisuuserään. Näihin</w:t>
            </w:r>
            <w:r w:rsidRPr="00E07BD9">
              <w:rPr>
                <w:lang w:val="fi-FI"/>
              </w:rPr>
              <w:t xml:space="preserve"> liittyvät sopimukset sisältävät yleensä yhden suoritevelvoitteen.</w:t>
            </w:r>
          </w:p>
          <w:p w:rsidR="00295940" w:rsidRPr="00E07BD9" w14:paraId="119C6EF4" w14:textId="77777777">
            <w:pPr>
              <w:pStyle w:val="Bodytext2"/>
              <w:rPr>
                <w:lang w:val="fi-FI"/>
              </w:rPr>
            </w:pPr>
          </w:p>
          <w:p w:rsidR="005E2470" w:rsidRPr="00E07BD9" w14:paraId="189C0EF1" w14:textId="2F3A0DB1">
            <w:pPr>
              <w:pStyle w:val="Bodytext2"/>
              <w:rPr>
                <w:lang w:val="fi-FI"/>
              </w:rPr>
            </w:pPr>
            <w:r w:rsidRPr="00E07BD9">
              <w:rPr>
                <w:lang w:val="fi-FI"/>
              </w:rPr>
              <w:t xml:space="preserve">Pitkäaikaiset sopimukset </w:t>
            </w:r>
            <w:r w:rsidRPr="00E07BD9" w:rsidR="00F31301">
              <w:rPr>
                <w:lang w:val="fi-FI"/>
              </w:rPr>
              <w:t xml:space="preserve">sisältävät pitkäaikaiset käyttö- ja huoltosopimukset, jotka tuloutetaan ajan kuluessa, koska asiakas samanaikaisesti saa ja kuluttaa saamaansa </w:t>
            </w:r>
            <w:r w:rsidRPr="001D5B5C" w:rsidR="00F31301">
              <w:rPr>
                <w:lang w:val="fi-FI"/>
              </w:rPr>
              <w:t>palvelua.</w:t>
            </w:r>
            <w:r w:rsidRPr="001D5B5C" w:rsidR="00034CC3">
              <w:rPr>
                <w:lang w:val="fi-FI"/>
              </w:rPr>
              <w:t xml:space="preserve"> Täyttämisaste määritellään </w:t>
            </w:r>
            <w:r w:rsidRPr="001D5B5C">
              <w:rPr>
                <w:lang w:val="fi-FI"/>
              </w:rPr>
              <w:t xml:space="preserve">kulupohjaisen menetelmän avulla (cost-to-cost), </w:t>
            </w:r>
            <w:r w:rsidRPr="001D5B5C" w:rsidR="00034CC3">
              <w:rPr>
                <w:lang w:val="fi-FI"/>
              </w:rPr>
              <w:t xml:space="preserve">jossa myynnit ja tuotot kirjataan kunkin sopimuksen osalta sen perusteella paljonko on toteutuneiden </w:t>
            </w:r>
            <w:r w:rsidRPr="001D5B5C">
              <w:rPr>
                <w:lang w:val="fi-FI"/>
              </w:rPr>
              <w:t>kulu</w:t>
            </w:r>
            <w:r w:rsidRPr="001D5B5C" w:rsidR="00034CC3">
              <w:rPr>
                <w:lang w:val="fi-FI"/>
              </w:rPr>
              <w:t>jen suhde arvioituihin kokonais</w:t>
            </w:r>
            <w:r w:rsidRPr="001D5B5C">
              <w:rPr>
                <w:lang w:val="fi-FI"/>
              </w:rPr>
              <w:t>kuluihin</w:t>
            </w:r>
            <w:r w:rsidR="00034CC3">
              <w:rPr>
                <w:lang w:val="fi-FI"/>
              </w:rPr>
              <w:t>.</w:t>
            </w:r>
            <w:r w:rsidRPr="00E07BD9" w:rsidR="00F31301">
              <w:rPr>
                <w:lang w:val="fi-FI"/>
              </w:rPr>
              <w:t xml:space="preserve"> Näihin liittyvät sopimukset sisältävät yleensä yhden suoritevelvoitteen per </w:t>
            </w:r>
            <w:r w:rsidRPr="00E07BD9">
              <w:rPr>
                <w:lang w:val="fi-FI"/>
              </w:rPr>
              <w:t>installaatio</w:t>
            </w:r>
            <w:r w:rsidRPr="001D5B5C" w:rsidR="00F31301">
              <w:rPr>
                <w:lang w:val="fi-FI"/>
              </w:rPr>
              <w:t>.</w:t>
            </w:r>
            <w:r w:rsidRPr="001D5B5C" w:rsidR="00034CC3">
              <w:rPr>
                <w:lang w:val="fi-FI"/>
              </w:rPr>
              <w:t xml:space="preserve"> Pitkäaikaiset sopimukset </w:t>
            </w:r>
            <w:r w:rsidRPr="001D5B5C">
              <w:rPr>
                <w:lang w:val="fi-FI"/>
              </w:rPr>
              <w:t xml:space="preserve">kerryttävät tuottoja </w:t>
            </w:r>
            <w:r>
              <w:rPr>
                <w:lang w:val="fi-FI"/>
              </w:rPr>
              <w:t xml:space="preserve">pääasiassa </w:t>
            </w:r>
            <w:r w:rsidRPr="001D5B5C">
              <w:rPr>
                <w:lang w:val="fi-FI"/>
              </w:rPr>
              <w:t>Energyssä ja Marine Powerissa.</w:t>
            </w:r>
          </w:p>
          <w:p w:rsidR="00164D7D" w:rsidRPr="00F31301" w14:paraId="2F234184" w14:textId="77777777">
            <w:pPr>
              <w:pStyle w:val="Bodytext2"/>
              <w:rPr>
                <w:lang w:val="fi-FI"/>
              </w:rPr>
            </w:pPr>
          </w:p>
          <w:p w:rsidR="0087536A" w:rsidRPr="0087536A" w14:paraId="6A24F500" w14:textId="18DB7AD2">
            <w:pPr>
              <w:pStyle w:val="Bodytext2"/>
              <w:rPr>
                <w:rFonts w:eastAsiaTheme="minorEastAsia"/>
                <w:lang w:val="fi-FI" w:eastAsia="fi-FI"/>
              </w:rPr>
            </w:pPr>
            <w:r w:rsidRPr="0087536A">
              <w:rPr>
                <w:rFonts w:eastAsiaTheme="minorEastAsia"/>
                <w:lang w:val="fi-FI" w:eastAsia="fi-FI"/>
              </w:rPr>
              <w:t xml:space="preserve">Asiakassopimukset sisältävät usein Wärtsilän </w:t>
            </w:r>
            <w:r>
              <w:rPr>
                <w:rFonts w:eastAsiaTheme="minorEastAsia"/>
                <w:lang w:val="fi-FI" w:eastAsia="fi-FI"/>
              </w:rPr>
              <w:t>y</w:t>
            </w:r>
            <w:r w:rsidRPr="0087536A">
              <w:rPr>
                <w:rFonts w:eastAsiaTheme="minorEastAsia"/>
                <w:lang w:val="fi-FI" w:eastAsia="fi-FI"/>
              </w:rPr>
              <w:t>leisten ehtojen mukaisia takuita, joita pidetään osana asiakkaalle annettua lupausta. Laajat takuut tai takuut, jotka asiakas on vapaaehtoisesti ostanut, on ilmoitettu erillisinä suorit</w:t>
            </w:r>
            <w:r>
              <w:rPr>
                <w:rFonts w:eastAsiaTheme="minorEastAsia"/>
                <w:lang w:val="fi-FI" w:eastAsia="fi-FI"/>
              </w:rPr>
              <w:t>e</w:t>
            </w:r>
            <w:r w:rsidRPr="0087536A">
              <w:rPr>
                <w:rFonts w:eastAsiaTheme="minorEastAsia"/>
                <w:lang w:val="fi-FI" w:eastAsia="fi-FI"/>
              </w:rPr>
              <w:t>velvoitteina</w:t>
            </w:r>
            <w:r>
              <w:rPr>
                <w:rFonts w:eastAsiaTheme="minorEastAsia"/>
                <w:lang w:val="fi-FI" w:eastAsia="fi-FI"/>
              </w:rPr>
              <w:t xml:space="preserve"> ja ne tuloutetaan tasaisesti takuuajan aikana.</w:t>
            </w:r>
          </w:p>
          <w:p w:rsidR="0087536A" w:rsidRPr="0087536A" w14:paraId="7259EAF1" w14:textId="77777777">
            <w:pPr>
              <w:pStyle w:val="Bodytext2"/>
              <w:rPr>
                <w:rFonts w:eastAsiaTheme="minorEastAsia"/>
                <w:lang w:val="fi-FI" w:eastAsia="fi-FI"/>
              </w:rPr>
            </w:pPr>
          </w:p>
          <w:p w:rsidR="0087536A" w:rsidRPr="0087536A" w:rsidP="0087536A" w14:paraId="676E8A09" w14:textId="09FFE826">
            <w:pPr>
              <w:pStyle w:val="Bodytext2"/>
              <w:rPr>
                <w:lang w:val="fi-FI"/>
              </w:rPr>
            </w:pPr>
            <w:r w:rsidRPr="0087536A">
              <w:rPr>
                <w:lang w:val="fi-FI"/>
              </w:rPr>
              <w:t>Ajan kulu</w:t>
            </w:r>
            <w:r w:rsidRPr="0087536A">
              <w:rPr>
                <w:lang w:val="fi-FI"/>
              </w:rPr>
              <w:t>essa kirjattavat tuotot arvostetaan panokseen perustuvalla menetelmällä (syntyneiden menojen perusteella arvioitu edistyminen), kun sopimuksen lopputulos voidaan luotettavasti arvioida. Kun lopputulosta ei pystytä luotettavasti määrittämään, aiheutuneet ku</w:t>
            </w:r>
            <w:r w:rsidRPr="0087536A">
              <w:rPr>
                <w:lang w:val="fi-FI"/>
              </w:rPr>
              <w:t xml:space="preserve">lut rasittavat sen </w:t>
            </w:r>
            <w:r>
              <w:rPr>
                <w:lang w:val="fi-FI"/>
              </w:rPr>
              <w:t>raportointi</w:t>
            </w:r>
            <w:r w:rsidRPr="0087536A">
              <w:rPr>
                <w:lang w:val="fi-FI"/>
              </w:rPr>
              <w:t>kauden tulosta, jolloin ne syntyvät, mutta tulot kirjataan vain siltä osin kuin yhtiö saa todellisten kustannusten määrää vastaavia tuloja. Kaikki tappiot kirjataan kuluiksi välittömästi. Jos tavaroiden ja palveluiden tuotot k</w:t>
            </w:r>
            <w:r w:rsidRPr="0087536A">
              <w:rPr>
                <w:lang w:val="fi-FI"/>
              </w:rPr>
              <w:t xml:space="preserve">irjataan tiettynä </w:t>
            </w:r>
            <w:r>
              <w:rPr>
                <w:lang w:val="fi-FI"/>
              </w:rPr>
              <w:t>ajankohtana</w:t>
            </w:r>
            <w:r w:rsidRPr="0087536A">
              <w:rPr>
                <w:lang w:val="fi-FI"/>
              </w:rPr>
              <w:t xml:space="preserve">, tämä hetki määräytyy sen mukaan, milloin hallinta luovutetaan asiakkaalle. Hallinnan luovutus perustuu pääasiassa riskien ja </w:t>
            </w:r>
            <w:r>
              <w:rPr>
                <w:lang w:val="fi-FI"/>
              </w:rPr>
              <w:t>etujen</w:t>
            </w:r>
            <w:r w:rsidRPr="0087536A">
              <w:rPr>
                <w:lang w:val="fi-FI"/>
              </w:rPr>
              <w:t xml:space="preserve"> siirtymiseen toimitusehdon mukaisesti.</w:t>
            </w:r>
          </w:p>
          <w:p w:rsidR="0087536A" w:rsidRPr="0087536A" w:rsidP="0087536A" w14:paraId="66931F39" w14:textId="77777777">
            <w:pPr>
              <w:pStyle w:val="Bodytext2"/>
              <w:rPr>
                <w:rFonts w:eastAsiaTheme="minorEastAsia"/>
                <w:lang w:val="fi-FI" w:eastAsia="fi-FI"/>
              </w:rPr>
            </w:pPr>
          </w:p>
          <w:p w:rsidR="0087536A" w:rsidRPr="0087536A" w:rsidP="0087536A" w14:paraId="04AB79CD" w14:textId="4D8E4EB6">
            <w:pPr>
              <w:pStyle w:val="Bodytext2"/>
              <w:rPr>
                <w:rFonts w:eastAsiaTheme="minorEastAsia"/>
                <w:lang w:val="fi-FI" w:eastAsia="fi-FI"/>
              </w:rPr>
            </w:pPr>
            <w:r w:rsidRPr="0087536A">
              <w:rPr>
                <w:rFonts w:eastAsiaTheme="minorEastAsia"/>
                <w:lang w:val="fi-FI" w:eastAsia="fi-FI"/>
              </w:rPr>
              <w:t>Jos saman asiakkaan kanssa on lyhyen aikavälin kulues</w:t>
            </w:r>
            <w:r w:rsidRPr="0087536A">
              <w:rPr>
                <w:rFonts w:eastAsiaTheme="minorEastAsia"/>
                <w:lang w:val="fi-FI" w:eastAsia="fi-FI"/>
              </w:rPr>
              <w:t>sa solmittu useita sopimuksia, arvioidaan sopimuksia yhdessä.</w:t>
            </w:r>
          </w:p>
          <w:p w:rsidR="0087536A" w:rsidRPr="0087536A" w:rsidP="0087536A" w14:paraId="25A450B3" w14:textId="77777777">
            <w:pPr>
              <w:pStyle w:val="Bodytext2"/>
              <w:rPr>
                <w:rFonts w:eastAsiaTheme="minorEastAsia"/>
                <w:lang w:val="fi-FI" w:eastAsia="fi-FI"/>
              </w:rPr>
            </w:pPr>
          </w:p>
          <w:p w:rsidR="0087536A" w:rsidP="0087536A" w14:paraId="416C6FDC" w14:textId="506FECB0">
            <w:pPr>
              <w:pStyle w:val="Bodytext2"/>
              <w:rPr>
                <w:rFonts w:eastAsiaTheme="minorEastAsia"/>
                <w:lang w:val="fi-FI" w:eastAsia="fi-FI"/>
              </w:rPr>
            </w:pPr>
            <w:r w:rsidRPr="0087536A">
              <w:rPr>
                <w:rFonts w:eastAsiaTheme="minorEastAsia"/>
                <w:lang w:val="fi-FI" w:eastAsia="fi-FI"/>
              </w:rPr>
              <w:t xml:space="preserve">Konserni soveltaa asiakassopimuksiin liittyvien merkittävien rahoituskomponenttien osalta IFRS 15.63:n mukaista käytännön </w:t>
            </w:r>
            <w:r>
              <w:rPr>
                <w:rFonts w:eastAsiaTheme="minorEastAsia"/>
                <w:lang w:val="fi-FI" w:eastAsia="fi-FI"/>
              </w:rPr>
              <w:t>apukeinoa</w:t>
            </w:r>
            <w:r w:rsidRPr="0087536A">
              <w:rPr>
                <w:rFonts w:eastAsiaTheme="minorEastAsia"/>
                <w:lang w:val="fi-FI" w:eastAsia="fi-FI"/>
              </w:rPr>
              <w:t>. Jos sopimuksessa sovittujen maksujen ja asiakkaalle luvattuj</w:t>
            </w:r>
            <w:r w:rsidRPr="0087536A">
              <w:rPr>
                <w:rFonts w:eastAsiaTheme="minorEastAsia"/>
                <w:lang w:val="fi-FI" w:eastAsia="fi-FI"/>
              </w:rPr>
              <w:t>en tavaroiden tai palvelun luovutuksen välinen aika on korkeintaan yksi vuosi, mahdollisen merkittävän rahoituskomponentin osalta ei tehdä oikaisua.</w:t>
            </w:r>
          </w:p>
          <w:p w:rsidR="0087536A" w:rsidRPr="0087536A" w:rsidP="0087536A" w14:paraId="658C2C59" w14:textId="77777777">
            <w:pPr>
              <w:pStyle w:val="Bodytext2"/>
              <w:rPr>
                <w:rFonts w:eastAsiaTheme="minorEastAsia"/>
                <w:lang w:val="fi-FI" w:eastAsia="fi-FI"/>
              </w:rPr>
            </w:pPr>
          </w:p>
          <w:p w:rsidR="00B4472F" w:rsidRPr="00B4472F" w:rsidP="006C5926" w14:paraId="767A59E5" w14:textId="4AC008C1">
            <w:pPr>
              <w:pStyle w:val="Bodytext2"/>
              <w:rPr>
                <w:rFonts w:eastAsiaTheme="minorEastAsia"/>
                <w:lang w:val="fi-FI" w:eastAsia="fi-FI"/>
              </w:rPr>
            </w:pPr>
            <w:r w:rsidRPr="0087536A">
              <w:rPr>
                <w:rFonts w:eastAsiaTheme="minorEastAsia"/>
                <w:lang w:val="fi-FI" w:eastAsia="fi-FI"/>
              </w:rPr>
              <w:t xml:space="preserve">Konserni soveltaa myös IFRS 15.94:ssä esitettyä käytännön </w:t>
            </w:r>
            <w:r>
              <w:rPr>
                <w:rFonts w:eastAsiaTheme="minorEastAsia"/>
                <w:lang w:val="fi-FI" w:eastAsia="fi-FI"/>
              </w:rPr>
              <w:t>apukeinoa</w:t>
            </w:r>
            <w:r w:rsidRPr="0087536A">
              <w:rPr>
                <w:rFonts w:eastAsiaTheme="minorEastAsia"/>
                <w:lang w:val="fi-FI" w:eastAsia="fi-FI"/>
              </w:rPr>
              <w:t xml:space="preserve">, jonka mukaan yritys voi kirjata kuluiksi sopimuksen hankkimisesta syntyvät lisäkustannukset, jos </w:t>
            </w:r>
            <w:r>
              <w:rPr>
                <w:rFonts w:eastAsiaTheme="minorEastAsia"/>
                <w:lang w:val="fi-FI" w:eastAsia="fi-FI"/>
              </w:rPr>
              <w:t xml:space="preserve">kirjattavan </w:t>
            </w:r>
            <w:r w:rsidRPr="0087536A">
              <w:rPr>
                <w:rFonts w:eastAsiaTheme="minorEastAsia"/>
                <w:lang w:val="fi-FI" w:eastAsia="fi-FI"/>
              </w:rPr>
              <w:t>omaisuuserän poistoaika</w:t>
            </w:r>
            <w:r>
              <w:rPr>
                <w:rFonts w:eastAsiaTheme="minorEastAsia"/>
                <w:lang w:val="fi-FI" w:eastAsia="fi-FI"/>
              </w:rPr>
              <w:t xml:space="preserve"> olisi </w:t>
            </w:r>
            <w:r w:rsidRPr="0087536A">
              <w:rPr>
                <w:rFonts w:eastAsiaTheme="minorEastAsia"/>
                <w:lang w:val="fi-FI" w:eastAsia="fi-FI"/>
              </w:rPr>
              <w:t>korkeintaan yksi vuosi. Wärtsilälle ei ole synty</w:t>
            </w:r>
            <w:r w:rsidRPr="0087536A">
              <w:rPr>
                <w:rFonts w:eastAsiaTheme="minorEastAsia"/>
                <w:lang w:val="fi-FI" w:eastAsia="fi-FI"/>
              </w:rPr>
              <w:t xml:space="preserve">nyt mitään sellaisia sopimuksen hankkimiseen liittyviä kuluja, jotka olisi kirjattava </w:t>
            </w:r>
            <w:r>
              <w:rPr>
                <w:rFonts w:eastAsiaTheme="minorEastAsia"/>
                <w:lang w:val="fi-FI" w:eastAsia="fi-FI"/>
              </w:rPr>
              <w:t>oma</w:t>
            </w:r>
            <w:r w:rsidRPr="0087536A">
              <w:rPr>
                <w:rFonts w:eastAsiaTheme="minorEastAsia"/>
                <w:lang w:val="fi-FI" w:eastAsia="fi-FI"/>
              </w:rPr>
              <w:t>isuuseräksi.</w:t>
            </w:r>
          </w:p>
        </w:tc>
      </w:tr>
    </w:tbl>
    <w:p w:rsidR="0087536A" w:rsidP="0087536A" w14:paraId="3F82202F" w14:textId="6DA3AA60">
      <w:pPr>
        <w:pStyle w:val="Bodytext2"/>
        <w:rPr>
          <w:lang w:val="fi-FI"/>
        </w:rPr>
      </w:pPr>
    </w:p>
    <w:tbl>
      <w:tblPr>
        <w:tblStyle w:val="TableGrid"/>
        <w:tblW w:w="7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7DFE1"/>
        <w:tblLook w:val="04A0"/>
      </w:tblPr>
      <w:tblGrid>
        <w:gridCol w:w="7371"/>
      </w:tblGrid>
      <w:tr w14:paraId="1D78B7DE" w14:textId="77777777" w:rsidTr="006C5926">
        <w:tblPrEx>
          <w:tblW w:w="7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7DFE1"/>
          <w:tblLook w:val="04A0"/>
        </w:tblPrEx>
        <w:tc>
          <w:tcPr>
            <w:tcW w:w="7360" w:type="dxa"/>
            <w:shd w:val="clear" w:color="auto" w:fill="D7DFE1"/>
          </w:tcPr>
          <w:p w:rsidR="006C5926" w:rsidRPr="00295940" w:rsidP="006C5926" w14:paraId="38C2A42F" w14:textId="77777777">
            <w:pPr>
              <w:pStyle w:val="Heading13"/>
              <w:rPr>
                <w:rFonts w:eastAsiaTheme="minorEastAsia" w:cstheme="minorHAnsi"/>
                <w:highlight w:val="yellow"/>
                <w:lang w:val="fi-FI" w:eastAsia="fi-FI"/>
              </w:rPr>
            </w:pPr>
            <w:r w:rsidRPr="00295940">
              <w:rPr>
                <w:lang w:val="fi-FI"/>
              </w:rPr>
              <w:t>Kirjanpidolliset arviot ja harkinnat</w:t>
            </w:r>
          </w:p>
          <w:p w:rsidR="006C5926" w:rsidP="006C5926" w14:paraId="4EFA4269" w14:textId="1A925720">
            <w:pPr>
              <w:pStyle w:val="Bodytext2"/>
              <w:rPr>
                <w:lang w:val="fi-FI"/>
              </w:rPr>
            </w:pPr>
            <w:r w:rsidRPr="00E07BD9">
              <w:rPr>
                <w:lang w:val="fi-FI"/>
              </w:rPr>
              <w:t>Myyntituotot tietyistä projekteista ja pitkäaikaisista sopimuksista kirjataan ajan kuluessa panokseen perustuvalla menetelmällä, kun tulos pystytään luotettavasti määrittämään. Edistyminen ja kannattavuus perustuvat johdon arvioihin, jotka edellyttävät merkittävää harkintaa valmiusasteesta, kokonaiskustannuksista ja hankkeen valmistumisajankohdasta. Näitä arvioita tarkistetaan säännöllisesti.</w:t>
            </w:r>
            <w:r>
              <w:rPr>
                <w:lang w:val="fi-FI"/>
              </w:rPr>
              <w:t xml:space="preserve"> </w:t>
            </w:r>
            <w:r w:rsidRPr="00E07BD9">
              <w:rPr>
                <w:lang w:val="fi-FI"/>
              </w:rPr>
              <w:t>Kirjattuja myyntituottoja ja kustannuksia oikaistaan projektin aikana, kun oletuksia koko projektin lopputulemasta päivitetään. Muutokset oletuksissa johtuvat ensisijaisesti projektin tai sopimuksen aikataulujen, toimitusten laajuuden, teknologian, kustannusten sekä mahdollisten muiden tekijöiden muutoksista.</w:t>
            </w:r>
          </w:p>
          <w:p w:rsidR="006C5926" w:rsidP="006C5926" w14:paraId="34079DF2" w14:textId="77777777">
            <w:pPr>
              <w:pStyle w:val="Bodytext2"/>
              <w:rPr>
                <w:lang w:val="fi-FI"/>
              </w:rPr>
            </w:pPr>
          </w:p>
          <w:p w:rsidR="006C5926" w:rsidRPr="00E07BD9" w:rsidP="006C5926" w14:paraId="39DE0095" w14:textId="71D28365">
            <w:pPr>
              <w:pStyle w:val="Bodytext2"/>
              <w:rPr>
                <w:lang w:val="fi-FI"/>
              </w:rPr>
            </w:pPr>
            <w:r w:rsidRPr="00E07BD9">
              <w:rPr>
                <w:lang w:val="fi-FI"/>
              </w:rPr>
              <w:t>Sopimuksiin sisältyvien erotettavissa olevien tavaroiden ja palveluiden yksilöinti erillisiksi suoritevelvoitteiksi edellyttää harkintaa, millä voi olla vaikutusta tuottojen kirjaamisen ajankohtaan ja määrään.</w:t>
            </w:r>
          </w:p>
          <w:p w:rsidR="006C5926" w:rsidRPr="00B4472F" w:rsidP="006C5926" w14:paraId="14C92C06" w14:textId="77777777">
            <w:pPr>
              <w:pStyle w:val="Bodytext2"/>
              <w:rPr>
                <w:rFonts w:eastAsiaTheme="minorEastAsia"/>
                <w:highlight w:val="yellow"/>
                <w:lang w:val="fi-FI" w:eastAsia="fi-FI"/>
              </w:rPr>
            </w:pPr>
          </w:p>
          <w:p w:rsidR="006C5926" w:rsidRPr="00E07BD9" w:rsidP="006C5926" w14:paraId="04AA9822" w14:textId="77777777">
            <w:pPr>
              <w:pStyle w:val="Bodytext2"/>
              <w:rPr>
                <w:lang w:val="fi-FI"/>
              </w:rPr>
            </w:pPr>
            <w:r w:rsidRPr="00E07BD9">
              <w:rPr>
                <w:lang w:val="fi-FI"/>
              </w:rPr>
              <w:t>Projektisopimuksiin liittyy yleensä erilaisia harkinnanvaraisia elementtejä. Johto arvioi uudelleen kunakin raportointikauden päättymispäivänä transaktion hinnan, mikä edellyttää merkittävää harkintaa, koska tämä vaikuttaa tuoton kirjaamisajankohtaan. Myös saamisten arvostamiseen liittyy arvioita, jotka liittyvät lähinnä saamisten todennäköisyyteen.</w:t>
            </w:r>
          </w:p>
          <w:p w:rsidR="006C5926" w:rsidRPr="00E07BD9" w:rsidP="006C5926" w14:paraId="1F9AFB70" w14:textId="77777777">
            <w:pPr>
              <w:pStyle w:val="Bodytext2"/>
              <w:rPr>
                <w:rFonts w:eastAsiaTheme="minorEastAsia"/>
                <w:lang w:val="fi-FI" w:eastAsia="fi-FI"/>
              </w:rPr>
            </w:pPr>
          </w:p>
          <w:p w:rsidR="006C5926" w:rsidRPr="00E07BD9" w:rsidP="006C5926" w14:paraId="17ACBC2D" w14:textId="77777777">
            <w:pPr>
              <w:pStyle w:val="Bodytext2"/>
              <w:rPr>
                <w:rFonts w:eastAsiaTheme="minorEastAsia"/>
                <w:lang w:val="fi-FI" w:eastAsia="fi-FI"/>
              </w:rPr>
            </w:pPr>
            <w:r w:rsidRPr="00E07BD9">
              <w:rPr>
                <w:rFonts w:eastAsiaTheme="minorEastAsia"/>
                <w:lang w:val="fi-FI" w:eastAsia="fi-FI"/>
              </w:rPr>
              <w:t>Jos erilliset sopimukset saman asiakkaan kanssa on neuvoteltu yhdessä tai ne liittyvät jollain muulla tavoin toisiinsa, ne pitää käsitellä yhtenä sopimuksena. Tämän määrittely edellyttää harkintaa. Tuoton kirjaamisen ajankohta ja määrä voivat vaihdella riippuen siitä, käsitelläänkö erillisiä sopimuksia useana vai yhtenä sopimuksena.</w:t>
            </w:r>
          </w:p>
          <w:p w:rsidR="006C5926" w:rsidRPr="00E07BD9" w:rsidP="006C5926" w14:paraId="58BBBE92" w14:textId="77777777">
            <w:pPr>
              <w:pStyle w:val="Bodytext2"/>
              <w:rPr>
                <w:rFonts w:eastAsiaTheme="minorEastAsia"/>
                <w:lang w:val="fi-FI" w:eastAsia="fi-FI"/>
              </w:rPr>
            </w:pPr>
          </w:p>
          <w:p w:rsidR="006C5926" w:rsidP="006C5926" w14:paraId="5D944DC7" w14:textId="358AD808">
            <w:pPr>
              <w:pStyle w:val="Bodytext2"/>
              <w:rPr>
                <w:lang w:val="fi-FI"/>
              </w:rPr>
            </w:pPr>
            <w:r w:rsidRPr="00E07BD9">
              <w:rPr>
                <w:rFonts w:eastAsiaTheme="minorEastAsia"/>
                <w:lang w:val="fi-FI" w:eastAsia="fi-FI"/>
              </w:rPr>
              <w:t xml:space="preserve">Takuuvaraus kirjataan myyntituoton tuloutuksen yhteydessä. Varaus perustuu kokemusperäiseen tietoon tulevien ja nykyisten </w:t>
            </w:r>
            <w:r>
              <w:rPr>
                <w:rFonts w:eastAsiaTheme="minorEastAsia"/>
                <w:lang w:val="fi-FI" w:eastAsia="fi-FI"/>
              </w:rPr>
              <w:t>vaateide</w:t>
            </w:r>
            <w:r w:rsidRPr="00E07BD9">
              <w:rPr>
                <w:rFonts w:eastAsiaTheme="minorEastAsia"/>
                <w:lang w:val="fi-FI" w:eastAsia="fi-FI"/>
              </w:rPr>
              <w:t>n hoitamiseen tarvittavan takuuvarauksen tasosta. Tuotteisiin voi sisältyä uutta, monimutkaista teknologiaa, mikä osaltaan vaikuttaa kyseisiin arvioihin ja voi johtaa siihen, etteivät aiemmin tehdyt varaukset aina ole riittäviä.</w:t>
            </w:r>
          </w:p>
        </w:tc>
      </w:tr>
    </w:tbl>
    <w:p w:rsidR="006C5926" w:rsidP="0087536A" w14:paraId="3ACC17F7" w14:textId="42C03892">
      <w:pPr>
        <w:pStyle w:val="Bodytext2"/>
        <w:rPr>
          <w:lang w:val="fi-FI"/>
        </w:rPr>
      </w:pPr>
    </w:p>
    <w:p w:rsidR="0087536A" w:rsidRPr="0035563C" w:rsidP="0087536A" w14:paraId="7E198030" w14:textId="021FFF77">
      <w:pPr>
        <w:pStyle w:val="Heading13"/>
        <w:rPr>
          <w:lang w:val="fi-FI"/>
        </w:rPr>
      </w:pPr>
      <w:r w:rsidRPr="0035563C">
        <w:rPr>
          <w:lang w:val="fi-FI"/>
        </w:rPr>
        <w:t>Liikevaihto tulotyypeittäin</w:t>
      </w:r>
      <w:r>
        <w:rPr>
          <w:lang w:val="fi-FI"/>
        </w:rPr>
        <w:t xml:space="preserve"> ja suoritevelvoitteiden täyttämisen ajankohta</w:t>
      </w:r>
    </w:p>
    <w:p w:rsidR="006C5926" w:rsidP="004758A2" w14:paraId="48766674" w14:textId="77777777">
      <w:pPr>
        <w:pStyle w:val="Heading13"/>
        <w:rPr>
          <w:lang w:val="en-GB"/>
        </w:rPr>
      </w:pPr>
    </w:p>
    <w:p w:rsidR="0087536A" w:rsidP="004758A2" w14:paraId="7A69909A" w14:textId="3772C182">
      <w:pPr>
        <w:pStyle w:val="Heading13"/>
        <w:rPr>
          <w:lang w:val="en-GB"/>
        </w:rPr>
      </w:pPr>
      <w:r w:rsidRPr="004758A2">
        <w:rPr>
          <w:lang w:val="en-GB"/>
        </w:rPr>
        <w:t>2</w:t>
      </w:r>
      <w:r>
        <w:rPr>
          <w:lang w:val="en-GB"/>
        </w:rPr>
        <w:t>021</w:t>
      </w:r>
    </w:p>
    <w:p w:rsidR="004758A2" w:rsidP="0087536A" w14:paraId="4CA17129" w14:textId="77777777">
      <w:pPr>
        <w:pStyle w:val="Bodytext2"/>
        <w:rPr>
          <w:lang w:val="en-GB"/>
        </w:rPr>
      </w:pPr>
    </w:p>
    <w:tbl>
      <w:tblPr>
        <w:tblStyle w:val="TableNormal"/>
        <w:tblCaption w:val="Table_DOR_cur"/>
        <w:tblW w:w="7350" w:type="dxa"/>
        <w:tblLayout w:type="fixed"/>
        <w:tblLook w:val="0600"/>
      </w:tblPr>
      <w:tblGrid>
        <w:gridCol w:w="2130"/>
        <w:gridCol w:w="870"/>
        <w:gridCol w:w="870"/>
        <w:gridCol w:w="870"/>
        <w:gridCol w:w="870"/>
        <w:gridCol w:w="870"/>
        <w:gridCol w:w="870"/>
      </w:tblGrid>
      <w:tr>
        <w:tblPrEx>
          <w:tblW w:w="7350" w:type="dxa"/>
          <w:tblLayout w:type="fixed"/>
          <w:tblLook w:val="0600"/>
        </w:tblPrEx>
        <w:trPr>
          <w:trHeight w:val="240"/>
        </w:trPr>
        <w:tc>
          <w:tcPr>
            <w:tcW w:w="21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Marine</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Power</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Marine</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Systems</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Voyage</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Energy</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Portfolio</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Business</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-sä</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Yhtenä ajankohtana</w:t>
            </w: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Tuotteet</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632</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137</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22</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351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23</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1 165</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Tuotteet ja palvelut</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321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65</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92</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535</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8" w:space="0" w:color="0F172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Projektit</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681</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183</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130</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298</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39</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1 332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1 634</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385</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201</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741</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70</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3 032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Ajan kuluessa</w:t>
            </w: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Projektit</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266</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73</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792</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1 252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8" w:space="0" w:color="0F172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Pitkäaikaiset sopimukset</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157</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328</w:t>
            </w: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494</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229</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269</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78</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1 120</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50</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1 746</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1 863</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654</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279</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1 861</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121</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4 778</w:t>
            </w:r>
          </w:p>
        </w:tc>
      </w:tr>
    </w:tbl>
    <w:p w:rsidR="004758A2" w:rsidP="0087536A" w14:paraId="75065672" w14:textId="0F2F574B">
      <w:pPr>
        <w:pStyle w:val="Bodytext2"/>
        <w:rPr>
          <w:lang w:val="en-GB"/>
        </w:rPr>
      </w:pPr>
    </w:p>
    <w:p w:rsidR="004758A2" w:rsidRPr="004758A2" w:rsidP="004758A2" w14:paraId="26347FBC" w14:textId="7C8B34B1">
      <w:pPr>
        <w:pStyle w:val="Heading13"/>
        <w:rPr>
          <w:lang w:val="en-GB"/>
        </w:rPr>
      </w:pPr>
      <w:r>
        <w:rPr>
          <w:lang w:val="en-GB"/>
        </w:rPr>
        <w:t>2020</w:t>
      </w:r>
    </w:p>
    <w:p w:rsidR="004758A2" w:rsidP="0087536A" w14:paraId="18FB428B" w14:textId="77777777">
      <w:pPr>
        <w:pStyle w:val="Bodytext2"/>
      </w:pPr>
    </w:p>
    <w:tbl>
      <w:tblPr>
        <w:tblStyle w:val="TableNormal"/>
        <w:tblCaption w:val="Table_DOR_pre"/>
        <w:tblW w:w="7350" w:type="dxa"/>
        <w:tblLayout w:type="fixed"/>
        <w:tblLook w:val="0600"/>
      </w:tblPr>
      <w:tblGrid>
        <w:gridCol w:w="2130"/>
        <w:gridCol w:w="870"/>
        <w:gridCol w:w="870"/>
        <w:gridCol w:w="870"/>
        <w:gridCol w:w="870"/>
        <w:gridCol w:w="870"/>
        <w:gridCol w:w="870"/>
      </w:tblGrid>
      <w:tr>
        <w:tblPrEx>
          <w:tblW w:w="7350" w:type="dxa"/>
          <w:tblLayout w:type="fixed"/>
          <w:tblLook w:val="0600"/>
        </w:tblPrEx>
        <w:trPr>
          <w:trHeight w:val="240"/>
        </w:trPr>
        <w:tc>
          <w:tcPr>
            <w:tcW w:w="21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Marine</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Power</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Marine</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Systems</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Voyage</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Energy</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Portfolio</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Business</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-sä</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Yhtenä ajankohtana</w:t>
            </w: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Tuotteet</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586</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139</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21</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319</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1 091</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Tuotteet ja palvelut</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309</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60</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47</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88</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511</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8" w:space="0" w:color="000000"/>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Projektit</w:t>
            </w:r>
          </w:p>
        </w:tc>
        <w:tc>
          <w:tcPr>
            <w:tcW w:w="870" w:type="dxa"/>
            <w:tcBorders>
              <w:top w:val="single" w:sz="4" w:space="0" w:color="004A6B"/>
              <w:left w:val="nil"/>
              <w:bottom w:val="single" w:sz="8" w:space="0" w:color="000000"/>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641</w:t>
            </w:r>
          </w:p>
        </w:tc>
        <w:tc>
          <w:tcPr>
            <w:tcW w:w="870" w:type="dxa"/>
            <w:tcBorders>
              <w:top w:val="single" w:sz="4" w:space="0" w:color="004A6B"/>
              <w:left w:val="nil"/>
              <w:bottom w:val="single" w:sz="8" w:space="0" w:color="000000"/>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347</w:t>
            </w:r>
          </w:p>
        </w:tc>
        <w:tc>
          <w:tcPr>
            <w:tcW w:w="870" w:type="dxa"/>
            <w:tcBorders>
              <w:top w:val="single" w:sz="4" w:space="0" w:color="004A6B"/>
              <w:left w:val="nil"/>
              <w:bottom w:val="single" w:sz="8" w:space="0" w:color="000000"/>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102</w:t>
            </w:r>
          </w:p>
        </w:tc>
        <w:tc>
          <w:tcPr>
            <w:tcW w:w="870" w:type="dxa"/>
            <w:tcBorders>
              <w:top w:val="single" w:sz="4" w:space="0" w:color="004A6B"/>
              <w:left w:val="nil"/>
              <w:bottom w:val="single" w:sz="8" w:space="0" w:color="000000"/>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402</w:t>
            </w:r>
          </w:p>
        </w:tc>
        <w:tc>
          <w:tcPr>
            <w:tcW w:w="870" w:type="dxa"/>
            <w:tcBorders>
              <w:top w:val="single" w:sz="4" w:space="0" w:color="004A6B"/>
              <w:left w:val="nil"/>
              <w:bottom w:val="single" w:sz="8" w:space="0" w:color="000000"/>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56</w:t>
            </w:r>
          </w:p>
        </w:tc>
        <w:tc>
          <w:tcPr>
            <w:tcW w:w="87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1 548</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00000"/>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870" w:type="dxa"/>
            <w:tcBorders>
              <w:top w:val="single" w:sz="8" w:space="0" w:color="000000"/>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1 536</w:t>
            </w:r>
          </w:p>
        </w:tc>
        <w:tc>
          <w:tcPr>
            <w:tcW w:w="870" w:type="dxa"/>
            <w:tcBorders>
              <w:top w:val="single" w:sz="8" w:space="0" w:color="000000"/>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546</w:t>
            </w:r>
          </w:p>
        </w:tc>
        <w:tc>
          <w:tcPr>
            <w:tcW w:w="870" w:type="dxa"/>
            <w:tcBorders>
              <w:top w:val="single" w:sz="8" w:space="0" w:color="000000"/>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169</w:t>
            </w:r>
          </w:p>
        </w:tc>
        <w:tc>
          <w:tcPr>
            <w:tcW w:w="870" w:type="dxa"/>
            <w:tcBorders>
              <w:top w:val="single" w:sz="8" w:space="0" w:color="000000"/>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809</w:t>
            </w:r>
          </w:p>
        </w:tc>
        <w:tc>
          <w:tcPr>
            <w:tcW w:w="870" w:type="dxa"/>
            <w:tcBorders>
              <w:top w:val="single" w:sz="8" w:space="0" w:color="000000"/>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90</w:t>
            </w:r>
          </w:p>
        </w:tc>
        <w:tc>
          <w:tcPr>
            <w:tcW w:w="87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3 150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Ajan kuluessa</w:t>
            </w: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Projektit</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71</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259</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71</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517</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91</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1 010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8" w:space="0" w:color="0F172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Pitkäaikaiset sopimukset</w:t>
            </w:r>
          </w:p>
        </w:tc>
        <w:tc>
          <w:tcPr>
            <w:tcW w:w="87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142</w:t>
            </w:r>
          </w:p>
        </w:tc>
        <w:tc>
          <w:tcPr>
            <w:tcW w:w="87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87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w:t>
            </w:r>
          </w:p>
        </w:tc>
        <w:tc>
          <w:tcPr>
            <w:tcW w:w="87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293</w:t>
            </w:r>
          </w:p>
        </w:tc>
        <w:tc>
          <w:tcPr>
            <w:tcW w:w="870" w:type="dxa"/>
            <w:tcBorders>
              <w:top w:val="single" w:sz="4" w:space="0" w:color="004A6B"/>
              <w:left w:val="nil"/>
              <w:bottom w:val="single" w:sz="8" w:space="0" w:color="0F172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445</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87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213</w:t>
            </w:r>
          </w:p>
        </w:tc>
        <w:tc>
          <w:tcPr>
            <w:tcW w:w="87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261</w:t>
            </w:r>
          </w:p>
        </w:tc>
        <w:tc>
          <w:tcPr>
            <w:tcW w:w="87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79</w:t>
            </w:r>
          </w:p>
        </w:tc>
        <w:tc>
          <w:tcPr>
            <w:tcW w:w="87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811</w:t>
            </w:r>
          </w:p>
        </w:tc>
        <w:tc>
          <w:tcPr>
            <w:tcW w:w="87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92</w:t>
            </w:r>
          </w:p>
        </w:tc>
        <w:tc>
          <w:tcPr>
            <w:tcW w:w="87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1 455</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870"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1 748</w:t>
            </w:r>
          </w:p>
        </w:tc>
        <w:tc>
          <w:tcPr>
            <w:tcW w:w="870"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808</w:t>
            </w:r>
          </w:p>
        </w:tc>
        <w:tc>
          <w:tcPr>
            <w:tcW w:w="870"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248</w:t>
            </w:r>
          </w:p>
        </w:tc>
        <w:tc>
          <w:tcPr>
            <w:tcW w:w="870"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1 620</w:t>
            </w:r>
          </w:p>
        </w:tc>
        <w:tc>
          <w:tcPr>
            <w:tcW w:w="870"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181</w:t>
            </w:r>
          </w:p>
        </w:tc>
        <w:tc>
          <w:tcPr>
            <w:tcW w:w="870"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4 604</w:t>
            </w:r>
          </w:p>
        </w:tc>
      </w:tr>
    </w:tbl>
    <w:p/>
    <w:p w:rsidR="00DF49A7" w:rsidRPr="00DF49A7" w:rsidP="00DF49A7" w14:paraId="6FF2BDC2" w14:textId="2062C525">
      <w:pPr>
        <w:pStyle w:val="Heading12"/>
        <w:rPr>
          <w:lang w:val="fi-FI"/>
        </w:rPr>
      </w:pPr>
      <w:bookmarkStart w:id="1451" w:name="RG_MARKER_7430"/>
      <w:r w:rsidRPr="00DF49A7">
        <w:rPr>
          <w:lang w:val="fi-FI"/>
        </w:rPr>
        <w:t>2.3. LIIKETOIMINNAN MUUT TUOTOT JA KULU</w:t>
      </w:r>
      <w:bookmarkEnd w:id="1451"/>
      <w:r>
        <w:rPr>
          <w:lang w:val="fi-FI"/>
        </w:rPr>
        <w:t>T</w:t>
      </w:r>
    </w:p>
    <w:tbl>
      <w:tblPr>
        <w:tblStyle w:val="TableGrid"/>
        <w:tblW w:w="7371" w:type="dxa"/>
        <w:tblLook w:val="04A0"/>
      </w:tblPr>
      <w:tblGrid>
        <w:gridCol w:w="7371"/>
      </w:tblGrid>
      <w:tr w14:paraId="73DC2432" w14:textId="77777777" w:rsidTr="00DF49A7">
        <w:tblPrEx>
          <w:tblW w:w="7371" w:type="dxa"/>
          <w:tblLook w:val="04A0"/>
        </w:tblPrEx>
        <w:tc>
          <w:tcPr>
            <w:tcW w:w="6683" w:type="dxa"/>
            <w:tcBorders>
              <w:top w:val="nil"/>
              <w:left w:val="nil"/>
              <w:bottom w:val="nil"/>
              <w:right w:val="nil"/>
            </w:tcBorders>
            <w:shd w:val="clear" w:color="auto" w:fill="B6C8D1"/>
          </w:tcPr>
          <w:p w:rsidR="00DF49A7" w:rsidRPr="004F323A" w14:paraId="4E66B037" w14:textId="561FC95B">
            <w:pPr>
              <w:pStyle w:val="Heading13"/>
              <w:rPr>
                <w:rFonts w:eastAsiaTheme="minorEastAsia" w:cstheme="minorHAnsi"/>
                <w:lang w:val="fi-FI" w:eastAsia="fi-FI"/>
              </w:rPr>
            </w:pPr>
            <w:bookmarkStart w:id="1452" w:name="_Hlk47444713"/>
            <w:r w:rsidRPr="004F323A">
              <w:rPr>
                <w:lang w:val="fi-FI"/>
              </w:rPr>
              <w:t>Laadintaperiaatteet</w:t>
            </w:r>
          </w:p>
          <w:p w:rsidR="00672708" w:rsidRPr="00672708" w14:paraId="74AA487E" w14:textId="3F823355">
            <w:pPr>
              <w:pStyle w:val="Bodytext2"/>
              <w:rPr>
                <w:lang w:val="fi-FI"/>
              </w:rPr>
            </w:pPr>
            <w:r w:rsidRPr="00672708">
              <w:rPr>
                <w:lang w:val="fi-FI"/>
              </w:rPr>
              <w:t>Liiketoiminnan muu</w:t>
            </w:r>
            <w:r>
              <w:rPr>
                <w:lang w:val="fi-FI"/>
              </w:rPr>
              <w:t>t</w:t>
            </w:r>
            <w:r w:rsidRPr="00672708">
              <w:rPr>
                <w:lang w:val="fi-FI"/>
              </w:rPr>
              <w:t xml:space="preserve"> tuotot</w:t>
            </w:r>
            <w:r>
              <w:rPr>
                <w:lang w:val="fi-FI"/>
              </w:rPr>
              <w:t xml:space="preserve"> ja kulut ovat tuottoja ja kuluja, jotka</w:t>
            </w:r>
            <w:r w:rsidRPr="00672708">
              <w:rPr>
                <w:lang w:val="fi-FI"/>
              </w:rPr>
              <w:t xml:space="preserve"> eivät</w:t>
            </w:r>
            <w:r>
              <w:rPr>
                <w:lang w:val="fi-FI"/>
              </w:rPr>
              <w:t xml:space="preserve"> suoraan</w:t>
            </w:r>
            <w:r w:rsidRPr="00672708">
              <w:rPr>
                <w:lang w:val="fi-FI"/>
              </w:rPr>
              <w:t xml:space="preserve"> liity</w:t>
            </w:r>
            <w:r>
              <w:rPr>
                <w:lang w:val="fi-FI"/>
              </w:rPr>
              <w:t xml:space="preserve"> konsernin</w:t>
            </w:r>
            <w:r w:rsidRPr="00672708">
              <w:rPr>
                <w:lang w:val="fi-FI"/>
              </w:rPr>
              <w:t xml:space="preserve"> operatiiviseen toimintaan.</w:t>
            </w:r>
          </w:p>
          <w:p w:rsidR="00DF49A7" w:rsidRPr="00672708" w14:paraId="4384C14E" w14:textId="77777777">
            <w:pPr>
              <w:pStyle w:val="Bodytext2"/>
              <w:rPr>
                <w:rFonts w:eastAsiaTheme="minorEastAsia"/>
                <w:lang w:val="fi-FI" w:eastAsia="fi-FI"/>
              </w:rPr>
            </w:pPr>
          </w:p>
          <w:p w:rsidR="00672708" w14:paraId="25CEAF34" w14:textId="03A9EBCE">
            <w:pPr>
              <w:pStyle w:val="Bodytext2"/>
              <w:rPr>
                <w:lang w:val="fi-FI"/>
              </w:rPr>
            </w:pPr>
            <w:r>
              <w:rPr>
                <w:lang w:val="fi-FI"/>
              </w:rPr>
              <w:t xml:space="preserve">Liiketoiminnan muut tuotot pitää sisällään esimerkiksi </w:t>
            </w:r>
            <w:r>
              <w:rPr>
                <w:lang w:val="fi-FI"/>
              </w:rPr>
              <w:t>omaisuuserien myyntivoitot ja säännöllisiä tuottoja, kuten vuokratulot ja liiketoimintojen yhdistymisestä syntyvät tuotot, jotka eivät liity suoraan konsernin ensisijaiseen liiketoimintaan. Liiketoiminnan muut tuotot sisältää myös avustukset, jotka kirjata</w:t>
            </w:r>
            <w:r>
              <w:rPr>
                <w:lang w:val="fi-FI"/>
              </w:rPr>
              <w:t>an tuloslaskelmalle systemaattisella tavalla niille kausille, joiden aikana kuluja on syntynyt.</w:t>
            </w:r>
          </w:p>
          <w:p w:rsidR="00DF49A7" w:rsidRPr="004F323A" w14:paraId="1A3E1186" w14:textId="77777777">
            <w:pPr>
              <w:pStyle w:val="Bodytext2"/>
              <w:rPr>
                <w:rFonts w:eastAsiaTheme="minorEastAsia"/>
                <w:lang w:val="fi-FI" w:eastAsia="fi-FI"/>
              </w:rPr>
            </w:pPr>
          </w:p>
          <w:p w:rsidR="00DF49A7" w:rsidRPr="00517566" w:rsidP="00517566" w14:paraId="5A330F3B" w14:textId="139D1AF2">
            <w:pPr>
              <w:pStyle w:val="Bodytext2"/>
              <w:rPr>
                <w:lang w:val="fi-FI"/>
              </w:rPr>
            </w:pPr>
            <w:bookmarkStart w:id="1453" w:name="_Hlk47443497"/>
            <w:r w:rsidRPr="00672708">
              <w:rPr>
                <w:lang w:val="fi-FI"/>
              </w:rPr>
              <w:t>Liiketoiminnan muut kulut pitää s</w:t>
            </w:r>
            <w:r>
              <w:rPr>
                <w:lang w:val="fi-FI"/>
              </w:rPr>
              <w:t xml:space="preserve">isällään esimerkiksi </w:t>
            </w:r>
            <w:r w:rsidR="00517566">
              <w:rPr>
                <w:lang w:val="fi-FI"/>
              </w:rPr>
              <w:t xml:space="preserve">matkakulut, laki- ja konsultointikulut, vuokrakulut, vapaaehtoiset henkilöstökulut ja hallinnolliset kustannukset. </w:t>
            </w:r>
            <w:r>
              <w:rPr>
                <w:lang w:val="fi-FI"/>
              </w:rPr>
              <w:t>L</w:t>
            </w:r>
            <w:r w:rsidR="00517566">
              <w:rPr>
                <w:lang w:val="fi-FI"/>
              </w:rPr>
              <w:t>iiketoiminnan muihin kuluihin</w:t>
            </w:r>
            <w:r>
              <w:rPr>
                <w:lang w:val="fi-FI"/>
              </w:rPr>
              <w:t xml:space="preserve"> kirjataan myös</w:t>
            </w:r>
            <w:r w:rsidR="00517566">
              <w:rPr>
                <w:lang w:val="fi-FI"/>
              </w:rPr>
              <w:t xml:space="preserve"> kulut sekä lyhytaikaisista että vähäarvoisia omaisuuseriä koskevista vuokrasopimuksista. Myös omaisuuserien myyntitappiot ja vuokrasopimusten muutoksiin ja päättämisiin liittyvät kulut kirjataan liiketoiminnan muihin kuluihin.</w:t>
            </w:r>
            <w:bookmarkEnd w:id="1453"/>
            <w:bookmarkEnd w:id="1452"/>
          </w:p>
        </w:tc>
      </w:tr>
    </w:tbl>
    <w:p w:rsidR="00DF49A7" w:rsidP="00DF49A7" w14:paraId="5F65833B" w14:textId="511BDA66">
      <w:pPr>
        <w:pStyle w:val="Bodytext2"/>
        <w:rPr>
          <w:lang w:val="fi-FI"/>
        </w:rPr>
      </w:pPr>
    </w:p>
    <w:p w:rsidR="00E17C91" w:rsidRPr="00517566" w:rsidP="00DF49A7" w14:paraId="34964D7A" w14:textId="77777777">
      <w:pPr>
        <w:pStyle w:val="Bodytext2"/>
        <w:rPr>
          <w:lang w:val="fi-FI"/>
        </w:rPr>
      </w:pPr>
    </w:p>
    <w:p w:rsidR="00DF49A7" w:rsidRPr="00672708" w:rsidP="00DF49A7" w14:paraId="54684C05" w14:textId="3A3F0ED1">
      <w:pPr>
        <w:pStyle w:val="Heading13"/>
        <w:rPr>
          <w:lang w:val="fi-FI"/>
        </w:rPr>
      </w:pPr>
      <w:r w:rsidRPr="00672708">
        <w:rPr>
          <w:lang w:val="fi-FI"/>
        </w:rPr>
        <w:t>Liiketoiminnan muut tuotot</w:t>
      </w:r>
    </w:p>
    <w:p w:rsidR="00DF49A7" w:rsidRPr="00672708" w:rsidP="00DF49A7" w14:paraId="403930A3" w14:textId="77777777">
      <w:pPr>
        <w:pStyle w:val="Bodytext2"/>
        <w:rPr>
          <w:lang w:val="fi-FI"/>
        </w:rPr>
      </w:pPr>
    </w:p>
    <w:tbl>
      <w:tblPr>
        <w:tblStyle w:val="TableNormal"/>
        <w:tblCaption w:val="Table_Other_Operating_income"/>
        <w:tblW w:w="7320" w:type="dxa"/>
        <w:tblLayout w:type="fixed"/>
        <w:tblLook w:val="0600"/>
      </w:tblPr>
      <w:tblGrid>
        <w:gridCol w:w="4830"/>
        <w:gridCol w:w="1245"/>
        <w:gridCol w:w="1245"/>
      </w:tblGrid>
      <w:tr>
        <w:tblPrEx>
          <w:tblW w:w="7320" w:type="dxa"/>
          <w:tblLayout w:type="fixed"/>
          <w:tblLook w:val="0600"/>
        </w:tblPrEx>
        <w:trPr>
          <w:trHeight w:hRule="exact" w:val="240"/>
        </w:trPr>
        <w:tc>
          <w:tcPr>
            <w:tcW w:w="48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Aineettomien ja aineellisten hyödykkeiden myyntivoitot</w:t>
            </w:r>
          </w:p>
        </w:tc>
        <w:tc>
          <w:tcPr>
            <w:tcW w:w="12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12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Julkiset avustukset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Romun myyntituotot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Sivutuotteiden myyntituotot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Tilausten peruutuksiin liittyvät tuotot*</w:t>
            </w:r>
          </w:p>
        </w:tc>
        <w:tc>
          <w:tcPr>
            <w:tcW w:w="12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23</w:t>
            </w:r>
          </w:p>
        </w:tc>
        <w:tc>
          <w:tcPr>
            <w:tcW w:w="1245"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Vakuutuskorvaukset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Suojauslaskennan ulkopuolella olevien johdannaisten voitot sekä suojauslaskennan tehoton osuus**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w:t>
            </w: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w:t>
            </w:r>
          </w:p>
        </w:tc>
        <w:tc>
          <w:tcPr>
            <w:tcW w:w="12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19</w:t>
            </w:r>
          </w:p>
        </w:tc>
        <w:tc>
          <w:tcPr>
            <w:tcW w:w="12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2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85</w:t>
            </w:r>
          </w:p>
        </w:tc>
        <w:tc>
          <w:tcPr>
            <w:tcW w:w="12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61</w:t>
            </w:r>
          </w:p>
        </w:tc>
      </w:tr>
    </w:tbl>
    <w:p w:rsidR="00DF49A7" w:rsidRPr="00672708" w:rsidP="00DF49A7" w14:paraId="7346FF1A" w14:textId="77777777">
      <w:pPr>
        <w:pStyle w:val="Bodytext2"/>
        <w:rPr>
          <w:lang w:val="fi-FI"/>
        </w:rPr>
      </w:pPr>
    </w:p>
    <w:p w:rsidR="00672708" w:rsidP="00DF49A7" w14:paraId="2CBC9471" w14:textId="39D8903F">
      <w:pPr>
        <w:pStyle w:val="Bodytext2"/>
        <w:rPr>
          <w:lang w:val="fi-FI"/>
        </w:rPr>
      </w:pPr>
      <w:r w:rsidRPr="00672708">
        <w:rPr>
          <w:lang w:val="fi-FI"/>
        </w:rPr>
        <w:t>* Tilausten peruutuksiin liittyvät kulut ovat vastaavilla kulutileillä.</w:t>
      </w:r>
    </w:p>
    <w:p w:rsidR="00D70007" w:rsidRPr="00672708" w:rsidP="00DF49A7" w14:paraId="44229BB3" w14:textId="77684C5E">
      <w:pPr>
        <w:pStyle w:val="Bodytext2"/>
        <w:rPr>
          <w:lang w:val="fi-FI"/>
        </w:rPr>
      </w:pPr>
      <w:r>
        <w:rPr>
          <w:lang w:val="fi-FI"/>
        </w:rPr>
        <w:t>** Suojau</w:t>
      </w:r>
      <w:r w:rsidR="00023191">
        <w:rPr>
          <w:lang w:val="fi-FI"/>
        </w:rPr>
        <w:t>slaskennan tehottomuus on 2 miljoonaa euroa.</w:t>
      </w:r>
    </w:p>
    <w:p w:rsidR="00DF49A7" w:rsidRPr="00672708" w:rsidP="00DF49A7" w14:paraId="5FB63274" w14:textId="1DE9A405">
      <w:pPr>
        <w:pStyle w:val="Bodytext2"/>
        <w:rPr>
          <w:lang w:val="fi-FI"/>
        </w:rPr>
      </w:pPr>
      <w:r w:rsidRPr="00672708">
        <w:rPr>
          <w:lang w:val="fi-FI"/>
        </w:rPr>
        <w:t>**</w:t>
      </w:r>
      <w:r w:rsidR="00D70007">
        <w:rPr>
          <w:lang w:val="fi-FI"/>
        </w:rPr>
        <w:t>*</w:t>
      </w:r>
      <w:r w:rsidRPr="00672708">
        <w:rPr>
          <w:lang w:val="fi-FI"/>
        </w:rPr>
        <w:t xml:space="preserve"> Muut ei pidä sisällään merkittäviä yksittäisiä eriä.</w:t>
      </w:r>
    </w:p>
    <w:p w:rsidR="00DF49A7" w:rsidRPr="00672708" w:rsidP="00DF49A7" w14:paraId="6BBA8599" w14:textId="77777777">
      <w:pPr>
        <w:pStyle w:val="Bodytext2"/>
        <w:rPr>
          <w:lang w:val="fi-FI"/>
        </w:rPr>
      </w:pPr>
    </w:p>
    <w:p w:rsidR="00DF49A7" w:rsidRPr="00672708" w:rsidP="00DF49A7" w14:paraId="6DA42947" w14:textId="24596269">
      <w:pPr>
        <w:pStyle w:val="Heading13"/>
        <w:rPr>
          <w:lang w:val="fi-FI"/>
        </w:rPr>
      </w:pPr>
      <w:r w:rsidRPr="00672708">
        <w:rPr>
          <w:lang w:val="fi-FI"/>
        </w:rPr>
        <w:t>Liiketoiminnan muut kulut</w:t>
      </w:r>
    </w:p>
    <w:p w:rsidR="00DF49A7" w:rsidRPr="00672708" w:rsidP="00DF49A7" w14:paraId="4DD07BCF" w14:textId="77777777">
      <w:pPr>
        <w:pStyle w:val="Bodytext2"/>
        <w:rPr>
          <w:lang w:val="fi-FI"/>
        </w:rPr>
      </w:pPr>
    </w:p>
    <w:tbl>
      <w:tblPr>
        <w:tblStyle w:val="TableNormal"/>
        <w:tblCaption w:val="table_other_operating_expenses"/>
        <w:tblW w:w="7320" w:type="dxa"/>
        <w:tblLayout w:type="fixed"/>
        <w:tblLook w:val="0600"/>
      </w:tblPr>
      <w:tblGrid>
        <w:gridCol w:w="4830"/>
        <w:gridCol w:w="1245"/>
        <w:gridCol w:w="1245"/>
      </w:tblGrid>
      <w:tr>
        <w:tblPrEx>
          <w:tblW w:w="7320" w:type="dxa"/>
          <w:tblLayout w:type="fixed"/>
          <w:tblLook w:val="0600"/>
        </w:tblPrEx>
        <w:trPr>
          <w:trHeight w:hRule="exact" w:val="240"/>
        </w:trPr>
        <w:tc>
          <w:tcPr>
            <w:tcW w:w="48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Matkakulut</w:t>
            </w:r>
          </w:p>
        </w:tc>
        <w:tc>
          <w:tcPr>
            <w:tcW w:w="12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84</w:t>
            </w:r>
          </w:p>
        </w:tc>
        <w:tc>
          <w:tcPr>
            <w:tcW w:w="12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Vuokrakulut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41</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Laki- ja konsultointikulut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81</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77</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IT-kulut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66</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59</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henkilöstöön liittyvät kulut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49</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48</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Hallinnolliset kustannukset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38</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39</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Suojauslaskennan ulkopuolella olevien johdannaisten tappiot sekä suojauslaskennan tehoton osuus*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w:t>
            </w: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w:t>
            </w:r>
          </w:p>
        </w:tc>
        <w:tc>
          <w:tcPr>
            <w:tcW w:w="12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97</w:t>
            </w:r>
          </w:p>
        </w:tc>
        <w:tc>
          <w:tcPr>
            <w:tcW w:w="12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93</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2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467</w:t>
            </w:r>
          </w:p>
        </w:tc>
        <w:tc>
          <w:tcPr>
            <w:tcW w:w="12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431</w:t>
            </w:r>
          </w:p>
        </w:tc>
      </w:tr>
    </w:tbl>
    <w:p w:rsidR="00DF49A7" w:rsidRPr="00672708" w:rsidP="00DF49A7" w14:paraId="448F7334" w14:textId="77777777">
      <w:pPr>
        <w:pStyle w:val="Bodytext2"/>
        <w:rPr>
          <w:lang w:val="fi-FI"/>
        </w:rPr>
      </w:pPr>
    </w:p>
    <w:p w:rsidR="00023191" w:rsidP="00023191" w14:paraId="06FFB5E3" w14:textId="2820AD6B">
      <w:pPr>
        <w:pStyle w:val="Bodytext2"/>
        <w:rPr>
          <w:lang w:val="fi-FI"/>
        </w:rPr>
      </w:pPr>
      <w:r w:rsidRPr="00023191">
        <w:rPr>
          <w:lang w:val="fi-FI"/>
        </w:rPr>
        <w:t>*</w:t>
      </w:r>
      <w:r>
        <w:rPr>
          <w:lang w:val="fi-FI"/>
        </w:rPr>
        <w:t xml:space="preserve"> Suojauslaskennan tehottomuus on 4 miljoonaa euroa.</w:t>
      </w:r>
    </w:p>
    <w:p w:rsidR="005B7694" w:rsidP="00DF49A7" w14:paraId="34D3218D" w14:textId="77777777">
      <w:pPr>
        <w:pStyle w:val="Bodytext2"/>
        <w:rPr>
          <w:lang w:val="fi-FI"/>
        </w:rPr>
      </w:pPr>
      <w:r>
        <w:rPr>
          <w:lang w:val="fi-FI"/>
        </w:rPr>
        <w:t>**</w:t>
      </w:r>
      <w:r w:rsidRPr="00672708">
        <w:rPr>
          <w:lang w:val="fi-FI"/>
        </w:rPr>
        <w:t xml:space="preserve"> Muut ei pidä sisällään merkittäviä yksittäisiä eriä.</w:t>
      </w:r>
    </w:p>
    <w:p w:rsidR="005B7694" w:rsidP="00DF49A7" w14:paraId="758700A0" w14:textId="77777777">
      <w:pPr>
        <w:pStyle w:val="Bodytext2"/>
        <w:rPr>
          <w:lang w:val="fi-FI"/>
        </w:rPr>
      </w:pPr>
    </w:p>
    <w:p w:rsidR="004A0DF2" w:rsidRPr="005B7694" w:rsidP="005B7694" w14:textId="75F3B0A0">
      <w:pPr>
        <w:pStyle w:val="Bodytext2"/>
        <w:rPr>
          <w:lang w:val="fi-FI"/>
        </w:rPr>
      </w:pPr>
      <w:r w:rsidRPr="005B7694">
        <w:rPr>
          <w:lang w:val="fi-FI"/>
        </w:rPr>
        <w:t>1.1.2021 alkaen</w:t>
      </w:r>
      <w:r>
        <w:rPr>
          <w:lang w:val="fi-FI"/>
        </w:rPr>
        <w:t xml:space="preserve"> </w:t>
      </w:r>
      <w:r w:rsidRPr="005B7694">
        <w:rPr>
          <w:lang w:val="fi-FI"/>
        </w:rPr>
        <w:t>suojauslaskennan alaisten johdannaisten tehoton osuus kirjataan liiketoiminnan muihin tuottoihin, liiketoiminnan muihin kuluihin tai rahoitustuottoihin ja -kuluihin sen mukaan, minne su</w:t>
      </w:r>
      <w:r w:rsidRPr="005B7694">
        <w:rPr>
          <w:lang w:val="fi-FI"/>
        </w:rPr>
        <w:t xml:space="preserve">ojattava erä on kirjattu tuloslaskelmassa. </w:t>
      </w:r>
      <w:r>
        <w:rPr>
          <w:lang w:val="fi-FI"/>
        </w:rPr>
        <w:t>Lisätietoa laadintaperiaatteen muutoksesta on  saatavilla kohdassa 1.5. Muutokset laadintaperiaatteissa.</w:t>
      </w:r>
    </w:p>
    <w:p/>
    <w:p w:rsidR="00341A20" w:rsidP="00341A20" w14:paraId="7F255828" w14:textId="22DC61C9">
      <w:pPr>
        <w:pStyle w:val="Heading12"/>
      </w:pPr>
      <w:bookmarkStart w:id="1454" w:name="RG_MARKER_7431"/>
      <w:r>
        <w:t>2.4. MATERIAALIT JA PALVELUT</w:t>
      </w:r>
      <w:bookmarkEnd w:id="1454"/>
    </w:p>
    <w:tbl>
      <w:tblPr>
        <w:tblStyle w:val="TableGrid"/>
        <w:tblW w:w="7371" w:type="dxa"/>
        <w:tblLook w:val="04A0"/>
      </w:tblPr>
      <w:tblGrid>
        <w:gridCol w:w="7371"/>
      </w:tblGrid>
      <w:tr w14:paraId="51FCA042" w14:textId="77777777" w:rsidTr="00341A20">
        <w:tblPrEx>
          <w:tblW w:w="7371" w:type="dxa"/>
          <w:tblLook w:val="04A0"/>
        </w:tblPrEx>
        <w:tc>
          <w:tcPr>
            <w:tcW w:w="6339" w:type="dxa"/>
            <w:tcBorders>
              <w:top w:val="nil"/>
              <w:left w:val="nil"/>
              <w:bottom w:val="nil"/>
              <w:right w:val="nil"/>
            </w:tcBorders>
            <w:shd w:val="clear" w:color="auto" w:fill="B6C8D1"/>
            <w:hideMark/>
          </w:tcPr>
          <w:p w:rsidR="00341A20" w:rsidRPr="005B11DA" w14:paraId="56B3E0C7" w14:textId="193B053D">
            <w:pPr>
              <w:pStyle w:val="Heading13"/>
              <w:rPr>
                <w:rFonts w:eastAsiaTheme="minorEastAsia" w:cstheme="minorHAnsi"/>
                <w:lang w:val="fi-FI" w:eastAsia="fi-FI"/>
              </w:rPr>
            </w:pPr>
            <w:r w:rsidRPr="005B11DA">
              <w:rPr>
                <w:rFonts w:eastAsiaTheme="minorEastAsia"/>
                <w:lang w:val="fi-FI" w:eastAsia="fi-FI"/>
              </w:rPr>
              <w:t>Laadintaperiaatteet</w:t>
            </w:r>
          </w:p>
          <w:p w:rsidR="00341A20" w:rsidRPr="00C61D9E" w:rsidP="00C61D9E" w14:paraId="4DC32203" w14:textId="224BF49C">
            <w:pPr>
              <w:pStyle w:val="Bodytext2"/>
              <w:rPr>
                <w:rFonts w:eastAsiaTheme="minorEastAsia"/>
                <w:lang w:val="fi-FI" w:eastAsia="fi-FI"/>
              </w:rPr>
            </w:pPr>
            <w:r w:rsidRPr="00C61D9E">
              <w:rPr>
                <w:lang w:val="fi-FI"/>
              </w:rPr>
              <w:t xml:space="preserve">Materiaalit ja palvelut sisältävät </w:t>
            </w:r>
            <w:r>
              <w:rPr>
                <w:lang w:val="fi-FI"/>
              </w:rPr>
              <w:t xml:space="preserve">kulut </w:t>
            </w:r>
            <w:r w:rsidRPr="00C61D9E">
              <w:rPr>
                <w:lang w:val="fi-FI"/>
              </w:rPr>
              <w:t>ta</w:t>
            </w:r>
            <w:r>
              <w:rPr>
                <w:lang w:val="fi-FI"/>
              </w:rPr>
              <w:t>varantoimittajilta tuotantoa varten ostetuista tarvikkeista ja hyödykkeistä. Alennukset ja ostoihin liittyvien verojen</w:t>
            </w:r>
            <w:r>
              <w:rPr>
                <w:lang w:val="fi-FI"/>
              </w:rPr>
              <w:t xml:space="preserve"> hyvitykset on huomioitu kuluja vähentäen. </w:t>
            </w:r>
            <w:r w:rsidRPr="00C61D9E">
              <w:rPr>
                <w:lang w:val="fi-FI"/>
              </w:rPr>
              <w:t xml:space="preserve">Myös ostovelkoihin liittyvät kurssivoitot </w:t>
            </w:r>
            <w:r>
              <w:rPr>
                <w:lang w:val="fi-FI"/>
              </w:rPr>
              <w:t>ja</w:t>
            </w:r>
            <w:r w:rsidRPr="00C61D9E">
              <w:rPr>
                <w:lang w:val="fi-FI"/>
              </w:rPr>
              <w:t xml:space="preserve"> -tappiot ovat mukana materiaaleissa ja palveluissa.</w:t>
            </w:r>
          </w:p>
        </w:tc>
      </w:tr>
    </w:tbl>
    <w:p w:rsidR="00341A20" w:rsidRPr="00C61D9E" w:rsidP="00341A20" w14:paraId="639CF5A4" w14:textId="77777777">
      <w:pPr>
        <w:pStyle w:val="Bodytext2"/>
        <w:rPr>
          <w:lang w:val="fi-FI"/>
        </w:rPr>
      </w:pPr>
    </w:p>
    <w:tbl>
      <w:tblPr>
        <w:tblStyle w:val="TableNormal"/>
        <w:tblCaption w:val="Table_Material_and_services"/>
        <w:tblW w:w="7320" w:type="dxa"/>
        <w:tblLayout w:type="fixed"/>
        <w:tblLook w:val="0600"/>
      </w:tblPr>
      <w:tblGrid>
        <w:gridCol w:w="4830"/>
        <w:gridCol w:w="1245"/>
        <w:gridCol w:w="1245"/>
      </w:tblGrid>
      <w:tr>
        <w:tblPrEx>
          <w:tblW w:w="7320" w:type="dxa"/>
          <w:tblLayout w:type="fixed"/>
          <w:tblLook w:val="0600"/>
        </w:tblPrEx>
        <w:trPr>
          <w:trHeight w:hRule="exact" w:val="240"/>
        </w:trPr>
        <w:tc>
          <w:tcPr>
            <w:tcW w:w="48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Ostot tilikauden aikana</w:t>
            </w:r>
          </w:p>
        </w:tc>
        <w:tc>
          <w:tcPr>
            <w:tcW w:w="12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-1 679</w:t>
            </w:r>
          </w:p>
        </w:tc>
        <w:tc>
          <w:tcPr>
            <w:tcW w:w="12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-1 475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Varastojen muutos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Ulkopuoliset palvelut</w:t>
            </w:r>
          </w:p>
        </w:tc>
        <w:tc>
          <w:tcPr>
            <w:tcW w:w="12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-1 030</w:t>
            </w:r>
          </w:p>
        </w:tc>
        <w:tc>
          <w:tcPr>
            <w:tcW w:w="12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-1 026</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2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-2 714</w:t>
            </w:r>
          </w:p>
        </w:tc>
        <w:tc>
          <w:tcPr>
            <w:tcW w:w="12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-2 551</w:t>
            </w:r>
          </w:p>
        </w:tc>
      </w:tr>
    </w:tbl>
    <w:p/>
    <w:p w:rsidR="00141345" w:rsidP="00141345" w14:paraId="283DA9E4" w14:textId="0C18DE89">
      <w:pPr>
        <w:pStyle w:val="Heading12"/>
      </w:pPr>
      <w:bookmarkStart w:id="1455" w:name="RG_MARKER_7432"/>
      <w:r>
        <w:t>2.5. TYÖSUHDE-ETUUKSISTA AIHEUTUVAT KULUT</w:t>
      </w:r>
      <w:bookmarkEnd w:id="1455"/>
    </w:p>
    <w:tbl>
      <w:tblPr>
        <w:tblStyle w:val="TableGrid"/>
        <w:tblW w:w="7371" w:type="dxa"/>
        <w:tblLook w:val="04A0"/>
      </w:tblPr>
      <w:tblGrid>
        <w:gridCol w:w="7371"/>
      </w:tblGrid>
      <w:tr w14:paraId="24252E82" w14:textId="77777777" w:rsidTr="00141345">
        <w:tblPrEx>
          <w:tblW w:w="7371" w:type="dxa"/>
          <w:tblLook w:val="04A0"/>
        </w:tblPrEx>
        <w:tc>
          <w:tcPr>
            <w:tcW w:w="6683" w:type="dxa"/>
            <w:tcBorders>
              <w:top w:val="nil"/>
              <w:left w:val="nil"/>
              <w:bottom w:val="nil"/>
              <w:right w:val="nil"/>
            </w:tcBorders>
            <w:shd w:val="clear" w:color="auto" w:fill="B6C8D1"/>
          </w:tcPr>
          <w:p w:rsidR="00141345" w:rsidRPr="00656ADE" w14:paraId="60AB4B8B" w14:textId="4EBD7E40">
            <w:pPr>
              <w:pStyle w:val="Heading13"/>
              <w:rPr>
                <w:rFonts w:eastAsiaTheme="minorEastAsia" w:cstheme="minorHAnsi"/>
                <w:lang w:val="fi-FI" w:eastAsia="fi-FI"/>
              </w:rPr>
            </w:pPr>
            <w:r w:rsidRPr="00656ADE">
              <w:rPr>
                <w:lang w:val="fi-FI"/>
              </w:rPr>
              <w:t>Laadintaperiaatteet</w:t>
            </w:r>
          </w:p>
          <w:p w:rsidR="00141345" w14:paraId="267E0AC9" w14:textId="0B26CFF2">
            <w:pPr>
              <w:pStyle w:val="Bodytext2"/>
              <w:rPr>
                <w:lang w:val="fi-FI"/>
              </w:rPr>
            </w:pPr>
            <w:r w:rsidRPr="00E229B4">
              <w:rPr>
                <w:lang w:val="fi-FI"/>
              </w:rPr>
              <w:t>Työsuhde-etuuksia ovat</w:t>
            </w:r>
            <w:r w:rsidR="00D55BDD">
              <w:rPr>
                <w:lang w:val="fi-FI"/>
              </w:rPr>
              <w:t xml:space="preserve"> työsuorituksista tai työsuhteen päättämisestä</w:t>
            </w:r>
            <w:r w:rsidRPr="00E229B4">
              <w:rPr>
                <w:lang w:val="fi-FI"/>
              </w:rPr>
              <w:t xml:space="preserve"> e</w:t>
            </w:r>
            <w:r>
              <w:rPr>
                <w:lang w:val="fi-FI"/>
              </w:rPr>
              <w:t xml:space="preserve">ri muodoissa </w:t>
            </w:r>
            <w:r w:rsidR="00D55BDD">
              <w:rPr>
                <w:lang w:val="fi-FI"/>
              </w:rPr>
              <w:t>maksettavat</w:t>
            </w:r>
            <w:r>
              <w:rPr>
                <w:lang w:val="fi-FI"/>
              </w:rPr>
              <w:t xml:space="preserve"> vastikkeet</w:t>
            </w:r>
            <w:r w:rsidR="00D55BDD">
              <w:rPr>
                <w:lang w:val="fi-FI"/>
              </w:rPr>
              <w:t>.</w:t>
            </w:r>
            <w:r>
              <w:rPr>
                <w:lang w:val="fi-FI"/>
              </w:rPr>
              <w:t xml:space="preserve"> </w:t>
            </w:r>
            <w:r w:rsidRPr="00656ADE" w:rsidR="00D55BDD">
              <w:rPr>
                <w:lang w:val="fi-FI"/>
              </w:rPr>
              <w:t>Konsernilla on myös osakeperusteisia maksuja sekä muita henkilöstökuluja.</w:t>
            </w:r>
          </w:p>
          <w:p w:rsidR="00084EA5" w14:paraId="6B041DA6" w14:textId="17F265FD">
            <w:pPr>
              <w:pStyle w:val="Bodytext2"/>
              <w:rPr>
                <w:rFonts w:eastAsiaTheme="minorEastAsia"/>
                <w:lang w:val="fi-FI" w:eastAsia="fi-FI"/>
              </w:rPr>
            </w:pPr>
          </w:p>
          <w:p w:rsidR="00084EA5" w:rsidRPr="00CC17B4" w:rsidP="00084EA5" w14:paraId="173A5B14" w14:textId="45944368">
            <w:pPr>
              <w:pStyle w:val="Bodytext2"/>
              <w:rPr>
                <w:rFonts w:eastAsiaTheme="minorEastAsia"/>
                <w:lang w:val="fi-FI" w:eastAsia="fi-FI"/>
              </w:rPr>
            </w:pPr>
            <w:r w:rsidRPr="00CC17B4">
              <w:rPr>
                <w:rFonts w:eastAsiaTheme="minorEastAsia"/>
                <w:lang w:val="fi-FI" w:eastAsia="fi-FI"/>
              </w:rPr>
              <w:t xml:space="preserve">Osakeperusteisten </w:t>
            </w:r>
            <w:r w:rsidRPr="00CC17B4" w:rsidR="00DD0869">
              <w:rPr>
                <w:rFonts w:eastAsiaTheme="minorEastAsia"/>
                <w:lang w:val="fi-FI" w:eastAsia="fi-FI"/>
              </w:rPr>
              <w:t xml:space="preserve">pitkäaikaisten palkitsemisjärjestelmien </w:t>
            </w:r>
            <w:r w:rsidRPr="00CC17B4">
              <w:rPr>
                <w:rFonts w:eastAsiaTheme="minorEastAsia"/>
                <w:lang w:val="fi-FI" w:eastAsia="fi-FI"/>
              </w:rPr>
              <w:t>arvostaminen</w:t>
            </w:r>
            <w:r w:rsidRPr="00CC17B4" w:rsidR="00DD0869">
              <w:rPr>
                <w:rFonts w:eastAsiaTheme="minorEastAsia"/>
                <w:lang w:val="fi-FI" w:eastAsia="fi-FI"/>
              </w:rPr>
              <w:t xml:space="preserve"> riippuu kunkin järjestelmän ehdoista. Yhtiön osakkeina suoritettavat palkkio-oikeudet </w:t>
            </w:r>
            <w:r w:rsidRPr="00CC17B4">
              <w:rPr>
                <w:rFonts w:eastAsiaTheme="minorEastAsia"/>
                <w:lang w:val="fi-FI" w:eastAsia="fi-FI"/>
              </w:rPr>
              <w:t>arvostetaan</w:t>
            </w:r>
            <w:r w:rsidRPr="00CC17B4" w:rsidR="00DD0869">
              <w:rPr>
                <w:rFonts w:eastAsiaTheme="minorEastAsia"/>
                <w:lang w:val="fi-FI" w:eastAsia="fi-FI"/>
              </w:rPr>
              <w:t xml:space="preserve"> </w:t>
            </w:r>
            <w:r w:rsidRPr="00CC17B4" w:rsidR="006C3D11">
              <w:rPr>
                <w:rFonts w:eastAsiaTheme="minorEastAsia"/>
                <w:lang w:val="fi-FI" w:eastAsia="fi-FI"/>
              </w:rPr>
              <w:t>käypään arvoon</w:t>
            </w:r>
            <w:r w:rsidRPr="00CC17B4" w:rsidR="001A7C7A">
              <w:rPr>
                <w:rFonts w:eastAsiaTheme="minorEastAsia"/>
                <w:lang w:val="fi-FI" w:eastAsia="fi-FI"/>
              </w:rPr>
              <w:t xml:space="preserve"> myöntämispäivän mukaisesti</w:t>
            </w:r>
            <w:r w:rsidRPr="00CC17B4" w:rsidR="006C3D11">
              <w:rPr>
                <w:rFonts w:eastAsiaTheme="minorEastAsia"/>
                <w:lang w:val="fi-FI" w:eastAsia="fi-FI"/>
              </w:rPr>
              <w:t>.</w:t>
            </w:r>
            <w:r w:rsidRPr="00CC17B4" w:rsidR="001A7C7A">
              <w:rPr>
                <w:rFonts w:eastAsiaTheme="minorEastAsia"/>
                <w:lang w:val="fi-FI" w:eastAsia="fi-FI"/>
              </w:rPr>
              <w:t xml:space="preserve"> Käteisenä suoritettavat palkkio-oikeudet </w:t>
            </w:r>
            <w:r w:rsidRPr="00CC17B4">
              <w:rPr>
                <w:rFonts w:eastAsiaTheme="minorEastAsia"/>
                <w:lang w:val="fi-FI" w:eastAsia="fi-FI"/>
              </w:rPr>
              <w:t>arvostetaan</w:t>
            </w:r>
            <w:r w:rsidRPr="00CC17B4" w:rsidR="001A7C7A">
              <w:rPr>
                <w:rFonts w:eastAsiaTheme="minorEastAsia"/>
                <w:lang w:val="fi-FI" w:eastAsia="fi-FI"/>
              </w:rPr>
              <w:t xml:space="preserve"> käypään arvoon raportointipäivän mukaisesti, ja käyvän arvon muutokset kirjataan tuloslaskelmaan.</w:t>
            </w:r>
          </w:p>
          <w:p w:rsidR="001A7C7A" w:rsidRPr="00CC17B4" w:rsidP="00084EA5" w14:paraId="74EC1AB0" w14:textId="77777777">
            <w:pPr>
              <w:pStyle w:val="Bodytext2"/>
              <w:rPr>
                <w:rFonts w:eastAsiaTheme="minorEastAsia"/>
                <w:lang w:val="fi-FI" w:eastAsia="fi-FI"/>
              </w:rPr>
            </w:pPr>
          </w:p>
          <w:p w:rsidR="00BF4BE5" w:rsidRPr="005827E7" w:rsidP="00084EA5" w14:paraId="20325F16" w14:textId="59741022">
            <w:pPr>
              <w:pStyle w:val="Bodytext2"/>
              <w:rPr>
                <w:rFonts w:eastAsiaTheme="minorEastAsia"/>
                <w:lang w:val="fi-FI" w:eastAsia="fi-FI"/>
              </w:rPr>
            </w:pPr>
            <w:r w:rsidRPr="00CC17B4">
              <w:rPr>
                <w:rFonts w:eastAsiaTheme="minorEastAsia"/>
                <w:lang w:val="fi-FI" w:eastAsia="fi-FI"/>
              </w:rPr>
              <w:t>Markkinaperusteiset oikeuden syntymisehdot, kuten osak</w:t>
            </w:r>
            <w:r w:rsidRPr="00CC17B4" w:rsidR="005827E7">
              <w:rPr>
                <w:rFonts w:eastAsiaTheme="minorEastAsia"/>
                <w:lang w:val="fi-FI" w:eastAsia="fi-FI"/>
              </w:rPr>
              <w:t>e</w:t>
            </w:r>
            <w:r w:rsidRPr="00CC17B4">
              <w:rPr>
                <w:rFonts w:eastAsiaTheme="minorEastAsia"/>
                <w:lang w:val="fi-FI" w:eastAsia="fi-FI"/>
              </w:rPr>
              <w:t xml:space="preserve">hinnan kehitys, huomioidaan palkkio-oikeuden käypää arvoa </w:t>
            </w:r>
            <w:r w:rsidRPr="00CC17B4">
              <w:rPr>
                <w:rFonts w:eastAsiaTheme="minorEastAsia"/>
                <w:lang w:val="fi-FI" w:eastAsia="fi-FI"/>
              </w:rPr>
              <w:t xml:space="preserve">määrittäessä. Oikeuden syntymisehdot, jotka eivät ole markkinaperusteisia, kuten yhtiön tuottama </w:t>
            </w:r>
            <w:r w:rsidRPr="00CC17B4" w:rsidR="008212C5">
              <w:rPr>
                <w:rFonts w:eastAsiaTheme="minorEastAsia"/>
                <w:lang w:val="fi-FI" w:eastAsia="fi-FI"/>
              </w:rPr>
              <w:t>taloudellinen lisäarvo (</w:t>
            </w:r>
            <w:r w:rsidRPr="00CC17B4">
              <w:rPr>
                <w:rFonts w:eastAsiaTheme="minorEastAsia"/>
                <w:lang w:val="fi-FI" w:eastAsia="fi-FI"/>
              </w:rPr>
              <w:t>EVA</w:t>
            </w:r>
            <w:r w:rsidRPr="00CC17B4" w:rsidR="008212C5">
              <w:rPr>
                <w:rFonts w:eastAsiaTheme="minorEastAsia"/>
                <w:lang w:val="fi-FI" w:eastAsia="fi-FI"/>
              </w:rPr>
              <w:t>)</w:t>
            </w:r>
            <w:r w:rsidRPr="00CC17B4">
              <w:rPr>
                <w:rFonts w:eastAsiaTheme="minorEastAsia"/>
                <w:lang w:val="fi-FI" w:eastAsia="fi-FI"/>
              </w:rPr>
              <w:t xml:space="preserve"> tai edellytetty palvelusaika, huomioidaan </w:t>
            </w:r>
            <w:r w:rsidRPr="00CC17B4" w:rsidR="005827E7">
              <w:rPr>
                <w:rFonts w:eastAsiaTheme="minorEastAsia"/>
                <w:lang w:val="fi-FI" w:eastAsia="fi-FI"/>
              </w:rPr>
              <w:t>arvioitaessa niiden osakkeiden lukumäärää, joihin oikeus syntyy. Arvioita niiden osakkeiden lukumäärästä, joihin oikeus syntyy, tarkistetaan kunkin raportointikauden lopussa, ja muutos kirjataan tuloslaskelma</w:t>
            </w:r>
            <w:r w:rsidRPr="00CC17B4">
              <w:rPr>
                <w:rFonts w:eastAsiaTheme="minorEastAsia"/>
                <w:lang w:val="fi-FI" w:eastAsia="fi-FI"/>
              </w:rPr>
              <w:t>an</w:t>
            </w:r>
            <w:r w:rsidRPr="00CC17B4" w:rsidR="005827E7">
              <w:rPr>
                <w:rFonts w:eastAsiaTheme="minorEastAsia"/>
                <w:lang w:val="fi-FI" w:eastAsia="fi-FI"/>
              </w:rPr>
              <w:t>.</w:t>
            </w:r>
          </w:p>
          <w:p w:rsidR="00084EA5" w:rsidRPr="005827E7" w:rsidP="00084EA5" w14:paraId="7F3A5A4C" w14:textId="77777777">
            <w:pPr>
              <w:pStyle w:val="Bodytext2"/>
              <w:rPr>
                <w:rFonts w:eastAsiaTheme="minorEastAsia"/>
                <w:lang w:val="fi-FI" w:eastAsia="fi-FI"/>
              </w:rPr>
            </w:pPr>
          </w:p>
          <w:p w:rsidR="00084EA5" w:rsidRPr="00C511D7" w:rsidP="00084EA5" w14:paraId="493F57FA" w14:textId="3A22C6FC">
            <w:pPr>
              <w:pStyle w:val="Bodytext2"/>
              <w:rPr>
                <w:rFonts w:eastAsiaTheme="minorEastAsia"/>
                <w:lang w:val="fi-FI" w:eastAsia="fi-FI"/>
              </w:rPr>
            </w:pPr>
            <w:r w:rsidRPr="00CC17B4">
              <w:rPr>
                <w:rFonts w:eastAsiaTheme="minorEastAsia"/>
                <w:lang w:val="fi-FI" w:eastAsia="fi-FI"/>
              </w:rPr>
              <w:t xml:space="preserve">Osakeperusteisten pitkäaikaisten palkitsemisjärjestelmien kulut kirjataan työsuhde-etuuksista aiheutuviin kuluihin tuloslaskelmaan </w:t>
            </w:r>
            <w:r w:rsidRPr="00CC17B4">
              <w:rPr>
                <w:rFonts w:eastAsiaTheme="minorEastAsia"/>
                <w:lang w:val="fi-FI" w:eastAsia="fi-FI"/>
              </w:rPr>
              <w:t xml:space="preserve">järjestelmän edellyttämän palvelusajan aikana. Kulut yhtiön osakkeina suoritettavista palkkio-oikeuksista kirjataan omaa pääomaa vastaan, ja </w:t>
            </w:r>
            <w:r w:rsidRPr="00CC17B4" w:rsidR="00C511D7">
              <w:rPr>
                <w:rFonts w:eastAsiaTheme="minorEastAsia"/>
                <w:lang w:val="fi-FI" w:eastAsia="fi-FI"/>
              </w:rPr>
              <w:t>kulut käteisenä suoritettavista palkkio-oikeuksista kirjataan velkoja vastaan.</w:t>
            </w:r>
          </w:p>
          <w:p w:rsidR="00E6664C" w:rsidRPr="00C511D7" w:rsidP="00084EA5" w14:paraId="336D2CF3" w14:textId="7E623D7E">
            <w:pPr>
              <w:pStyle w:val="Bodytext2"/>
              <w:rPr>
                <w:rFonts w:eastAsiaTheme="minorEastAsia"/>
                <w:lang w:val="fi-FI" w:eastAsia="fi-FI"/>
              </w:rPr>
            </w:pPr>
          </w:p>
          <w:p w:rsidR="00C511D7" w:rsidRPr="00C511D7" w:rsidP="00084EA5" w14:paraId="24704515" w14:textId="7E89AE76">
            <w:pPr>
              <w:pStyle w:val="Bodytext2"/>
              <w:rPr>
                <w:rFonts w:eastAsiaTheme="minorEastAsia"/>
                <w:lang w:val="fi-FI" w:eastAsia="fi-FI"/>
              </w:rPr>
            </w:pPr>
            <w:r w:rsidRPr="00CC17B4">
              <w:rPr>
                <w:rFonts w:eastAsiaTheme="minorEastAsia"/>
                <w:lang w:val="fi-FI" w:eastAsia="fi-FI"/>
              </w:rPr>
              <w:t>Kun yhtiö on velvollinen pidättämää</w:t>
            </w:r>
            <w:r w:rsidRPr="00CC17B4">
              <w:rPr>
                <w:rFonts w:eastAsiaTheme="minorEastAsia"/>
                <w:lang w:val="fi-FI" w:eastAsia="fi-FI"/>
              </w:rPr>
              <w:t>n ja suorittamaan veroviranomaiselle käteisenä työntekijän verovelvoitteen niihin osakkeisiin liittyen, joihin hänelle on syntynyt oikeus, tämä osuus huomioidaan samalla tavalla kuin osakkeina suoritettava osuus.</w:t>
            </w:r>
          </w:p>
          <w:p w:rsidR="00C511D7" w14:paraId="334B925D" w14:textId="77777777">
            <w:pPr>
              <w:pStyle w:val="Bodytext2"/>
              <w:rPr>
                <w:rFonts w:eastAsiaTheme="minorEastAsia"/>
                <w:lang w:val="fi-FI" w:eastAsia="fi-FI"/>
              </w:rPr>
            </w:pPr>
          </w:p>
          <w:p w:rsidR="00C81C21" w:rsidRPr="00656ADE" w14:paraId="7AA9B8FA" w14:textId="2F6D8EEC">
            <w:pPr>
              <w:pStyle w:val="Bodytext2"/>
              <w:rPr>
                <w:rFonts w:eastAsiaTheme="minorEastAsia"/>
                <w:lang w:val="fi-FI" w:eastAsia="fi-FI"/>
              </w:rPr>
            </w:pPr>
            <w:r w:rsidRPr="00C81C21">
              <w:rPr>
                <w:rFonts w:eastAsiaTheme="minorEastAsia"/>
                <w:lang w:val="fi-FI" w:eastAsia="fi-FI"/>
              </w:rPr>
              <w:t>Konserniyhtiöillä on eri maissa useita elä</w:t>
            </w:r>
            <w:r w:rsidRPr="00C81C21">
              <w:rPr>
                <w:rFonts w:eastAsiaTheme="minorEastAsia"/>
                <w:lang w:val="fi-FI" w:eastAsia="fi-FI"/>
              </w:rPr>
              <w:t>kejärjestelyjä</w:t>
            </w:r>
            <w:r>
              <w:rPr>
                <w:rFonts w:eastAsiaTheme="minorEastAsia"/>
                <w:lang w:val="fi-FI" w:eastAsia="fi-FI"/>
              </w:rPr>
              <w:t xml:space="preserve"> ja työsuhteen päättymisen jälkeisiä etuuksia</w:t>
            </w:r>
            <w:r w:rsidRPr="00C81C21">
              <w:rPr>
                <w:rFonts w:eastAsiaTheme="minorEastAsia"/>
                <w:lang w:val="fi-FI" w:eastAsia="fi-FI"/>
              </w:rPr>
              <w:t xml:space="preserve">, jotka perustuvat paikallisiin olosuhteisiin ja käytäntöihin. </w:t>
            </w:r>
            <w:r w:rsidRPr="00656ADE">
              <w:rPr>
                <w:rFonts w:eastAsiaTheme="minorEastAsia"/>
                <w:lang w:val="fi-FI" w:eastAsia="fi-FI"/>
              </w:rPr>
              <w:t>Nämä eläkejärjestelyt luokitellaan joko maksu- tai etuuspohjaisiksi järjestelyiksi.</w:t>
            </w:r>
          </w:p>
          <w:p w:rsidR="00141345" w:rsidRPr="00656ADE" w14:paraId="45AC8BDA" w14:textId="2AD0B0A7">
            <w:pPr>
              <w:pStyle w:val="Bodytext2"/>
              <w:rPr>
                <w:rFonts w:eastAsiaTheme="minorEastAsia"/>
                <w:lang w:val="fi-FI" w:eastAsia="fi-FI"/>
              </w:rPr>
            </w:pPr>
          </w:p>
          <w:p w:rsidR="00C81C21" w:rsidRPr="00C81C21" w14:paraId="2315D0E2" w14:textId="57E602E0">
            <w:pPr>
              <w:pStyle w:val="Bodytext2"/>
              <w:rPr>
                <w:rFonts w:eastAsiaTheme="minorEastAsia"/>
                <w:lang w:val="fi-FI" w:eastAsia="fi-FI"/>
              </w:rPr>
            </w:pPr>
            <w:r w:rsidRPr="00C81C21">
              <w:rPr>
                <w:rFonts w:eastAsiaTheme="minorEastAsia"/>
                <w:lang w:val="fi-FI" w:eastAsia="fi-FI"/>
              </w:rPr>
              <w:t>Maksupohjaisista järjestelyistä suorite</w:t>
            </w:r>
            <w:r w:rsidRPr="00C81C21">
              <w:rPr>
                <w:rFonts w:eastAsiaTheme="minorEastAsia"/>
                <w:lang w:val="fi-FI" w:eastAsia="fi-FI"/>
              </w:rPr>
              <w:t>ttavat kiinteät maksut</w:t>
            </w:r>
            <w:r>
              <w:rPr>
                <w:rFonts w:eastAsiaTheme="minorEastAsia"/>
                <w:lang w:val="fi-FI" w:eastAsia="fi-FI"/>
              </w:rPr>
              <w:t xml:space="preserve"> maksetaan erilliselle yhtiölle, kuten vakuutusyhtiölle,</w:t>
            </w:r>
            <w:r w:rsidRPr="00C81C21">
              <w:rPr>
                <w:rFonts w:eastAsiaTheme="minorEastAsia"/>
                <w:lang w:val="fi-FI" w:eastAsia="fi-FI"/>
              </w:rPr>
              <w:t xml:space="preserve"> </w:t>
            </w:r>
            <w:r>
              <w:rPr>
                <w:rFonts w:eastAsiaTheme="minorEastAsia"/>
                <w:lang w:val="fi-FI" w:eastAsia="fi-FI"/>
              </w:rPr>
              <w:t xml:space="preserve">ja </w:t>
            </w:r>
            <w:r w:rsidRPr="00C81C21">
              <w:rPr>
                <w:rFonts w:eastAsiaTheme="minorEastAsia"/>
                <w:lang w:val="fi-FI" w:eastAsia="fi-FI"/>
              </w:rPr>
              <w:t>kirjataan</w:t>
            </w:r>
            <w:r w:rsidR="00E229B4">
              <w:rPr>
                <w:rFonts w:eastAsiaTheme="minorEastAsia"/>
                <w:lang w:val="fi-FI" w:eastAsia="fi-FI"/>
              </w:rPr>
              <w:t xml:space="preserve"> tuloslaskelmalla työsuhde-etuuksista aiheutuvaksi</w:t>
            </w:r>
            <w:r w:rsidRPr="00C81C21">
              <w:rPr>
                <w:rFonts w:eastAsiaTheme="minorEastAsia"/>
                <w:lang w:val="fi-FI" w:eastAsia="fi-FI"/>
              </w:rPr>
              <w:t xml:space="preserve"> kuluksi sillä kaudella, johon ne kohdistuvat. Konsernilla ei ole oikeudellista eikä tosiasiallista velvoitetta lis</w:t>
            </w:r>
            <w:r w:rsidRPr="00C81C21">
              <w:rPr>
                <w:rFonts w:eastAsiaTheme="minorEastAsia"/>
                <w:lang w:val="fi-FI" w:eastAsia="fi-FI"/>
              </w:rPr>
              <w:t>ämaksujen suorittamiseen, mikäli maksujen saajataho ei pysty suoriutumaan kyseisten eläke-etuuksien maksamisesta.</w:t>
            </w:r>
          </w:p>
          <w:p w:rsidR="00141345" w:rsidRPr="00656ADE" w14:paraId="0A92A63E" w14:textId="77777777">
            <w:pPr>
              <w:pStyle w:val="Bodytext2"/>
              <w:rPr>
                <w:rFonts w:eastAsiaTheme="minorEastAsia"/>
                <w:lang w:val="fi-FI" w:eastAsia="fi-FI"/>
              </w:rPr>
            </w:pPr>
          </w:p>
          <w:p w:rsidR="00141345" w14:paraId="37005E0F" w14:textId="6729AA13">
            <w:pPr>
              <w:pStyle w:val="Bodytext2"/>
              <w:rPr>
                <w:rFonts w:eastAsiaTheme="minorEastAsia"/>
                <w:lang w:val="en-GB" w:eastAsia="fi-FI"/>
              </w:rPr>
            </w:pPr>
            <w:r w:rsidRPr="00E229B4">
              <w:rPr>
                <w:lang w:val="fi-FI"/>
              </w:rPr>
              <w:t xml:space="preserve">Laadintaperiaatteet etuuspohjaisiin eläkejärjestelyihin liittyen on esitetty liitetiedossa </w:t>
            </w:r>
            <w:r w:rsidRPr="00E229B4" w:rsidR="00D55BDD">
              <w:rPr>
                <w:lang w:val="fi-FI"/>
              </w:rPr>
              <w:t xml:space="preserve">4.7. </w:t>
            </w:r>
            <w:r>
              <w:rPr>
                <w:lang w:val="fi-FI"/>
              </w:rPr>
              <w:t>Eläkevelvoitteet</w:t>
            </w:r>
            <w:r w:rsidR="00D55BDD">
              <w:rPr>
                <w:lang w:val="en-GB"/>
              </w:rPr>
              <w:t>.</w:t>
            </w:r>
          </w:p>
        </w:tc>
      </w:tr>
    </w:tbl>
    <w:p w:rsidR="00141345" w:rsidP="00141345" w14:paraId="4175E886" w14:textId="77777777">
      <w:pPr>
        <w:pStyle w:val="Bodytext2"/>
      </w:pPr>
    </w:p>
    <w:tbl>
      <w:tblPr>
        <w:tblStyle w:val="TableNormal"/>
        <w:tblCaption w:val="Table_Employee_benefit_expenses"/>
        <w:tblW w:w="7320" w:type="dxa"/>
        <w:tblLayout w:type="fixed"/>
        <w:tblLook w:val="0600"/>
      </w:tblPr>
      <w:tblGrid>
        <w:gridCol w:w="4830"/>
        <w:gridCol w:w="1245"/>
        <w:gridCol w:w="1245"/>
      </w:tblGrid>
      <w:tr>
        <w:tblPrEx>
          <w:tblW w:w="7320" w:type="dxa"/>
          <w:tblLayout w:type="fixed"/>
          <w:tblLook w:val="0600"/>
        </w:tblPrEx>
        <w:trPr>
          <w:trHeight w:val="240"/>
        </w:trPr>
        <w:tc>
          <w:tcPr>
            <w:tcW w:w="483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Palkat ja palkkiot</w:t>
            </w:r>
          </w:p>
        </w:tc>
        <w:tc>
          <w:tcPr>
            <w:tcW w:w="12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1 009</w:t>
            </w:r>
          </w:p>
        </w:tc>
        <w:tc>
          <w:tcPr>
            <w:tcW w:w="12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984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Eläkekulut</w:t>
            </w: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Etuuspohjaiset eläkejärjestelyt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Maksupohjaiset eläkejärjestelyt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77</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henkilösivukulut</w:t>
            </w:r>
          </w:p>
        </w:tc>
        <w:tc>
          <w:tcPr>
            <w:tcW w:w="12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136</w:t>
            </w:r>
          </w:p>
        </w:tc>
        <w:tc>
          <w:tcPr>
            <w:tcW w:w="12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2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1 230</w:t>
            </w:r>
          </w:p>
        </w:tc>
        <w:tc>
          <w:tcPr>
            <w:tcW w:w="12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1 192</w:t>
            </w:r>
          </w:p>
        </w:tc>
      </w:tr>
    </w:tbl>
    <w:p w:rsidR="00141345" w:rsidP="00141345" w14:paraId="63911AA0" w14:textId="77777777">
      <w:pPr>
        <w:pStyle w:val="Bodytext2"/>
      </w:pPr>
    </w:p>
    <w:p w:rsidR="00141345" w:rsidRPr="00C81C21" w:rsidP="00141345" w14:paraId="7D65B511" w14:textId="29663CEC">
      <w:pPr>
        <w:pStyle w:val="Bodytext2"/>
        <w:rPr>
          <w:lang w:val="fi-FI"/>
        </w:rPr>
      </w:pPr>
      <w:r w:rsidRPr="00C81C21">
        <w:rPr>
          <w:lang w:val="fi-FI"/>
        </w:rPr>
        <w:t>Lisätietoja johdon palkitsemisesta liitetiedossa 7.2. Lähipiiritapahtumat.</w:t>
      </w:r>
    </w:p>
    <w:p w:rsidR="00141345" w:rsidRPr="00C81C21" w:rsidP="00141345" w14:paraId="2045C5F2" w14:textId="77777777">
      <w:pPr>
        <w:pStyle w:val="Bodytext2"/>
        <w:rPr>
          <w:lang w:val="fi-FI"/>
        </w:rPr>
      </w:pPr>
    </w:p>
    <w:p w:rsidR="00141345" w:rsidRPr="00C81C21" w:rsidP="00141345" w14:paraId="521435DE" w14:textId="030BF22B">
      <w:pPr>
        <w:pStyle w:val="Heading13"/>
        <w:rPr>
          <w:lang w:val="fi-FI"/>
        </w:rPr>
      </w:pPr>
      <w:r w:rsidRPr="00C81C21">
        <w:rPr>
          <w:lang w:val="fi-FI"/>
        </w:rPr>
        <w:t>Pitkäaikaiset palkitsemisjärjestelmät</w:t>
      </w:r>
    </w:p>
    <w:p w:rsidR="00D1145D" w:rsidRPr="009166DC" w:rsidP="00D1145D" w14:paraId="5AA2C0E7" w14:textId="576F1AF2">
      <w:pPr>
        <w:pStyle w:val="Bodytext2"/>
        <w:rPr>
          <w:lang w:val="fi-FI"/>
        </w:rPr>
      </w:pPr>
      <w:r w:rsidRPr="009166DC">
        <w:rPr>
          <w:lang w:val="fi-FI"/>
        </w:rPr>
        <w:t>Palkkoihin ja palkkioihin sisältyy 8 miljoonaa euroa (7) kulua osakeperusteisista pitkäaikaisista palkit</w:t>
      </w:r>
      <w:r w:rsidRPr="009166DC">
        <w:rPr>
          <w:lang w:val="fi-FI"/>
        </w:rPr>
        <w:t>semisjärjestelmistä. Tilikauden 2021 lopussa Wärtsilällä oli voimassa kolme pitkäaikaista palkitsemisjärjestelmää.</w:t>
      </w:r>
    </w:p>
    <w:p w:rsidR="003B56FB" w:rsidRPr="00883426" w:rsidP="00D1145D" w14:paraId="5C69A781" w14:textId="5C4BE7CA">
      <w:pPr>
        <w:pStyle w:val="Bodytext2"/>
        <w:rPr>
          <w:highlight w:val="cyan"/>
          <w:lang w:val="fi-FI"/>
        </w:rPr>
      </w:pPr>
    </w:p>
    <w:p w:rsidR="003B56FB" w:rsidRPr="009166DC" w:rsidP="00D1145D" w14:paraId="670807BF" w14:textId="6D465A68">
      <w:pPr>
        <w:pStyle w:val="Bodytext2"/>
        <w:rPr>
          <w:lang w:val="fi-FI"/>
        </w:rPr>
      </w:pPr>
      <w:r w:rsidRPr="009166DC">
        <w:rPr>
          <w:lang w:val="fi-FI"/>
        </w:rPr>
        <w:t>Kaksi palkitsemisjärjestelmistä perustuu yhtiön osakkeen markkina-arvon kehitykseen ennalta määrätyllä aikavälillä ja palkkiolle on asetettu</w:t>
      </w:r>
      <w:r w:rsidRPr="009166DC">
        <w:rPr>
          <w:lang w:val="fi-FI"/>
        </w:rPr>
        <w:t xml:space="preserve"> yläraja. Kun palkitsemisjärjestelmä päättyy ja työssäoloehto täyttyy, palkkio suoritetaan osakkeina (2019–2021 ja 2020–2022 ohjelmat). Johtoryhmän jäsenten tulee hankkia Wärtsilän osakkeita 50%:lla saamistaan nettopalkkioista, kunnes omistus, jonka määrä </w:t>
      </w:r>
      <w:r w:rsidRPr="009166DC">
        <w:rPr>
          <w:lang w:val="fi-FI"/>
        </w:rPr>
        <w:t>vastaa arvoltaan henkilön perusvuosipalkkaa bruttona, on saavutettu.</w:t>
      </w:r>
    </w:p>
    <w:p w:rsidR="003B56FB" w:rsidRPr="009166DC" w:rsidP="00D1145D" w14:paraId="3F072A50" w14:textId="10EF1383">
      <w:pPr>
        <w:pStyle w:val="Bodytext2"/>
        <w:rPr>
          <w:lang w:val="fi-FI"/>
        </w:rPr>
      </w:pPr>
    </w:p>
    <w:p w:rsidR="003B56FB" w:rsidRPr="009166DC" w:rsidP="003B56FB" w14:paraId="3A7CDD1E" w14:textId="7FCF6172">
      <w:pPr>
        <w:pStyle w:val="Bodytext2"/>
        <w:rPr>
          <w:lang w:val="fi-FI"/>
        </w:rPr>
      </w:pPr>
      <w:r w:rsidRPr="009166DC">
        <w:rPr>
          <w:lang w:val="fi-FI"/>
        </w:rPr>
        <w:t>Kyseisissä palkitsemisjärjestelmissä maksettavan palkkion suuruus perustuu osakkeen kolmen vuoden kurssikehitykseen. Vuoden 2019–2021 ohjelmassa on 3.984.750 palkkio-oikeutta ja vuoden 2</w:t>
      </w:r>
      <w:r w:rsidRPr="009166DC">
        <w:rPr>
          <w:lang w:val="fi-FI"/>
        </w:rPr>
        <w:t>020–2022 ohjelmassa 7.028.500 palkkio-oikeutta. Vuoden 2019–2021 ohjelmassa osakkeen lähtöhintana on 16,76 euroa ja vuoden 2020–2022 ohjelmassa 11,10 euroa. Palkitsemisjärjestelmissä huomioidaan 100% niiden juoksuaikana maksettavista osingoista. Vuoden 201</w:t>
      </w:r>
      <w:r w:rsidRPr="009166DC">
        <w:rPr>
          <w:lang w:val="fi-FI"/>
        </w:rPr>
        <w:t>9–2021 ohjelmassa maksettava palkkio voi olla korkeintaan 6,56 euroa per palkkio-oikeus ja vuoden 2020–2022 ohjelmassa 4,31 euroa per palkkio-oikeus.</w:t>
      </w:r>
    </w:p>
    <w:p w:rsidR="00D1145D" w:rsidRPr="00883426" w:rsidP="00D1145D" w14:paraId="7C4EB51D" w14:textId="53248D10">
      <w:pPr>
        <w:pStyle w:val="Bodytext2"/>
        <w:rPr>
          <w:highlight w:val="cyan"/>
          <w:lang w:val="fi-FI"/>
        </w:rPr>
      </w:pPr>
    </w:p>
    <w:p w:rsidR="0037463E" w:rsidRPr="009166DC" w:rsidP="00D1145D" w14:paraId="3C44858A" w14:textId="1A0219A0">
      <w:pPr>
        <w:pStyle w:val="Bodytext2"/>
        <w:rPr>
          <w:lang w:val="fi-FI"/>
        </w:rPr>
      </w:pPr>
      <w:r w:rsidRPr="009166DC">
        <w:rPr>
          <w:lang w:val="fi-FI"/>
        </w:rPr>
        <w:t xml:space="preserve">Ohjelman 2019–2021 myöntämispäivän mukaisesti määritetty käypä arvo on 2,69 euroa per </w:t>
      </w:r>
      <w:r w:rsidRPr="009166DC">
        <w:rPr>
          <w:lang w:val="fi-FI"/>
        </w:rPr>
        <w:t>palkkio-oikeus ja ohjelman 2020–2022 1,34 euroa per palkkio-oikeus.</w:t>
      </w:r>
    </w:p>
    <w:p w:rsidR="00D1145D" w:rsidRPr="00883426" w:rsidP="00D1145D" w14:paraId="44FBAD82" w14:textId="77777777">
      <w:pPr>
        <w:pStyle w:val="Bodytext2"/>
        <w:rPr>
          <w:highlight w:val="cyan"/>
          <w:lang w:val="fi-FI"/>
        </w:rPr>
      </w:pPr>
    </w:p>
    <w:p w:rsidR="00D1145D" w:rsidRPr="009166DC" w:rsidP="00D1145D" w14:paraId="063C3929" w14:textId="1A4BC2F9">
      <w:pPr>
        <w:pStyle w:val="Bodytext2"/>
        <w:rPr>
          <w:lang w:val="fi-FI"/>
        </w:rPr>
      </w:pPr>
      <w:r w:rsidRPr="009166DC">
        <w:rPr>
          <w:lang w:val="fi-FI"/>
        </w:rPr>
        <w:t xml:space="preserve">Kolmas pitkäaikainen palkitsemisjärjestelmä on vuosille 2021–2023. </w:t>
      </w:r>
      <w:r w:rsidRPr="009166DC" w:rsidR="008212C5">
        <w:rPr>
          <w:lang w:val="fi-FI"/>
        </w:rPr>
        <w:t>Se on suorit</w:t>
      </w:r>
      <w:r w:rsidRPr="009166DC" w:rsidR="00A932E7">
        <w:rPr>
          <w:lang w:val="fi-FI"/>
        </w:rPr>
        <w:t xml:space="preserve">usperusteinen osakeohjelma, jonka mukaan ohjelmaan osallisille annetaan yhtiön osakkeita, jos etukäteen määritelty minimitaso yhtiön </w:t>
      </w:r>
      <w:r w:rsidRPr="009166DC">
        <w:rPr>
          <w:lang w:val="fi-FI"/>
        </w:rPr>
        <w:t xml:space="preserve">tuottamalle </w:t>
      </w:r>
      <w:r w:rsidRPr="009166DC" w:rsidR="00A932E7">
        <w:rPr>
          <w:lang w:val="fi-FI"/>
        </w:rPr>
        <w:t>taloudelliselle lisäarvolle saavutetaan ja työssäoloehto täyttyy. Annettavien osakkeiden lukumäärä perustuu saavut</w:t>
      </w:r>
      <w:r w:rsidRPr="009166DC">
        <w:rPr>
          <w:lang w:val="fi-FI"/>
        </w:rPr>
        <w:t>ettuun EVA-</w:t>
      </w:r>
      <w:r w:rsidRPr="009166DC" w:rsidR="00A932E7">
        <w:rPr>
          <w:lang w:val="fi-FI"/>
        </w:rPr>
        <w:t>tasoon, jo</w:t>
      </w:r>
      <w:r w:rsidRPr="009166DC">
        <w:rPr>
          <w:lang w:val="fi-FI"/>
        </w:rPr>
        <w:t>nka</w:t>
      </w:r>
      <w:r w:rsidRPr="009166DC" w:rsidR="00A932E7">
        <w:rPr>
          <w:lang w:val="fi-FI"/>
        </w:rPr>
        <w:t xml:space="preserve"> yläraja on asetettu 175%:iin tavoitetasosta. Myös maksuille on asetettu yläraja, joka on suhteessa yksittäisten henkilöiden myöntämispäivän mukaiseen peruspalkkaan. Tavoitetason saavuttaminen </w:t>
      </w:r>
      <w:r w:rsidRPr="009166DC" w:rsidR="00E15E10">
        <w:rPr>
          <w:lang w:val="fi-FI"/>
        </w:rPr>
        <w:t>oikeuttaisi ohjelmaan osallisille palkkioina suoritettavaksi yhteensä 3.559.203 osaketta.</w:t>
      </w:r>
      <w:r w:rsidRPr="009166DC">
        <w:rPr>
          <w:lang w:val="fi-FI"/>
        </w:rPr>
        <w:t xml:space="preserve"> </w:t>
      </w:r>
      <w:r w:rsidRPr="009166DC" w:rsidR="00E15E10">
        <w:rPr>
          <w:lang w:val="fi-FI"/>
        </w:rPr>
        <w:t>Joissakin maissa paikallinen lainsäädäntö edellyttäisi kyseisen palkkion suorittamista käteisenä.</w:t>
      </w:r>
    </w:p>
    <w:p w:rsidR="0037463E" w:rsidRPr="00E15E10" w:rsidP="00D1145D" w14:paraId="4344623C" w14:textId="64579832">
      <w:pPr>
        <w:pStyle w:val="Bodytext2"/>
        <w:rPr>
          <w:highlight w:val="cyan"/>
          <w:lang w:val="fi-FI"/>
        </w:rPr>
      </w:pPr>
    </w:p>
    <w:p w:rsidR="0037463E" w:rsidRPr="0037463E" w:rsidP="00D1145D" w14:paraId="0F76AD01" w14:textId="52E6D09B">
      <w:pPr>
        <w:pStyle w:val="Bodytext2"/>
        <w:rPr>
          <w:lang w:val="fi-FI"/>
        </w:rPr>
      </w:pPr>
      <w:r w:rsidRPr="009166DC">
        <w:rPr>
          <w:lang w:val="fi-FI"/>
        </w:rPr>
        <w:t>Ohjelman 2021–2023 myöntämispäivän mukaisesti määritetty käypä arvo kirjanpitoa varten on 8,42 euroa.</w:t>
      </w:r>
    </w:p>
    <w:p w:rsidR="00141345" w:rsidRPr="006F03EC" w:rsidP="002C03BF" w14:paraId="25BB9BB1" w14:textId="77777777">
      <w:pPr>
        <w:pStyle w:val="Bodytext2"/>
        <w:rPr>
          <w:lang w:val="fi-FI"/>
        </w:rPr>
      </w:pPr>
    </w:p>
    <w:tbl>
      <w:tblPr>
        <w:tblStyle w:val="TableNormal"/>
        <w:tblCaption w:val="Table_Personnel"/>
        <w:tblW w:w="7320" w:type="dxa"/>
        <w:tblLayout w:type="fixed"/>
        <w:tblLook w:val="0600"/>
      </w:tblPr>
      <w:tblGrid>
        <w:gridCol w:w="4830"/>
        <w:gridCol w:w="1245"/>
        <w:gridCol w:w="1245"/>
      </w:tblGrid>
      <w:tr>
        <w:tblPrEx>
          <w:tblW w:w="7320" w:type="dxa"/>
          <w:tblLayout w:type="fixed"/>
          <w:tblLook w:val="0600"/>
        </w:tblPrEx>
        <w:trPr>
          <w:trHeight w:hRule="exact" w:val="240"/>
        </w:trPr>
        <w:tc>
          <w:tcPr>
            <w:tcW w:w="4830"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 xml:space="preserve">Henkilöstö keskimäärin </w:t>
            </w:r>
          </w:p>
        </w:tc>
        <w:tc>
          <w:tcPr>
            <w:tcW w:w="12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17 461</w:t>
            </w:r>
          </w:p>
        </w:tc>
        <w:tc>
          <w:tcPr>
            <w:tcW w:w="12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18 307</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Henkilöstö tilikauden lopussa</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17 305</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17 792</w:t>
            </w:r>
          </w:p>
        </w:tc>
      </w:tr>
    </w:tbl>
    <w:p/>
    <w:p w:rsidR="005B648E" w:rsidP="005B648E" w14:paraId="1883ED51" w14:textId="70A39453">
      <w:pPr>
        <w:pStyle w:val="Heading12"/>
      </w:pPr>
      <w:bookmarkStart w:id="1456" w:name="RG_MARKER_7433"/>
      <w:r>
        <w:t>2.6. TULOVEROT</w:t>
      </w:r>
      <w:bookmarkEnd w:id="1456"/>
    </w:p>
    <w:tbl>
      <w:tblPr>
        <w:tblStyle w:val="TableGrid"/>
        <w:tblW w:w="7371" w:type="dxa"/>
        <w:tblLook w:val="04A0"/>
      </w:tblPr>
      <w:tblGrid>
        <w:gridCol w:w="7371"/>
      </w:tblGrid>
      <w:tr w14:paraId="77EFC148" w14:textId="77777777" w:rsidTr="005B648E">
        <w:tblPrEx>
          <w:tblW w:w="7371" w:type="dxa"/>
          <w:tblLook w:val="04A0"/>
        </w:tblPrEx>
        <w:tc>
          <w:tcPr>
            <w:tcW w:w="7371" w:type="dxa"/>
            <w:tcBorders>
              <w:top w:val="nil"/>
              <w:left w:val="nil"/>
              <w:bottom w:val="nil"/>
              <w:right w:val="nil"/>
            </w:tcBorders>
            <w:shd w:val="clear" w:color="auto" w:fill="B6C8D1"/>
          </w:tcPr>
          <w:p w:rsidR="005B648E" w:rsidRPr="000633DC" w14:paraId="1833FD9E" w14:textId="6E4CB9BB">
            <w:pPr>
              <w:pStyle w:val="Heading13"/>
              <w:rPr>
                <w:rFonts w:eastAsiaTheme="minorEastAsia" w:cstheme="minorHAnsi"/>
                <w:lang w:val="fi-FI" w:eastAsia="fi-FI"/>
              </w:rPr>
            </w:pPr>
            <w:r w:rsidRPr="000633DC">
              <w:rPr>
                <w:lang w:val="fi-FI"/>
              </w:rPr>
              <w:t>Laadintaperiaatteet</w:t>
            </w:r>
          </w:p>
          <w:p w:rsidR="005B648E" w:rsidRPr="0044773C" w:rsidP="005B648E" w14:paraId="2D1022B0" w14:textId="75E9B335">
            <w:pPr>
              <w:pStyle w:val="Bodytext2"/>
              <w:rPr>
                <w:rFonts w:eastAsiaTheme="minorEastAsia"/>
                <w:lang w:val="fi-FI" w:eastAsia="fi-FI"/>
              </w:rPr>
            </w:pPr>
            <w:r w:rsidRPr="005B648E">
              <w:rPr>
                <w:rFonts w:eastAsiaTheme="minorEastAsia"/>
                <w:lang w:val="fi-FI" w:eastAsia="fi-FI"/>
              </w:rPr>
              <w:t xml:space="preserve">Tuloslaskelman verokulu sisältää konserniyhtiöiden tilikauden verotettavasta tuloksesta paikallisten </w:t>
            </w:r>
            <w:r w:rsidRPr="0044773C">
              <w:rPr>
                <w:rFonts w:eastAsiaTheme="minorEastAsia"/>
                <w:lang w:val="fi-FI" w:eastAsia="fi-FI"/>
              </w:rPr>
              <w:t>säännösten mukaan maksettavaksi tulevat</w:t>
            </w:r>
            <w:r w:rsidRPr="0044773C">
              <w:rPr>
                <w:rFonts w:eastAsiaTheme="minorEastAsia"/>
                <w:lang w:val="fi-FI" w:eastAsia="fi-FI"/>
              </w:rPr>
              <w:t xml:space="preserve"> verot, aikaisempien tilikausien verojen oikaisut sekä laskennallisten verojen muutoksen. Tulosvaikutteisesti kirjattaviin liiketoimiin ja muihin tapahtumiin liittyvät verovaikutukset kirjataan tuloslaskelmaan. Muihin laajan tuloksen eriin tai suoraan omaa</w:t>
            </w:r>
            <w:r w:rsidRPr="0044773C">
              <w:rPr>
                <w:rFonts w:eastAsiaTheme="minorEastAsia"/>
                <w:lang w:val="fi-FI" w:eastAsia="fi-FI"/>
              </w:rPr>
              <w:t>n pääomaan kirjattaviin liiketoimiin tai muihin tapahtumiin liittyvät verovaikutukset kirjataan myös vastaavasti joko muihin laajan tuloksen eriin tai suoraan omaan pääomaan.</w:t>
            </w:r>
          </w:p>
          <w:p w:rsidR="005B648E" w:rsidRPr="0044773C" w:rsidP="005B648E" w14:paraId="5F0F871D" w14:textId="77777777">
            <w:pPr>
              <w:pStyle w:val="Bodytext2"/>
              <w:rPr>
                <w:rFonts w:eastAsiaTheme="minorEastAsia"/>
                <w:lang w:val="fi-FI" w:eastAsia="fi-FI"/>
              </w:rPr>
            </w:pPr>
          </w:p>
          <w:p w:rsidR="000633DC" w:rsidRPr="00FB331E" w:rsidP="000633DC" w14:paraId="6EA98211" w14:textId="02B96669">
            <w:pPr>
              <w:pStyle w:val="Bodytext2"/>
              <w:rPr>
                <w:lang w:val="fi-FI"/>
              </w:rPr>
            </w:pPr>
            <w:r>
              <w:rPr>
                <w:lang w:val="fi-FI"/>
              </w:rPr>
              <w:t>Kauden v</w:t>
            </w:r>
            <w:r w:rsidRPr="0044773C">
              <w:rPr>
                <w:lang w:val="fi-FI"/>
              </w:rPr>
              <w:t xml:space="preserve">erokulu on laskettu tilinpäätöspäivänä voimassa olevien </w:t>
            </w:r>
            <w:r>
              <w:rPr>
                <w:lang w:val="fi-FI"/>
              </w:rPr>
              <w:t>tai jo hyväksytt</w:t>
            </w:r>
            <w:r>
              <w:rPr>
                <w:lang w:val="fi-FI"/>
              </w:rPr>
              <w:t>yjen, mutta ei vielä lainvoimaisten</w:t>
            </w:r>
            <w:r w:rsidRPr="0044773C">
              <w:rPr>
                <w:lang w:val="fi-FI"/>
              </w:rPr>
              <w:t xml:space="preserve"> verolakien perusteella niissä maissa, joissa konserniyhtiöt operoivat ja joissa niillä on verotettavaa tuloa.</w:t>
            </w:r>
          </w:p>
        </w:tc>
      </w:tr>
    </w:tbl>
    <w:p w:rsidR="005B648E" w:rsidP="005B648E" w14:paraId="43D6D1C8" w14:textId="0592A583">
      <w:pPr>
        <w:pStyle w:val="Bodytext2"/>
      </w:pPr>
    </w:p>
    <w:tbl>
      <w:tblPr>
        <w:tblStyle w:val="TableGrid"/>
        <w:tblW w:w="7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7DFE1"/>
        <w:tblLook w:val="04A0"/>
      </w:tblPr>
      <w:tblGrid>
        <w:gridCol w:w="7371"/>
      </w:tblGrid>
      <w:tr w14:paraId="517C25C0" w14:textId="77777777" w:rsidTr="00FB331E">
        <w:tblPrEx>
          <w:tblW w:w="7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7DFE1"/>
          <w:tblLook w:val="04A0"/>
        </w:tblPrEx>
        <w:tc>
          <w:tcPr>
            <w:tcW w:w="7360" w:type="dxa"/>
            <w:shd w:val="clear" w:color="auto" w:fill="D7DFE1"/>
          </w:tcPr>
          <w:p w:rsidR="00FB331E" w:rsidRPr="00EE6753" w:rsidP="00FB331E" w14:paraId="7C9C05A6" w14:textId="77777777">
            <w:pPr>
              <w:pStyle w:val="Heading13"/>
              <w:rPr>
                <w:rFonts w:eastAsiaTheme="minorEastAsia" w:cstheme="minorHAnsi"/>
                <w:lang w:val="fi-FI" w:eastAsia="fi-FI"/>
              </w:rPr>
            </w:pPr>
            <w:r>
              <w:rPr>
                <w:lang w:val="fi-FI"/>
              </w:rPr>
              <w:t>Kirjanpidolliset arviot ja harkinnat</w:t>
            </w:r>
          </w:p>
          <w:p w:rsidR="00FB331E" w:rsidP="00FB331E" w14:paraId="659CF552" w14:textId="0891AE5D">
            <w:pPr>
              <w:pStyle w:val="Bodytext2"/>
            </w:pPr>
            <w:r w:rsidRPr="000633DC">
              <w:rPr>
                <w:lang w:val="fi-FI"/>
              </w:rPr>
              <w:t xml:space="preserve">Konserni on velvollinen maksamaan tuloveroja usean toimivallan alueella, joten tuloverojen ja verovelkojen laskenta edellyttää harkintaa ja arviointia. </w:t>
            </w:r>
            <w:r w:rsidRPr="000633DC">
              <w:rPr>
                <w:rFonts w:eastAsiaTheme="minorEastAsia"/>
                <w:lang w:val="fi-FI" w:eastAsia="fi-FI"/>
              </w:rPr>
              <w:t>Johto</w:t>
            </w:r>
            <w:r>
              <w:rPr>
                <w:rFonts w:eastAsiaTheme="minorEastAsia"/>
                <w:lang w:val="fi-FI" w:eastAsia="fi-FI"/>
              </w:rPr>
              <w:t xml:space="preserve"> pyrkii t</w:t>
            </w:r>
            <w:r w:rsidRPr="000633DC">
              <w:rPr>
                <w:rFonts w:eastAsiaTheme="minorEastAsia"/>
                <w:lang w:val="fi-FI" w:eastAsia="fi-FI"/>
              </w:rPr>
              <w:t xml:space="preserve">uloveropositioiden </w:t>
            </w:r>
            <w:r>
              <w:rPr>
                <w:rFonts w:eastAsiaTheme="minorEastAsia"/>
                <w:lang w:val="fi-FI" w:eastAsia="fi-FI"/>
              </w:rPr>
              <w:t xml:space="preserve">säännöllisellä </w:t>
            </w:r>
            <w:r w:rsidRPr="000633DC">
              <w:rPr>
                <w:rFonts w:eastAsiaTheme="minorEastAsia"/>
                <w:lang w:val="fi-FI" w:eastAsia="fi-FI"/>
              </w:rPr>
              <w:t xml:space="preserve">arvioinnilla tunnistamaan tilanteet, joihin liittyy verosäännösten tulkintaan liittyvää epävarmuutta. Epävarmoihin veropositioihin liittyvät varaukset kirjataan, kun pidetään todennäköisenä, että veroviranomaiset eivät tule hyväksymään positioita. </w:t>
            </w:r>
            <w:r w:rsidRPr="000633DC">
              <w:rPr>
                <w:rFonts w:eastAsiaTheme="minorEastAsia"/>
                <w:lang w:eastAsia="fi-FI"/>
              </w:rPr>
              <w:t>Kirjattu</w:t>
            </w:r>
            <w:r w:rsidRPr="000633DC">
              <w:rPr>
                <w:rFonts w:eastAsiaTheme="minorEastAsia"/>
                <w:lang w:eastAsia="fi-FI"/>
              </w:rPr>
              <w:t xml:space="preserve"> </w:t>
            </w:r>
            <w:r w:rsidRPr="000633DC">
              <w:rPr>
                <w:rFonts w:eastAsiaTheme="minorEastAsia"/>
                <w:lang w:eastAsia="fi-FI"/>
              </w:rPr>
              <w:t>varaus</w:t>
            </w:r>
            <w:r w:rsidRPr="000633DC">
              <w:rPr>
                <w:rFonts w:eastAsiaTheme="minorEastAsia"/>
                <w:lang w:eastAsia="fi-FI"/>
              </w:rPr>
              <w:t xml:space="preserve"> </w:t>
            </w:r>
            <w:r w:rsidRPr="000633DC">
              <w:rPr>
                <w:rFonts w:eastAsiaTheme="minorEastAsia"/>
                <w:lang w:eastAsia="fi-FI"/>
              </w:rPr>
              <w:t>perustuu</w:t>
            </w:r>
            <w:r w:rsidRPr="000633DC">
              <w:rPr>
                <w:rFonts w:eastAsiaTheme="minorEastAsia"/>
                <w:lang w:eastAsia="fi-FI"/>
              </w:rPr>
              <w:t xml:space="preserve"> </w:t>
            </w:r>
            <w:r w:rsidRPr="000633DC">
              <w:rPr>
                <w:rFonts w:eastAsiaTheme="minorEastAsia"/>
                <w:lang w:eastAsia="fi-FI"/>
              </w:rPr>
              <w:t>arvioon</w:t>
            </w:r>
            <w:r w:rsidRPr="000633DC">
              <w:rPr>
                <w:rFonts w:eastAsiaTheme="minorEastAsia"/>
                <w:lang w:eastAsia="fi-FI"/>
              </w:rPr>
              <w:t xml:space="preserve"> </w:t>
            </w:r>
            <w:r w:rsidRPr="000633DC">
              <w:rPr>
                <w:rFonts w:eastAsiaTheme="minorEastAsia"/>
                <w:lang w:eastAsia="fi-FI"/>
              </w:rPr>
              <w:t>veroviranomaisille</w:t>
            </w:r>
            <w:r w:rsidRPr="000633DC">
              <w:rPr>
                <w:rFonts w:eastAsiaTheme="minorEastAsia"/>
                <w:lang w:eastAsia="fi-FI"/>
              </w:rPr>
              <w:t xml:space="preserve"> </w:t>
            </w:r>
            <w:r w:rsidRPr="000633DC">
              <w:rPr>
                <w:rFonts w:eastAsiaTheme="minorEastAsia"/>
                <w:lang w:eastAsia="fi-FI"/>
              </w:rPr>
              <w:t>maksettavien</w:t>
            </w:r>
            <w:r w:rsidRPr="000633DC">
              <w:rPr>
                <w:rFonts w:eastAsiaTheme="minorEastAsia"/>
                <w:lang w:eastAsia="fi-FI"/>
              </w:rPr>
              <w:t xml:space="preserve"> </w:t>
            </w:r>
            <w:r w:rsidRPr="000633DC">
              <w:rPr>
                <w:rFonts w:eastAsiaTheme="minorEastAsia"/>
                <w:lang w:eastAsia="fi-FI"/>
              </w:rPr>
              <w:t>lopullisten</w:t>
            </w:r>
            <w:r w:rsidRPr="000633DC">
              <w:rPr>
                <w:rFonts w:eastAsiaTheme="minorEastAsia"/>
                <w:lang w:eastAsia="fi-FI"/>
              </w:rPr>
              <w:t xml:space="preserve"> </w:t>
            </w:r>
            <w:r w:rsidRPr="000633DC">
              <w:rPr>
                <w:rFonts w:eastAsiaTheme="minorEastAsia"/>
                <w:lang w:eastAsia="fi-FI"/>
              </w:rPr>
              <w:t>verojen</w:t>
            </w:r>
            <w:r w:rsidRPr="000633DC">
              <w:rPr>
                <w:rFonts w:eastAsiaTheme="minorEastAsia"/>
                <w:lang w:eastAsia="fi-FI"/>
              </w:rPr>
              <w:t xml:space="preserve"> </w:t>
            </w:r>
            <w:r w:rsidRPr="000633DC">
              <w:rPr>
                <w:rFonts w:eastAsiaTheme="minorEastAsia"/>
                <w:lang w:eastAsia="fi-FI"/>
              </w:rPr>
              <w:t>määrästä</w:t>
            </w:r>
            <w:r w:rsidRPr="000633DC">
              <w:rPr>
                <w:rFonts w:eastAsiaTheme="minorEastAsia"/>
                <w:lang w:eastAsia="fi-FI"/>
              </w:rPr>
              <w:t>.</w:t>
            </w:r>
          </w:p>
        </w:tc>
      </w:tr>
    </w:tbl>
    <w:p w:rsidR="00FB331E" w:rsidP="005B648E" w14:paraId="5E1DF5AF" w14:textId="77777777">
      <w:pPr>
        <w:pStyle w:val="Bodytext2"/>
      </w:pPr>
    </w:p>
    <w:tbl>
      <w:tblPr>
        <w:tblStyle w:val="TableNormal"/>
        <w:tblCaption w:val="table_income_taxes"/>
        <w:tblW w:w="7320" w:type="dxa"/>
        <w:tblLayout w:type="fixed"/>
        <w:tblLook w:val="0600"/>
      </w:tblPr>
      <w:tblGrid>
        <w:gridCol w:w="4830"/>
        <w:gridCol w:w="1245"/>
        <w:gridCol w:w="1245"/>
      </w:tblGrid>
      <w:tr>
        <w:tblPrEx>
          <w:tblW w:w="7320" w:type="dxa"/>
          <w:tblLayout w:type="fixed"/>
          <w:tblLook w:val="0600"/>
        </w:tblPrEx>
        <w:trPr>
          <w:trHeight w:hRule="exact" w:val="240"/>
        </w:trPr>
        <w:tc>
          <w:tcPr>
            <w:tcW w:w="48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Tuloverot</w:t>
            </w:r>
          </w:p>
        </w:tc>
        <w:tc>
          <w:tcPr>
            <w:tcW w:w="12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tilikaudelta</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-88</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-107</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edellisiltä tilikausilta</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Laskennallisten verojen muutos</w:t>
            </w: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syntyneet ja purkautuneet väliaikaiset erot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nil"/>
              <w:left w:val="nil"/>
              <w:bottom w:val="single" w:sz="8" w:space="0" w:color="0F172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verokantojen muutoksen vaikutus</w:t>
            </w:r>
          </w:p>
        </w:tc>
        <w:tc>
          <w:tcPr>
            <w:tcW w:w="1245" w:type="dxa"/>
            <w:tcBorders>
              <w:top w:val="nil"/>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245" w:type="dxa"/>
            <w:tcBorders>
              <w:top w:val="nil"/>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2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-103</w:t>
            </w:r>
          </w:p>
        </w:tc>
        <w:tc>
          <w:tcPr>
            <w:tcW w:w="12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-58</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Efektiivisen verokannan täsmäytyslaskelma:</w:t>
            </w: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Tulos ennen veroja</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296</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Verot laskettuna emoyhtiön verokannalla 20,0%</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-59</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-38</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Verokannan muutoksen vaikutus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Ulkomaisten tytäryhtiöiden eriävien verokantojen vaikutus</w:t>
            </w: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Verovapaiden tulojen ja vähennyskelvottomien kulujen vaikutus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Osakkuus- ja yhteisyritysten tulosten vaikutus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Kirjaamattomien verotappioiden hyödyntäminen</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Käyttämättömät tilikauden tappiot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verot*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jaksotuserot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Tuloverot edellisiltä tilikausilta</w:t>
            </w:r>
          </w:p>
        </w:tc>
        <w:tc>
          <w:tcPr>
            <w:tcW w:w="12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c>
          <w:tcPr>
            <w:tcW w:w="12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Konsernin tuloslaskelmaan kirjatut verot</w:t>
            </w:r>
          </w:p>
        </w:tc>
        <w:tc>
          <w:tcPr>
            <w:tcW w:w="12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-103</w:t>
            </w:r>
          </w:p>
        </w:tc>
        <w:tc>
          <w:tcPr>
            <w:tcW w:w="12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-58</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Efektiivinen verokanta (%)</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34,7</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30,3</w:t>
            </w:r>
          </w:p>
        </w:tc>
      </w:tr>
    </w:tbl>
    <w:p w:rsidR="005B648E" w:rsidRPr="000633DC" w:rsidP="005B648E" w14:paraId="1CCEDF78" w14:textId="77777777">
      <w:pPr>
        <w:pStyle w:val="Bodytext2"/>
        <w:rPr>
          <w:lang w:val="fi-FI"/>
        </w:rPr>
      </w:pPr>
    </w:p>
    <w:p w:rsidR="005B648E" w:rsidRPr="005B648E" w:rsidP="005B648E" w14:paraId="7310AEDB" w14:textId="77777777">
      <w:pPr>
        <w:pStyle w:val="Bodytext2"/>
        <w:rPr>
          <w:lang w:val="fi-FI"/>
        </w:rPr>
      </w:pPr>
      <w:r w:rsidRPr="005B648E">
        <w:rPr>
          <w:lang w:val="fi-FI"/>
        </w:rPr>
        <w:t xml:space="preserve">* Muut </w:t>
      </w:r>
      <w:r w:rsidRPr="005B648E">
        <w:rPr>
          <w:lang w:val="fi-FI"/>
        </w:rPr>
        <w:t>verot koostuvat pääosin hyödyntämättä jääneistä lähdeveroista ja muista kuin suoraan verotettavaan tuloon perustuvista veroista.</w:t>
      </w:r>
    </w:p>
    <w:p w:rsidR="005B648E" w:rsidRPr="005B648E" w:rsidP="005B648E" w14:paraId="08F921FE" w14:textId="77777777">
      <w:pPr>
        <w:pStyle w:val="Bodytext2"/>
        <w:rPr>
          <w:lang w:val="fi-FI"/>
        </w:rPr>
      </w:pPr>
    </w:p>
    <w:p w:rsidR="005B648E" w:rsidP="005B648E" w14:paraId="70123D0F" w14:textId="2F8D5C7B">
      <w:pPr>
        <w:pStyle w:val="Bodytext2"/>
        <w:rPr>
          <w:lang w:val="fi-FI"/>
        </w:rPr>
      </w:pPr>
      <w:r w:rsidRPr="005B648E">
        <w:rPr>
          <w:lang w:val="fi-FI"/>
        </w:rPr>
        <w:t>Muihin laajan tuloksen eriin liittyvät tuloverot esitetään Laajassa tuloslaskelmassa. Laskennallisten verosaamisten ja -velkoj</w:t>
      </w:r>
      <w:r w:rsidRPr="005B648E">
        <w:rPr>
          <w:lang w:val="fi-FI"/>
        </w:rPr>
        <w:t>en muutokset esitetään liitetiedossa 4.</w:t>
      </w:r>
      <w:r>
        <w:rPr>
          <w:lang w:val="fi-FI"/>
        </w:rPr>
        <w:t>6.</w:t>
      </w:r>
      <w:r w:rsidRPr="005B648E">
        <w:rPr>
          <w:lang w:val="fi-FI"/>
        </w:rPr>
        <w:t xml:space="preserve"> Laskennalliset verot.</w:t>
      </w:r>
    </w:p>
    <w:p w:rsidR="005B648E" w:rsidRPr="005B648E" w:rsidP="005B648E" w14:paraId="1B825BED" w14:textId="77777777">
      <w:pPr>
        <w:pStyle w:val="Bodytext2"/>
        <w:rPr>
          <w:lang w:val="fi-FI"/>
        </w:rPr>
      </w:pPr>
    </w:p>
    <w:p w:rsidR="004A0DF2" w:rsidRPr="005B648E" w:rsidP="005B648E" w14:textId="06BD5CF7">
      <w:pPr>
        <w:pStyle w:val="Bodytext2"/>
        <w:rPr>
          <w:lang w:val="fi-FI"/>
        </w:rPr>
      </w:pPr>
      <w:r w:rsidRPr="005B648E">
        <w:rPr>
          <w:lang w:val="fi-FI"/>
        </w:rPr>
        <w:t>Wärtsilässä on vireillä verotarkastuksia joissakin maissa, mistä voi aiheutua jälkiveropäätöksiä ja niistä johtuvia veroja liitännäismaksuineen.</w:t>
      </w:r>
    </w:p>
    <w:p/>
    <w:p w:rsidR="007D68A5" w:rsidRPr="001819C2" w:rsidP="007D68A5" w14:paraId="16A5BAA9" w14:textId="7C9309C4">
      <w:pPr>
        <w:pStyle w:val="Heading12"/>
        <w:rPr>
          <w:lang w:val="fi-FI"/>
        </w:rPr>
      </w:pPr>
      <w:bookmarkStart w:id="1457" w:name="RG_MARKER_7434"/>
      <w:r w:rsidRPr="001819C2">
        <w:rPr>
          <w:lang w:val="fi-FI"/>
        </w:rPr>
        <w:t>2.7. OSAKEKOHTAINEN TULOS</w:t>
      </w:r>
      <w:bookmarkEnd w:id="1457"/>
    </w:p>
    <w:p w:rsidR="00467635" w:rsidP="007D68A5" w14:paraId="5A653456" w14:textId="5641E673">
      <w:pPr>
        <w:pStyle w:val="Bodytext2"/>
        <w:rPr>
          <w:szCs w:val="15"/>
          <w:lang w:val="fi-FI"/>
        </w:rPr>
      </w:pPr>
      <w:r w:rsidRPr="007D68A5">
        <w:rPr>
          <w:szCs w:val="15"/>
          <w:lang w:val="fi-FI"/>
        </w:rPr>
        <w:t xml:space="preserve">Osakekohtainen tulos lasketaan jakamalla emoyhtiön osakkeenomistajille kuuluva tilikauden tulos </w:t>
      </w:r>
      <w:r>
        <w:rPr>
          <w:szCs w:val="15"/>
          <w:lang w:val="fi-FI"/>
        </w:rPr>
        <w:t>u</w:t>
      </w:r>
      <w:r w:rsidRPr="00467635">
        <w:rPr>
          <w:szCs w:val="15"/>
          <w:lang w:val="fi-FI"/>
        </w:rPr>
        <w:t>lkona olevien osakkeiden lukumäärän painotet</w:t>
      </w:r>
      <w:r>
        <w:rPr>
          <w:szCs w:val="15"/>
          <w:lang w:val="fi-FI"/>
        </w:rPr>
        <w:t>ulla</w:t>
      </w:r>
      <w:r w:rsidRPr="00467635">
        <w:rPr>
          <w:szCs w:val="15"/>
          <w:lang w:val="fi-FI"/>
        </w:rPr>
        <w:t xml:space="preserve"> keskiarvo</w:t>
      </w:r>
      <w:r>
        <w:rPr>
          <w:szCs w:val="15"/>
          <w:lang w:val="fi-FI"/>
        </w:rPr>
        <w:t>lla kauden aikana.</w:t>
      </w:r>
    </w:p>
    <w:p w:rsidR="00467635" w:rsidP="007D68A5" w14:paraId="13788651" w14:textId="11C57BB0">
      <w:pPr>
        <w:pStyle w:val="Bodytext2"/>
        <w:rPr>
          <w:szCs w:val="15"/>
          <w:lang w:val="fi-FI"/>
        </w:rPr>
      </w:pPr>
    </w:p>
    <w:p w:rsidR="00467635" w:rsidRPr="00546D29" w:rsidP="00E5549C" w14:paraId="1455E338" w14:textId="77777777">
      <w:pPr>
        <w:pStyle w:val="Heading13"/>
        <w:rPr>
          <w:lang w:val="fi-FI"/>
        </w:rPr>
      </w:pPr>
      <w:r w:rsidRPr="00546D29">
        <w:rPr>
          <w:lang w:val="fi-FI"/>
        </w:rPr>
        <w:t xml:space="preserve">Omana pääomana maksettavat </w:t>
      </w:r>
      <w:r w:rsidRPr="00546D29">
        <w:rPr>
          <w:lang w:val="fi-FI"/>
        </w:rPr>
        <w:t>osakeperusteiset maksut</w:t>
      </w:r>
    </w:p>
    <w:p w:rsidR="00467635" w:rsidRPr="00546D29" w:rsidP="00467635" w14:paraId="6026D37F" w14:textId="3F9F246B">
      <w:pPr>
        <w:pStyle w:val="Bodytext2"/>
        <w:rPr>
          <w:lang w:val="fi-FI"/>
        </w:rPr>
      </w:pPr>
      <w:r w:rsidRPr="00546D29">
        <w:rPr>
          <w:lang w:val="fi-FI"/>
        </w:rPr>
        <w:t>Wärtsilällä on pitkäaikaisia palkitsemisjärjestelmiä, jotka voidaan suorittaa osakkeina. Nämä ehdollisesti liikkeeseen laskettavat osakkeet lasketaan liikkeeseen, kun tietyt ennaltamääritellyt ehdot palkitsemisjärjestelmässä täyttyv</w:t>
      </w:r>
      <w:r w:rsidRPr="00546D29">
        <w:rPr>
          <w:lang w:val="fi-FI"/>
        </w:rPr>
        <w:t>ät palkitsemisjärjestelmän ehdoissa asetetun aikaikkunan puitteissa. Jos suoritus tapahtuisi raportointipäivänä, siitä seuraisi 1</w:t>
      </w:r>
      <w:r>
        <w:rPr>
          <w:lang w:val="fi-FI"/>
        </w:rPr>
        <w:t>.</w:t>
      </w:r>
      <w:r w:rsidRPr="00546D29">
        <w:rPr>
          <w:lang w:val="fi-FI"/>
        </w:rPr>
        <w:t>326</w:t>
      </w:r>
      <w:r>
        <w:rPr>
          <w:lang w:val="fi-FI"/>
        </w:rPr>
        <w:t>.</w:t>
      </w:r>
      <w:r w:rsidRPr="00546D29">
        <w:rPr>
          <w:lang w:val="fi-FI"/>
        </w:rPr>
        <w:t>045 osakkeen liikkeeseenlasku. Näitä osakkeita pidetään potentiaalisina kantaosakkeina, joilla on laimentava vaikutus EPS:</w:t>
      </w:r>
      <w:r w:rsidRPr="00546D29">
        <w:rPr>
          <w:lang w:val="fi-FI"/>
        </w:rPr>
        <w:t>iin.</w:t>
      </w:r>
    </w:p>
    <w:p w:rsidR="007D68A5" w:rsidRPr="001819C2" w:rsidP="007D68A5" w14:paraId="525E0F47" w14:textId="77777777">
      <w:pPr>
        <w:pStyle w:val="Bodytext2"/>
        <w:rPr>
          <w:sz w:val="18"/>
          <w:szCs w:val="22"/>
          <w:lang w:val="fi-FI"/>
        </w:rPr>
      </w:pPr>
    </w:p>
    <w:tbl>
      <w:tblPr>
        <w:tblStyle w:val="TableNormal"/>
        <w:tblCaption w:val="table_EPS"/>
        <w:tblW w:w="7365" w:type="dxa"/>
        <w:tblLayout w:type="fixed"/>
        <w:tblLook w:val="0600"/>
      </w:tblPr>
      <w:tblGrid>
        <w:gridCol w:w="4845"/>
        <w:gridCol w:w="1260"/>
        <w:gridCol w:w="1260"/>
      </w:tblGrid>
      <w:tr>
        <w:tblPrEx>
          <w:tblW w:w="7365" w:type="dxa"/>
          <w:tblLayout w:type="fixed"/>
          <w:tblLook w:val="0600"/>
        </w:tblPrEx>
        <w:trPr>
          <w:trHeight w:hRule="exact" w:val="240"/>
        </w:trPr>
        <w:tc>
          <w:tcPr>
            <w:tcW w:w="48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6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26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45"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Emoyhtiön osakkeenomistajille kuuluva tilikauden tulos</w:t>
            </w:r>
          </w:p>
        </w:tc>
        <w:tc>
          <w:tcPr>
            <w:tcW w:w="126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194</w:t>
            </w:r>
          </w:p>
        </w:tc>
        <w:tc>
          <w:tcPr>
            <w:tcW w:w="126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6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6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4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Ulkona olevien osakkeiden lukumäärän painotettu keskiarvo kauden aikana</w:t>
            </w:r>
          </w:p>
        </w:tc>
        <w:tc>
          <w:tcPr>
            <w:tcW w:w="126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590 579 335</w:t>
            </w:r>
          </w:p>
        </w:tc>
        <w:tc>
          <w:tcPr>
            <w:tcW w:w="126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591 723 390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45"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Laimentavien potentiaalisten kantaosakkeiden lukumäärän painotettu keskiarvo kauden aikana</w:t>
            </w:r>
          </w:p>
        </w:tc>
        <w:tc>
          <w:tcPr>
            <w:tcW w:w="126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1 326 045</w:t>
            </w:r>
          </w:p>
        </w:tc>
        <w:tc>
          <w:tcPr>
            <w:tcW w:w="126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45"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Laimennetun EPS:in laskennassa käytettävä ulkona olevien osakkeiden lukumäärän painotettu keskiarvo kauden aikana</w:t>
            </w:r>
          </w:p>
        </w:tc>
        <w:tc>
          <w:tcPr>
            <w:tcW w:w="126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591 905 380</w:t>
            </w:r>
          </w:p>
        </w:tc>
        <w:tc>
          <w:tcPr>
            <w:tcW w:w="126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6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6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4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Emoyhtiön osakkeenomistajille kuuluva osakekohtainen tulos:</w:t>
            </w:r>
          </w:p>
        </w:tc>
        <w:tc>
          <w:tcPr>
            <w:tcW w:w="126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6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4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Tulos/osake (EPS), laimentamaton, euroa</w:t>
            </w:r>
          </w:p>
        </w:tc>
        <w:tc>
          <w:tcPr>
            <w:tcW w:w="126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0,33</w:t>
            </w:r>
          </w:p>
        </w:tc>
        <w:tc>
          <w:tcPr>
            <w:tcW w:w="126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0,23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4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Tulos/osake (EPS), laimennettu, euroa</w:t>
            </w:r>
          </w:p>
        </w:tc>
        <w:tc>
          <w:tcPr>
            <w:tcW w:w="126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0,33</w:t>
            </w:r>
          </w:p>
        </w:tc>
        <w:tc>
          <w:tcPr>
            <w:tcW w:w="126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r>
    </w:tbl>
    <w:p w:rsidR="007D68A5" w:rsidRPr="001819C2" w:rsidP="007D68A5" w14:paraId="4C495A63" w14:textId="77777777">
      <w:pPr>
        <w:pStyle w:val="Bodytext2"/>
        <w:rPr>
          <w:szCs w:val="15"/>
          <w:lang w:val="fi-FI"/>
        </w:rPr>
      </w:pPr>
    </w:p>
    <w:p w:rsidR="00012998" w:rsidRPr="00012998" w:rsidP="00012998" w14:textId="668BBD6D">
      <w:pPr>
        <w:pStyle w:val="Bodytext2"/>
        <w:spacing w:before="0"/>
        <w:rPr>
          <w:sz w:val="2"/>
          <w:szCs w:val="2"/>
          <w:lang w:val="fi-FI"/>
        </w:rPr>
      </w:pPr>
      <w:r w:rsidRPr="007D68A5">
        <w:rPr>
          <w:lang w:val="fi-FI"/>
        </w:rPr>
        <w:t xml:space="preserve">Lisätietoja osakkeiden lukumäärästä esitetään liitetiedossa </w:t>
      </w:r>
      <w:r>
        <w:rPr>
          <w:lang w:val="fi-FI"/>
        </w:rPr>
        <w:t>5.5</w:t>
      </w:r>
      <w:r w:rsidRPr="007D68A5">
        <w:rPr>
          <w:lang w:val="fi-FI"/>
        </w:rPr>
        <w:t>. Oma pääoma.</w:t>
      </w:r>
      <w:r>
        <w:rPr>
          <w:lang w:val="fi-FI"/>
        </w:rPr>
        <w:br w:type="page"/>
      </w:r>
    </w:p>
    <w:p w:rsidR="004A0DF2" w:rsidRPr="007D68A5" w:rsidP="007D68A5" w14:paraId="19EEE5ED" w14:textId="77777777">
      <w:pPr>
        <w:pStyle w:val="Bodytext2"/>
        <w:rPr>
          <w:sz w:val="2"/>
          <w:szCs w:val="2"/>
          <w:lang w:val="fi-FI"/>
        </w:rPr>
      </w:pPr>
      <w:r>
        <w:t xml:space="preserve"> </w:t>
      </w:r>
    </w:p>
    <w:p w:rsidR="000D0BF2" w:rsidP="000B7B5D" w14:paraId="45007402" w14:textId="77777777">
      <w:pPr>
        <w:pStyle w:val="Heading11"/>
        <w:rPr>
          <w:lang w:val="fi-FI"/>
        </w:rPr>
      </w:pPr>
      <w:bookmarkStart w:id="1458" w:name="RG_MARKER_7256"/>
      <w:bookmarkStart w:id="1459" w:name="RG_MARKER_7452"/>
      <w:r>
        <w:rPr>
          <w:noProof/>
          <w:lang w:val="fi-FI"/>
        </w:rPr>
        <w:drawing>
          <wp:anchor distT="0" distB="0" distL="114300" distR="114300" simplePos="0" relativeHeight="251703296" behindDoc="1" locked="0" layoutInCell="1" allowOverlap="1">
            <wp:simplePos x="0" y="0"/>
            <wp:positionH relativeFrom="page">
              <wp:posOffset>0</wp:posOffset>
            </wp:positionH>
            <wp:positionV relativeFrom="page">
              <wp:posOffset>1155700</wp:posOffset>
            </wp:positionV>
            <wp:extent cx="5115600" cy="5580000"/>
            <wp:effectExtent l="0" t="0" r="8890" b="1905"/>
            <wp:wrapNone/>
            <wp:docPr id="7886178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661445" name="Picture 4"/>
                    <pic:cNvPicPr>
                      <a:picLocks noChangeAspect="1" noChangeArrowheads="1"/>
                    </pic:cNvPicPr>
                  </pic:nvPicPr>
                  <pic:blipFill>
                    <a:blip xmlns:r="http://schemas.openxmlformats.org/officeDocument/2006/relationships" r:embed="rId60">
                      <a:extLst>
                        <a:ext xmlns:a="http://schemas.openxmlformats.org/drawingml/2006/main" uri="{28A0092B-C50C-407E-A947-70E740481C1C}">
                          <a14:useLocalDpi xmlns:a14="http://schemas.microsoft.com/office/drawing/2010/main" val="0"/>
                        </a:ext>
                      </a:extLst>
                    </a:blip>
                    <a:stretch>
                      <a:fillRect/>
                    </a:stretch>
                  </pic:blipFill>
                  <pic:spPr bwMode="auto">
                    <a:xfrm>
                      <a:off x="0" y="0"/>
                      <a:ext cx="5115600" cy="5580000"/>
                    </a:xfrm>
                    <a:prstGeom prst="rect">
                      <a:avLst/>
                    </a:prstGeom>
                    <a:noFill/>
                  </pic:spPr>
                </pic:pic>
              </a:graphicData>
            </a:graphic>
            <wp14:sizeRelH relativeFrom="margin">
              <wp14:pctWidth>0</wp14:pctWidth>
            </wp14:sizeRelH>
            <wp14:sizeRelV relativeFrom="margin">
              <wp14:pctHeight>0</wp14:pctHeight>
            </wp14:sizeRelV>
          </wp:anchor>
        </w:drawing>
      </w:r>
      <w:bookmarkEnd w:id="1459"/>
      <w:bookmarkEnd w:id="1458"/>
    </w:p>
    <w:p w:rsidR="000D0BF2" w:rsidP="000B7B5D" w14:paraId="3D6F4313" w14:textId="77777777">
      <w:pPr>
        <w:pStyle w:val="Heading11"/>
        <w:rPr>
          <w:lang w:val="fi-FI"/>
        </w:rPr>
      </w:pPr>
    </w:p>
    <w:p w:rsidR="000D0BF2" w:rsidP="000B7B5D" w14:paraId="706CFB47" w14:textId="77777777">
      <w:pPr>
        <w:pStyle w:val="Heading11"/>
        <w:rPr>
          <w:lang w:val="fi-FI"/>
        </w:rPr>
      </w:pPr>
    </w:p>
    <w:p w:rsidR="000D0BF2" w:rsidP="000B7B5D" w14:paraId="1FF0C8A8" w14:textId="77777777">
      <w:pPr>
        <w:pStyle w:val="Heading11"/>
        <w:rPr>
          <w:lang w:val="fi-FI"/>
        </w:rPr>
      </w:pPr>
    </w:p>
    <w:p w:rsidR="000D0BF2" w:rsidP="000B7B5D" w14:paraId="734EA43A" w14:textId="77777777">
      <w:pPr>
        <w:pStyle w:val="Heading11"/>
        <w:rPr>
          <w:lang w:val="fi-FI"/>
        </w:rPr>
      </w:pPr>
    </w:p>
    <w:p w:rsidR="000D0BF2" w:rsidP="000B7B5D" w14:paraId="2AFF450D" w14:textId="77777777">
      <w:pPr>
        <w:pStyle w:val="Heading11"/>
        <w:rPr>
          <w:lang w:val="fi-FI"/>
        </w:rPr>
      </w:pPr>
    </w:p>
    <w:p w:rsidR="000D0BF2" w:rsidP="000B7B5D" w14:paraId="1E08C07E" w14:textId="77777777">
      <w:pPr>
        <w:pStyle w:val="Heading11"/>
        <w:rPr>
          <w:lang w:val="fi-FI"/>
        </w:rPr>
      </w:pPr>
    </w:p>
    <w:p w:rsidR="000D0BF2" w:rsidP="000B7B5D" w14:paraId="50CD6129" w14:textId="77777777">
      <w:pPr>
        <w:pStyle w:val="Heading11"/>
        <w:rPr>
          <w:lang w:val="fi-FI"/>
        </w:rPr>
      </w:pPr>
    </w:p>
    <w:p w:rsidR="000D0BF2" w:rsidP="000B7B5D" w14:paraId="7215555B" w14:textId="77777777">
      <w:pPr>
        <w:pStyle w:val="Heading11"/>
        <w:rPr>
          <w:lang w:val="fi-FI"/>
        </w:rPr>
      </w:pPr>
    </w:p>
    <w:p w:rsidR="000D0BF2" w:rsidP="000B7B5D" w14:paraId="377880BD" w14:textId="77777777">
      <w:pPr>
        <w:pStyle w:val="Heading11"/>
        <w:rPr>
          <w:lang w:val="fi-FI"/>
        </w:rPr>
      </w:pPr>
    </w:p>
    <w:p w:rsidR="000D0BF2" w:rsidP="000B7B5D" w14:paraId="24EFB618" w14:textId="77777777">
      <w:pPr>
        <w:pStyle w:val="Heading11"/>
        <w:rPr>
          <w:lang w:val="fi-FI"/>
        </w:rPr>
      </w:pPr>
    </w:p>
    <w:p w:rsidR="000D0BF2" w:rsidP="000B7B5D" w14:paraId="1B296B9F" w14:textId="77777777">
      <w:pPr>
        <w:pStyle w:val="Heading11"/>
        <w:rPr>
          <w:lang w:val="fi-FI"/>
        </w:rPr>
      </w:pPr>
    </w:p>
    <w:p w:rsidR="000D0BF2" w:rsidP="000B7B5D" w14:paraId="1F126F62" w14:textId="77777777">
      <w:pPr>
        <w:pStyle w:val="Heading11"/>
        <w:rPr>
          <w:lang w:val="fi-FI"/>
        </w:rPr>
      </w:pPr>
    </w:p>
    <w:p w:rsidR="000D0BF2" w:rsidP="000B7B5D" w14:paraId="2147B40E" w14:textId="77777777">
      <w:pPr>
        <w:pStyle w:val="Heading11"/>
        <w:rPr>
          <w:lang w:val="fi-FI"/>
        </w:rPr>
      </w:pPr>
    </w:p>
    <w:p w:rsidR="000D0BF2" w:rsidP="000B7B5D" w14:paraId="56D3526E" w14:textId="77777777">
      <w:pPr>
        <w:pStyle w:val="Heading11"/>
        <w:rPr>
          <w:lang w:val="fi-FI"/>
        </w:rPr>
      </w:pPr>
    </w:p>
    <w:p w:rsidR="000D0BF2" w:rsidP="000B7B5D" w14:paraId="040E1B88" w14:textId="77777777">
      <w:pPr>
        <w:pStyle w:val="Heading11"/>
        <w:rPr>
          <w:lang w:val="fi-FI"/>
        </w:rPr>
      </w:pPr>
    </w:p>
    <w:p w:rsidR="000D0BF2" w:rsidP="000B7B5D" w14:paraId="2C42F485" w14:textId="77777777">
      <w:pPr>
        <w:pStyle w:val="Heading11"/>
        <w:rPr>
          <w:lang w:val="fi-FI"/>
        </w:rPr>
      </w:pPr>
    </w:p>
    <w:p w:rsidR="000D0BF2" w:rsidRPr="00F8573A" w:rsidP="000D0BF2" w14:paraId="1FAB4A11" w14:textId="77777777">
      <w:pPr>
        <w:pStyle w:val="Heading11"/>
        <w:rPr>
          <w:lang w:val="fi-FI"/>
        </w:rPr>
      </w:pPr>
      <w:r w:rsidRPr="00D541B8">
        <w:rPr>
          <w:lang w:val="fi-FI"/>
        </w:rPr>
        <w:t>3. AINEETTOMAT JA AINEELLISET HYÖDYKKEET</w:t>
      </w:r>
    </w:p>
    <w:p w:rsidR="000D0BF2" w:rsidRPr="00F8573A" w:rsidP="000D0BF2" w14:paraId="0945270D" w14:textId="77777777">
      <w:pPr>
        <w:pStyle w:val="Heading12"/>
        <w:rPr>
          <w:b w:val="0"/>
          <w:lang w:val="fi-FI"/>
        </w:rPr>
      </w:pPr>
      <w:r>
        <w:rPr>
          <w:noProof/>
        </w:rPr>
        <mc:AlternateContent>
          <mc:Choice Requires="wps">
            <w:drawing>
              <wp:anchor distT="0" distB="0" distL="114300" distR="114300" simplePos="0" relativeHeight="251671552" behindDoc="0" locked="0" layoutInCell="1" allowOverlap="1">
                <wp:simplePos x="0" y="0"/>
                <wp:positionH relativeFrom="column">
                  <wp:posOffset>0</wp:posOffset>
                </wp:positionH>
                <wp:positionV relativeFrom="paragraph">
                  <wp:posOffset>53975</wp:posOffset>
                </wp:positionV>
                <wp:extent cx="4679950" cy="0"/>
                <wp:effectExtent l="19050" t="19050" r="25400" b="19050"/>
                <wp:wrapNone/>
                <wp:docPr id="528256308" name="Straight Connector 3"/>
                <wp:cNvGraphicFramePr/>
                <a:graphic xmlns:a="http://schemas.openxmlformats.org/drawingml/2006/main">
                  <a:graphicData uri="http://schemas.microsoft.com/office/word/2010/wordprocessingShape">
                    <wps:wsp xmlns:wps="http://schemas.microsoft.com/office/word/2010/wordprocessingShape">
                      <wps:cNvCnPr/>
                      <wps:spPr>
                        <a:xfrm>
                          <a:off x="0" y="0"/>
                          <a:ext cx="4679950" cy="0"/>
                        </a:xfrm>
                        <a:prstGeom prst="line">
                          <a:avLst/>
                        </a:prstGeom>
                        <a:ln w="28575" cap="rnd">
                          <a:solidFill>
                            <a:srgbClr val="99B7C4"/>
                          </a:solidFill>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id="Straight Connector 3" o:spid="_x0000_s1035" style="mso-height-percent:0;mso-height-relative:page;mso-width-percent:0;mso-width-relative:margin;mso-wrap-distance-bottom:0;mso-wrap-distance-left:9pt;mso-wrap-distance-right:9pt;mso-wrap-distance-top:0;position:absolute;v-text-anchor:top;z-index:251670528" from="0,4.25pt" to="368.5pt,4.25pt" fillcolor="this" stroked="t" strokecolor="#99b7c4" strokeweight="2.25pt">
                <v:stroke endcap="round"/>
              </v:line>
            </w:pict>
          </mc:Fallback>
        </mc:AlternateContent>
      </w:r>
    </w:p>
    <w:p w:rsidR="000D0BF2" w:rsidRPr="000D0BF2" w:rsidP="000D0BF2" w14:paraId="3CF7CC07" w14:textId="77777777">
      <w:pPr>
        <w:pStyle w:val="Heading12"/>
        <w:rPr>
          <w:b w:val="0"/>
          <w:bCs/>
          <w:color w:val="99B7C4"/>
          <w:lang w:val="fi-FI"/>
        </w:rPr>
      </w:pPr>
      <w:r w:rsidRPr="000D0BF2">
        <w:rPr>
          <w:b w:val="0"/>
          <w:bCs/>
          <w:color w:val="99B7C4"/>
          <w:lang w:val="fi-FI"/>
        </w:rPr>
        <w:t>Osion sisältö:</w:t>
      </w:r>
    </w:p>
    <w:p w:rsidR="000D0BF2" w:rsidRPr="000D0BF2" w:rsidP="000D0BF2" w14:paraId="095B0C20" w14:textId="77777777">
      <w:pPr>
        <w:pStyle w:val="Heading12"/>
        <w:ind w:left="284"/>
        <w:rPr>
          <w:color w:val="99B7C4"/>
          <w:sz w:val="12"/>
          <w:szCs w:val="12"/>
          <w:lang w:val="fi-FI"/>
        </w:rPr>
      </w:pPr>
    </w:p>
    <w:p w:rsidR="000D0BF2" w:rsidRPr="000D0BF2" w:rsidP="000D0BF2" w14:paraId="04ECEA77" w14:textId="77777777">
      <w:pPr>
        <w:pStyle w:val="Heading12"/>
        <w:ind w:left="284"/>
        <w:rPr>
          <w:color w:val="99B7C4"/>
          <w:lang w:val="fi-FI"/>
        </w:rPr>
      </w:pPr>
      <w:r w:rsidRPr="000D0BF2">
        <w:rPr>
          <w:color w:val="99B7C4"/>
          <w:lang w:val="fi-FI"/>
        </w:rPr>
        <w:t>3.1. LIIKEARVO</w:t>
      </w:r>
    </w:p>
    <w:p w:rsidR="000D0BF2" w:rsidRPr="000D0BF2" w:rsidP="000D0BF2" w14:paraId="0FEB8B9C" w14:textId="77777777">
      <w:pPr>
        <w:pStyle w:val="Heading12"/>
        <w:ind w:left="284"/>
        <w:rPr>
          <w:color w:val="99B7C4"/>
          <w:lang w:val="fi-FI"/>
        </w:rPr>
      </w:pPr>
      <w:r w:rsidRPr="000D0BF2">
        <w:rPr>
          <w:color w:val="99B7C4"/>
          <w:lang w:val="fi-FI"/>
        </w:rPr>
        <w:t>3.2. MUUT AINEETTOMAT HYÖDYKKEET</w:t>
      </w:r>
    </w:p>
    <w:p w:rsidR="000D0BF2" w:rsidRPr="00F8573A" w:rsidP="000D0BF2" w14:paraId="5A5791DF" w14:textId="77777777">
      <w:pPr>
        <w:pStyle w:val="Heading12"/>
        <w:ind w:left="284"/>
        <w:rPr>
          <w:color w:val="99B7C4"/>
          <w:lang w:val="fi-FI"/>
        </w:rPr>
      </w:pPr>
      <w:r w:rsidRPr="00F8573A">
        <w:rPr>
          <w:color w:val="99B7C4"/>
          <w:lang w:val="fi-FI"/>
        </w:rPr>
        <w:t>3.3. AINEELLISET HYÖDYKKEET</w:t>
      </w:r>
    </w:p>
    <w:p w:rsidR="000D0BF2" w:rsidRPr="000D0BF2" w:rsidP="000D0BF2" w14:paraId="6C840CAC" w14:textId="77777777">
      <w:pPr>
        <w:pStyle w:val="Heading12"/>
        <w:ind w:left="284"/>
        <w:rPr>
          <w:color w:val="99B7C4"/>
          <w:lang w:val="fi-FI"/>
        </w:rPr>
      </w:pPr>
      <w:r w:rsidRPr="000D0BF2">
        <w:rPr>
          <w:color w:val="99B7C4"/>
          <w:lang w:val="fi-FI"/>
        </w:rPr>
        <w:t>3.4. VUOKRASOPIMUKSET</w:t>
      </w:r>
    </w:p>
    <w:p w:rsidR="000D0BF2" w:rsidRPr="000D0BF2" w:rsidP="000D0BF2" w14:paraId="20E71B92" w14:textId="77777777">
      <w:pPr>
        <w:pStyle w:val="Heading12"/>
        <w:ind w:left="284"/>
        <w:rPr>
          <w:color w:val="99B7C4"/>
          <w:lang w:val="fi-FI"/>
        </w:rPr>
      </w:pPr>
      <w:r w:rsidRPr="000D0BF2">
        <w:rPr>
          <w:color w:val="99B7C4"/>
          <w:lang w:val="fi-FI"/>
        </w:rPr>
        <w:t>3.5. POISTOT JA A</w:t>
      </w:r>
      <w:r>
        <w:rPr>
          <w:color w:val="99B7C4"/>
          <w:lang w:val="fi-FI"/>
        </w:rPr>
        <w:t>RVONALENTUMISET</w:t>
      </w:r>
    </w:p>
    <w:p w:rsidR="000D0BF2" w:rsidRPr="000D0BF2" w:rsidP="000D0BF2" w14:paraId="5D1977E5" w14:textId="77777777">
      <w:pPr>
        <w:pStyle w:val="Bodytext2"/>
        <w:rPr>
          <w:lang w:val="fi-FI"/>
        </w:rPr>
      </w:pPr>
      <w:r>
        <w:rPr>
          <w:noProof/>
        </w:rPr>
        <mc:AlternateContent>
          <mc:Choice Requires="wps">
            <w:drawing>
              <wp:anchor distT="0" distB="0" distL="114300" distR="114300" simplePos="0" relativeHeight="251692032" behindDoc="0" locked="0" layoutInCell="1" allowOverlap="1">
                <wp:simplePos x="0" y="0"/>
                <wp:positionH relativeFrom="column">
                  <wp:posOffset>0</wp:posOffset>
                </wp:positionH>
                <wp:positionV relativeFrom="paragraph">
                  <wp:posOffset>71755</wp:posOffset>
                </wp:positionV>
                <wp:extent cx="4679950" cy="0"/>
                <wp:effectExtent l="19050" t="19050" r="25400" b="19050"/>
                <wp:wrapNone/>
                <wp:docPr id="1879733270" name="Straight Connector 2"/>
                <wp:cNvGraphicFramePr/>
                <a:graphic xmlns:a="http://schemas.openxmlformats.org/drawingml/2006/main">
                  <a:graphicData uri="http://schemas.microsoft.com/office/word/2010/wordprocessingShape">
                    <wps:wsp xmlns:wps="http://schemas.microsoft.com/office/word/2010/wordprocessingShape">
                      <wps:cNvCnPr/>
                      <wps:spPr>
                        <a:xfrm>
                          <a:off x="0" y="0"/>
                          <a:ext cx="4679950" cy="0"/>
                        </a:xfrm>
                        <a:prstGeom prst="line">
                          <a:avLst/>
                        </a:prstGeom>
                        <a:ln w="28575" cap="rnd">
                          <a:solidFill>
                            <a:srgbClr val="99B7C4"/>
                          </a:solidFill>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id="Straight Connector 2" o:spid="_x0000_s1036" style="mso-height-percent:0;mso-height-relative:page;mso-width-percent:0;mso-width-relative:margin;mso-wrap-distance-bottom:0;mso-wrap-distance-left:9pt;mso-wrap-distance-right:9pt;mso-wrap-distance-top:0;position:absolute;v-text-anchor:top;z-index:251691008" from="0,5.65pt" to="368.5pt,5.65pt" fillcolor="this" stroked="t" strokecolor="#99b7c4" strokeweight="2.25pt">
                <v:stroke endcap="round"/>
              </v:line>
            </w:pict>
          </mc:Fallback>
        </mc:AlternateContent>
      </w:r>
    </w:p>
    <w:p w:rsidR="000D0BF2" w:rsidRPr="000D0BF2" w:rsidP="000D0BF2" w14:paraId="35196D73" w14:textId="77777777">
      <w:pPr>
        <w:pStyle w:val="Bodytext2"/>
        <w:rPr>
          <w:szCs w:val="15"/>
          <w:lang w:val="fi-FI"/>
        </w:rPr>
      </w:pPr>
    </w:p>
    <w:p w:rsidR="000D0BF2" w:rsidRPr="000D0BF2" w:rsidP="000D0BF2" w14:paraId="2B88A5C7" w14:textId="77777777">
      <w:pPr>
        <w:pStyle w:val="Bodytext2"/>
        <w:rPr>
          <w:lang w:val="fi-FI"/>
        </w:rPr>
      </w:pPr>
    </w:p>
    <w:p w:rsidR="000B7B5D" w:rsidRPr="00D541B8" w:rsidP="000B7B5D" w14:paraId="344C8455" w14:textId="77777777">
      <w:pPr>
        <w:pStyle w:val="Heading12"/>
        <w:rPr>
          <w:lang w:val="fi-FI"/>
        </w:rPr>
      </w:pPr>
      <w:r w:rsidRPr="00D541B8">
        <w:rPr>
          <w:lang w:val="fi-FI"/>
        </w:rPr>
        <w:t>3.1. LIIKEARVO</w:t>
      </w:r>
    </w:p>
    <w:tbl>
      <w:tblPr>
        <w:tblStyle w:val="TableGrid"/>
        <w:tblW w:w="7371" w:type="dxa"/>
        <w:tblLook w:val="04A0"/>
      </w:tblPr>
      <w:tblGrid>
        <w:gridCol w:w="7371"/>
      </w:tblGrid>
      <w:tr w14:paraId="1C4BECB0" w14:textId="77777777" w:rsidTr="000B7B5D">
        <w:tblPrEx>
          <w:tblW w:w="7371" w:type="dxa"/>
          <w:tblLook w:val="04A0"/>
        </w:tblPrEx>
        <w:tc>
          <w:tcPr>
            <w:tcW w:w="6683" w:type="dxa"/>
            <w:tcBorders>
              <w:top w:val="nil"/>
              <w:left w:val="nil"/>
              <w:bottom w:val="nil"/>
              <w:right w:val="nil"/>
            </w:tcBorders>
            <w:shd w:val="clear" w:color="auto" w:fill="B6C8D1"/>
          </w:tcPr>
          <w:p w:rsidR="000B7B5D" w:rsidRPr="00D541B8" w14:paraId="767D7DD4" w14:textId="77777777">
            <w:pPr>
              <w:pStyle w:val="Heading13"/>
              <w:rPr>
                <w:rFonts w:eastAsiaTheme="minorEastAsia" w:cstheme="minorHAnsi"/>
                <w:lang w:val="fi-FI" w:eastAsia="fi-FI"/>
              </w:rPr>
            </w:pPr>
            <w:r w:rsidRPr="00D541B8">
              <w:rPr>
                <w:lang w:val="fi-FI"/>
              </w:rPr>
              <w:t>Laadintaperiaatteet</w:t>
            </w:r>
          </w:p>
          <w:p w:rsidR="000B7B5D" w14:paraId="47511CC2" w14:textId="77777777">
            <w:pPr>
              <w:pStyle w:val="Bodytext2"/>
              <w:rPr>
                <w:color w:val="0F172B"/>
                <w:szCs w:val="15"/>
                <w:lang w:val="fi-FI"/>
              </w:rPr>
            </w:pPr>
            <w:r w:rsidRPr="00D541B8">
              <w:rPr>
                <w:color w:val="0F172B"/>
                <w:szCs w:val="15"/>
                <w:lang w:val="fi-FI"/>
              </w:rPr>
              <w:t>Liiketoimintojen yhdistämisissä muodostuva liikearvo on jäännöserä, joka syntyy vähennettäessä hankintamenosta hankkijaosapuolen osuus hankitun kohteen käypään arvoon arvostetusta nettovarallisuudesta hankintapäivänä. Hankintameno arvos</w:t>
            </w:r>
            <w:r w:rsidRPr="00D541B8">
              <w:rPr>
                <w:color w:val="0F172B"/>
                <w:szCs w:val="15"/>
                <w:lang w:val="fi-FI"/>
              </w:rPr>
              <w:t>tetaan kokonaisuudessaan käypään arvoon sisältäen myös mahdollisen aikaisemman omistuksen hankinnan kohteessa.</w:t>
            </w:r>
          </w:p>
          <w:p w:rsidR="002D61E0" w14:paraId="0DC92A4D" w14:textId="77777777">
            <w:pPr>
              <w:pStyle w:val="Bodytext2"/>
              <w:rPr>
                <w:rFonts w:eastAsiaTheme="minorEastAsia"/>
                <w:color w:val="0F172B"/>
                <w:szCs w:val="15"/>
                <w:lang w:val="fi-FI" w:eastAsia="fi-FI"/>
              </w:rPr>
            </w:pPr>
          </w:p>
          <w:p w:rsidR="002D61E0" w:rsidRPr="00D541B8" w:rsidP="002D61E0" w14:paraId="79688E0E" w14:textId="77777777">
            <w:pPr>
              <w:pStyle w:val="Heading13"/>
              <w:rPr>
                <w:lang w:val="fi-FI"/>
              </w:rPr>
            </w:pPr>
            <w:r w:rsidRPr="00D541B8">
              <w:rPr>
                <w:lang w:val="fi-FI"/>
              </w:rPr>
              <w:t>Liikearvon kohdistaminen</w:t>
            </w:r>
          </w:p>
          <w:p w:rsidR="002D61E0" w:rsidRPr="005A6290" w14:paraId="3B1EB73B" w14:textId="77777777">
            <w:pPr>
              <w:pStyle w:val="Bodytext2"/>
              <w:rPr>
                <w:color w:val="0F172B"/>
                <w:szCs w:val="15"/>
                <w:lang w:val="fi-FI"/>
              </w:rPr>
            </w:pPr>
            <w:r w:rsidRPr="009150CD">
              <w:rPr>
                <w:color w:val="0F172B"/>
                <w:szCs w:val="15"/>
                <w:lang w:val="fi-FI"/>
              </w:rPr>
              <w:t>Yrityshankinnoissa syntyvä liikearvo on kohdistettu toimintasegmenteille ja muille liiketoiminnoille, jotka ovat myös k</w:t>
            </w:r>
            <w:r w:rsidRPr="009150CD">
              <w:rPr>
                <w:color w:val="0F172B"/>
                <w:szCs w:val="15"/>
                <w:lang w:val="fi-FI"/>
              </w:rPr>
              <w:t>onsernin rahavirtaa tuottavat yksiköt liikearvon arvonalentumistestauksessa. Nämä ovat Marine Power, Marine Systems, Voyage, Energy ja Portfolio Business.</w:t>
            </w:r>
          </w:p>
          <w:p w:rsidR="000B7B5D" w:rsidRPr="00D541B8" w14:paraId="24682DEC" w14:textId="77777777">
            <w:pPr>
              <w:pStyle w:val="Bodytext2"/>
              <w:rPr>
                <w:rFonts w:eastAsiaTheme="minorEastAsia"/>
                <w:color w:val="0F172B"/>
                <w:szCs w:val="15"/>
                <w:lang w:val="fi-FI" w:eastAsia="fi-FI"/>
              </w:rPr>
            </w:pPr>
          </w:p>
          <w:p w:rsidR="000B7B5D" w:rsidRPr="00D541B8" w14:paraId="4BB68842" w14:textId="77777777">
            <w:pPr>
              <w:pStyle w:val="Heading13"/>
              <w:rPr>
                <w:rFonts w:eastAsiaTheme="minorEastAsia" w:cstheme="minorHAnsi"/>
                <w:lang w:val="fi-FI" w:eastAsia="fi-FI"/>
              </w:rPr>
            </w:pPr>
            <w:r w:rsidRPr="00D541B8">
              <w:rPr>
                <w:lang w:val="fi-FI"/>
              </w:rPr>
              <w:t>Liikearvon arvonalentumiset</w:t>
            </w:r>
          </w:p>
          <w:p w:rsidR="00D12F56" w:rsidRPr="00D541B8" w:rsidP="00F12F60" w14:paraId="3496176E" w14:textId="77777777">
            <w:pPr>
              <w:pStyle w:val="Bodytext2"/>
              <w:rPr>
                <w:lang w:val="fi-FI"/>
              </w:rPr>
            </w:pPr>
            <w:r w:rsidRPr="00D541B8">
              <w:rPr>
                <w:lang w:val="fi-FI"/>
              </w:rPr>
              <w:t>Rahavirtaa tuottaviin yksiköihin kohdistuvan liikearvon tasearvoa tarkas</w:t>
            </w:r>
            <w:r w:rsidRPr="00D541B8">
              <w:rPr>
                <w:lang w:val="fi-FI"/>
              </w:rPr>
              <w:t xml:space="preserve">tellaan vähintään vuosittain tai useammin, jos arvonalentumisesta on viitteitä. Jos viitteitä ilmenee, arvioidaan liikearvosta kerrytettävissä oleva rahamäärä. Mahdollisen arvonalentumisen määrittämiseksi konsernin omaisuus jaetaan pienimpiin mahdollisiin </w:t>
            </w:r>
            <w:r w:rsidRPr="00D541B8">
              <w:rPr>
                <w:lang w:val="fi-FI"/>
              </w:rPr>
              <w:t>rahavirtaa tuottaviin yksiköihin (RTY), jotka ovat pääosin riippumattomia muista yksiköistä ja joiden rahavirrat ovat erotettavissa ja pitkälle riippumattomia muiden vastaavien yksiköiden rahavirroista.</w:t>
            </w:r>
          </w:p>
          <w:p w:rsidR="00D12F56" w:rsidRPr="00D541B8" w:rsidP="00F12F60" w14:paraId="7D0DAD6D" w14:textId="77777777">
            <w:pPr>
              <w:pStyle w:val="Bodytext2"/>
              <w:rPr>
                <w:lang w:val="fi-FI"/>
              </w:rPr>
            </w:pPr>
          </w:p>
          <w:p w:rsidR="005523E4" w:rsidRPr="00D541B8" w:rsidP="00F12F60" w14:paraId="10C31FF8" w14:textId="77777777">
            <w:pPr>
              <w:pStyle w:val="Bodytext2"/>
              <w:rPr>
                <w:lang w:val="fi-FI"/>
              </w:rPr>
            </w:pPr>
            <w:r w:rsidRPr="00D541B8">
              <w:rPr>
                <w:lang w:val="fi-FI"/>
              </w:rPr>
              <w:t>Arvonalentumistappio kirjataan, kun omaisuuserän kir</w:t>
            </w:r>
            <w:r w:rsidRPr="00D541B8">
              <w:rPr>
                <w:lang w:val="fi-FI"/>
              </w:rPr>
              <w:t>janpitoarvo ylittää siitä kerrytettävissä olevan rahamäärän. Kerrytettävissä oleva rahamäärä on omaisuuserän käypä arvo vähennettynä myynnistä aiheutuvilla menoilla tai käyttöarvo sen mukaan, kumpi niistä on suurempi. Liikearvon käyttöarvo perustuu kyseise</w:t>
            </w:r>
            <w:r w:rsidRPr="00D541B8">
              <w:rPr>
                <w:lang w:val="fi-FI"/>
              </w:rPr>
              <w:t>stä omaisuuserästä tai rahavirtaa tuottavasta yksiköstä saatavissa oleviin arvioituihin tuleviin diskontattuihin nettorahavirtoihin.</w:t>
            </w:r>
          </w:p>
          <w:p w:rsidR="005523E4" w:rsidRPr="00D541B8" w:rsidP="00F12F60" w14:paraId="28AE19D4" w14:textId="77777777">
            <w:pPr>
              <w:pStyle w:val="Bodytext2"/>
              <w:rPr>
                <w:lang w:val="fi-FI"/>
              </w:rPr>
            </w:pPr>
          </w:p>
          <w:p w:rsidR="00D12F56" w:rsidRPr="00D541B8" w:rsidP="00F12F60" w14:paraId="3A219E5A" w14:textId="77777777">
            <w:pPr>
              <w:pStyle w:val="Bodytext2"/>
              <w:rPr>
                <w:lang w:val="fi-FI"/>
              </w:rPr>
            </w:pPr>
            <w:r w:rsidRPr="00D541B8">
              <w:rPr>
                <w:lang w:val="fi-FI"/>
              </w:rPr>
              <w:t>Diskonttauskorkona käytetään ennen veroa määritettyä korkoa, joka kuvastaa markkinoiden näkemystä rahan aika-arvosta ja om</w:t>
            </w:r>
            <w:r w:rsidRPr="00D541B8">
              <w:rPr>
                <w:lang w:val="fi-FI"/>
              </w:rPr>
              <w:t>aisuuserään liittyvistä riskeistä.</w:t>
            </w:r>
          </w:p>
          <w:p w:rsidR="000B0EB2" w:rsidRPr="00D541B8" w:rsidP="00F12F60" w14:paraId="36C4AF59" w14:textId="77777777">
            <w:pPr>
              <w:pStyle w:val="Bodytext2"/>
              <w:rPr>
                <w:lang w:val="fi-FI"/>
              </w:rPr>
            </w:pPr>
          </w:p>
          <w:p w:rsidR="0051591B" w:rsidRPr="000D0BF2" w:rsidP="0051591B" w14:paraId="3287BC34" w14:textId="77777777">
            <w:pPr>
              <w:pStyle w:val="Bodytext2"/>
              <w:rPr>
                <w:lang w:val="fi-FI"/>
              </w:rPr>
            </w:pPr>
            <w:r w:rsidRPr="00D541B8">
              <w:rPr>
                <w:lang w:val="fi-FI"/>
              </w:rPr>
              <w:t>Arvonalentumistappio kirjataan välittömästi tuloslaskelmalla poistoihin ja arvonalentumisiin. Liikearvosta kirjattua arvonalentumistappiota ei peruta missään tilanteessa.</w:t>
            </w:r>
          </w:p>
        </w:tc>
      </w:tr>
    </w:tbl>
    <w:p w:rsidR="000B7B5D" w:rsidP="000B7B5D" w14:paraId="27C3CE97" w14:textId="77777777">
      <w:pPr>
        <w:pStyle w:val="Bodytext2"/>
        <w:rPr>
          <w:color w:val="0F172B"/>
          <w:szCs w:val="15"/>
          <w:lang w:val="fi-FI" w:eastAsia="fi-FI"/>
        </w:rPr>
      </w:pPr>
    </w:p>
    <w:tbl>
      <w:tblPr>
        <w:tblStyle w:val="TableGrid"/>
        <w:tblW w:w="7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7DFE1"/>
        <w:tblLook w:val="04A0"/>
      </w:tblPr>
      <w:tblGrid>
        <w:gridCol w:w="7371"/>
      </w:tblGrid>
      <w:tr w14:paraId="5F21A670" w14:textId="77777777" w:rsidTr="000D0BF2">
        <w:tblPrEx>
          <w:tblW w:w="7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7DFE1"/>
          <w:tblLook w:val="04A0"/>
        </w:tblPrEx>
        <w:tc>
          <w:tcPr>
            <w:tcW w:w="7360" w:type="dxa"/>
            <w:shd w:val="clear" w:color="auto" w:fill="D7DFE1"/>
          </w:tcPr>
          <w:p w:rsidR="000D0BF2" w:rsidRPr="00D541B8" w:rsidP="000D0BF2" w14:paraId="1DD9489B" w14:textId="77777777">
            <w:pPr>
              <w:pStyle w:val="Heading13"/>
              <w:rPr>
                <w:rFonts w:eastAsiaTheme="minorEastAsia" w:cstheme="minorHAnsi"/>
                <w:lang w:val="fi-FI" w:eastAsia="fi-FI"/>
              </w:rPr>
            </w:pPr>
            <w:r w:rsidRPr="00D541B8">
              <w:rPr>
                <w:lang w:val="fi-FI"/>
              </w:rPr>
              <w:t>Kirjanpidolliset arviot ja harkinnat</w:t>
            </w:r>
          </w:p>
          <w:p w:rsidR="000D0BF2" w:rsidP="000D0BF2" w14:paraId="33C31C4E" w14:textId="77777777">
            <w:pPr>
              <w:pStyle w:val="Bodytext2"/>
              <w:rPr>
                <w:color w:val="0F172B"/>
                <w:szCs w:val="15"/>
                <w:lang w:val="fi-FI" w:eastAsia="fi-FI"/>
              </w:rPr>
            </w:pPr>
            <w:r w:rsidRPr="00D541B8">
              <w:rPr>
                <w:color w:val="0F172B"/>
                <w:szCs w:val="15"/>
                <w:lang w:val="fi-FI"/>
              </w:rPr>
              <w:t>Liikearvon kerrytettävissä oleva rahamäärä määritetään käyttöarvon muodossa kaikille rahavirtaa tuottaville yksiköille vähintään vuosittain tai useammin, jos arvonalentumisesta on viitteitä. Käyttöarvon määrittämisessä käytetään arvioita tulevasta markkina</w:t>
            </w:r>
            <w:r w:rsidRPr="00D541B8">
              <w:rPr>
                <w:color w:val="0F172B"/>
                <w:szCs w:val="15"/>
                <w:lang w:val="fi-FI"/>
              </w:rPr>
              <w:t>kehityksestä, kuten kasvua ja kannattavuutta sekä muita olennaisia tekijöitä. Vaikutuksiltaan merkittävimpiä arvioiden perustana olevia tekijöitä ovat myynnin kasvu markkina-alueella, liiketulos, omaisuuserien taloudellinen vaikutusaika, tulevat investoint</w:t>
            </w:r>
            <w:r w:rsidRPr="00D541B8">
              <w:rPr>
                <w:color w:val="0F172B"/>
                <w:szCs w:val="15"/>
                <w:lang w:val="fi-FI"/>
              </w:rPr>
              <w:t>itarpeet sekä diskonttokorko. Näiden oletusten muutokset voivat olennaisesti vaikuttaa arvioituihin tulevaisuudessa kertyviin rahavirtoihin.</w:t>
            </w:r>
          </w:p>
        </w:tc>
      </w:tr>
    </w:tbl>
    <w:p w:rsidR="000D0BF2" w:rsidRPr="00D541B8" w:rsidP="000B7B5D" w14:paraId="28FB092E" w14:textId="77777777">
      <w:pPr>
        <w:pStyle w:val="Bodytext2"/>
        <w:rPr>
          <w:color w:val="0F172B"/>
          <w:szCs w:val="15"/>
          <w:lang w:val="fi-FI" w:eastAsia="fi-FI"/>
        </w:rPr>
      </w:pPr>
    </w:p>
    <w:p w:rsidR="00687285" w:rsidRPr="008278E4" w:rsidP="00687285" w14:paraId="419BF22B" w14:textId="77777777">
      <w:pPr>
        <w:pStyle w:val="Heading13"/>
        <w:rPr>
          <w:lang w:val="fi-FI"/>
        </w:rPr>
      </w:pPr>
      <w:r w:rsidRPr="008278E4">
        <w:rPr>
          <w:lang w:val="fi-FI"/>
        </w:rPr>
        <w:t>Liikearvo 2021</w:t>
      </w:r>
    </w:p>
    <w:p w:rsidR="00687285" w:rsidRPr="008278E4" w:rsidP="00687285" w14:paraId="16A627E7" w14:textId="77777777">
      <w:pPr>
        <w:pStyle w:val="Bodytext2"/>
        <w:rPr>
          <w:color w:val="0F172B"/>
          <w:szCs w:val="15"/>
          <w:lang w:val="fi-FI"/>
        </w:rPr>
      </w:pPr>
    </w:p>
    <w:tbl>
      <w:tblPr>
        <w:tblStyle w:val="TableNormal"/>
        <w:tblCaption w:val="table_goodwill_2021"/>
        <w:tblW w:w="7320" w:type="dxa"/>
        <w:tblLayout w:type="fixed"/>
        <w:tblLook w:val="0600"/>
      </w:tblPr>
      <w:tblGrid>
        <w:gridCol w:w="6075"/>
        <w:gridCol w:w="1245"/>
      </w:tblGrid>
      <w:tr>
        <w:tblPrEx>
          <w:tblW w:w="7320" w:type="dxa"/>
          <w:tblLayout w:type="fixed"/>
          <w:tblLook w:val="0600"/>
        </w:tblPrEx>
        <w:trPr>
          <w:trHeight w:hRule="exact" w:val="240"/>
        </w:trPr>
        <w:tc>
          <w:tcPr>
            <w:tcW w:w="607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607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Wärtsilä-konserni</w:t>
            </w:r>
          </w:p>
        </w:tc>
        <w:tc>
          <w:tcPr>
            <w:tcW w:w="12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607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1.1.</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1 325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607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Muutokset valuuttakursseissa</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49</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6075" w:type="dxa"/>
            <w:tcBorders>
              <w:top w:val="single" w:sz="4" w:space="0" w:color="004A6B"/>
              <w:left w:val="nil"/>
              <w:bottom w:val="single" w:sz="8" w:space="0" w:color="000000"/>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Uudelleenryhmittely myytävänä oleviin omaisuuseriin</w:t>
            </w:r>
          </w:p>
        </w:tc>
        <w:tc>
          <w:tcPr>
            <w:tcW w:w="1245" w:type="dxa"/>
            <w:tcBorders>
              <w:top w:val="nil"/>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6075" w:type="dxa"/>
            <w:tcBorders>
              <w:top w:val="single" w:sz="8" w:space="0" w:color="000000"/>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Wärtsilä 31.12.</w:t>
            </w:r>
          </w:p>
        </w:tc>
        <w:tc>
          <w:tcPr>
            <w:tcW w:w="12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1 374</w:t>
            </w:r>
          </w:p>
        </w:tc>
      </w:tr>
    </w:tbl>
    <w:p w:rsidR="008278E4" w:rsidP="00B77AE6" w14:paraId="0D0DC651" w14:textId="77777777">
      <w:pPr>
        <w:pStyle w:val="Bodytext2"/>
        <w:rPr>
          <w:color w:val="0F172B"/>
          <w:szCs w:val="15"/>
          <w:lang w:val="fi-FI"/>
        </w:rPr>
      </w:pPr>
    </w:p>
    <w:p w:rsidR="00B77AE6" w:rsidRPr="00F82D82" w:rsidP="00B77AE6" w14:paraId="647DC234" w14:textId="77777777">
      <w:pPr>
        <w:pStyle w:val="Bodytext2"/>
        <w:rPr>
          <w:color w:val="0F172B"/>
          <w:szCs w:val="15"/>
          <w:lang w:val="fi-FI"/>
        </w:rPr>
      </w:pPr>
      <w:r w:rsidRPr="00F82D82">
        <w:rPr>
          <w:color w:val="0F172B"/>
          <w:szCs w:val="15"/>
          <w:lang w:val="fi-FI"/>
        </w:rPr>
        <w:t xml:space="preserve">Vuoden 2021 aikana </w:t>
      </w:r>
      <w:r w:rsidRPr="00176AD6">
        <w:rPr>
          <w:color w:val="0F172B"/>
          <w:lang w:val="fi-FI"/>
        </w:rPr>
        <w:t>Wärtsilä on luokitellut</w:t>
      </w:r>
      <w:r w:rsidRPr="00F82D82">
        <w:rPr>
          <w:color w:val="0F172B"/>
          <w:lang w:val="fi-FI"/>
        </w:rPr>
        <w:t xml:space="preserve"> </w:t>
      </w:r>
      <w:r w:rsidRPr="00176AD6">
        <w:rPr>
          <w:color w:val="0F172B"/>
          <w:lang w:val="fi-FI"/>
        </w:rPr>
        <w:t xml:space="preserve">Delivery Centre </w:t>
      </w:r>
      <w:r w:rsidRPr="00176AD6">
        <w:rPr>
          <w:color w:val="0F172B"/>
          <w:lang w:val="fi-FI"/>
        </w:rPr>
        <w:t>Santanderin myytävänä olev</w:t>
      </w:r>
      <w:r>
        <w:rPr>
          <w:color w:val="0F172B"/>
          <w:lang w:val="fi-FI"/>
        </w:rPr>
        <w:t>a</w:t>
      </w:r>
      <w:r w:rsidRPr="00176AD6">
        <w:rPr>
          <w:color w:val="0F172B"/>
          <w:lang w:val="fi-FI"/>
        </w:rPr>
        <w:t>ksi omaisuuser</w:t>
      </w:r>
      <w:r>
        <w:rPr>
          <w:color w:val="0F172B"/>
          <w:lang w:val="fi-FI"/>
        </w:rPr>
        <w:t>ä</w:t>
      </w:r>
      <w:r w:rsidRPr="00176AD6">
        <w:rPr>
          <w:color w:val="0F172B"/>
          <w:lang w:val="fi-FI"/>
        </w:rPr>
        <w:t>ksi.</w:t>
      </w:r>
      <w:r>
        <w:rPr>
          <w:color w:val="0F172B"/>
          <w:lang w:val="fi-FI"/>
        </w:rPr>
        <w:t xml:space="preserve"> </w:t>
      </w:r>
      <w:r w:rsidRPr="00176AD6">
        <w:rPr>
          <w:color w:val="0F172B"/>
          <w:lang w:val="fi-FI"/>
        </w:rPr>
        <w:t>Delivery Centre Santander kuuluu Marine Powerii</w:t>
      </w:r>
      <w:r>
        <w:rPr>
          <w:color w:val="0F172B"/>
          <w:lang w:val="fi-FI"/>
        </w:rPr>
        <w:t>n.</w:t>
      </w:r>
    </w:p>
    <w:p w:rsidR="00B77AE6" w:rsidRPr="008278E4" w:rsidP="005A6290" w14:paraId="4790283F" w14:textId="77777777">
      <w:pPr>
        <w:pStyle w:val="Bodytext2"/>
        <w:rPr>
          <w:color w:val="0F172B"/>
          <w:szCs w:val="15"/>
          <w:lang w:val="fi-FI"/>
        </w:rPr>
      </w:pPr>
    </w:p>
    <w:tbl>
      <w:tblPr>
        <w:tblStyle w:val="TableNormal"/>
        <w:tblCaption w:val="table_CGUnew"/>
        <w:tblW w:w="7350" w:type="dxa"/>
        <w:tblLayout w:type="fixed"/>
        <w:tblLook w:val="0600"/>
      </w:tblPr>
      <w:tblGrid>
        <w:gridCol w:w="2130"/>
        <w:gridCol w:w="870"/>
        <w:gridCol w:w="870"/>
        <w:gridCol w:w="870"/>
        <w:gridCol w:w="870"/>
        <w:gridCol w:w="870"/>
        <w:gridCol w:w="870"/>
      </w:tblGrid>
      <w:tr>
        <w:tblPrEx>
          <w:tblW w:w="7350" w:type="dxa"/>
          <w:tblLayout w:type="fixed"/>
          <w:tblLook w:val="0600"/>
        </w:tblPrEx>
        <w:trPr>
          <w:trHeight w:val="240"/>
        </w:trPr>
        <w:tc>
          <w:tcPr>
            <w:tcW w:w="2130" w:type="dxa"/>
            <w:tcBorders>
              <w:top w:val="nil"/>
              <w:left w:val="nil"/>
              <w:bottom w:val="single" w:sz="8" w:space="0" w:color="000000"/>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870" w:type="dxa"/>
            <w:tcBorders>
              <w:top w:val="nil"/>
              <w:left w:val="nil"/>
              <w:bottom w:val="single" w:sz="8" w:space="0" w:color="000000"/>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Marine Power</w:t>
            </w:r>
          </w:p>
        </w:tc>
        <w:tc>
          <w:tcPr>
            <w:tcW w:w="870" w:type="dxa"/>
            <w:tcBorders>
              <w:top w:val="nil"/>
              <w:left w:val="nil"/>
              <w:bottom w:val="single" w:sz="8" w:space="0" w:color="000000"/>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Marine Systems</w:t>
            </w:r>
          </w:p>
        </w:tc>
        <w:tc>
          <w:tcPr>
            <w:tcW w:w="870" w:type="dxa"/>
            <w:tcBorders>
              <w:top w:val="nil"/>
              <w:left w:val="nil"/>
              <w:bottom w:val="single" w:sz="8" w:space="0" w:color="000000"/>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Voyage</w:t>
            </w:r>
          </w:p>
        </w:tc>
        <w:tc>
          <w:tcPr>
            <w:tcW w:w="870" w:type="dxa"/>
            <w:tcBorders>
              <w:top w:val="nil"/>
              <w:left w:val="nil"/>
              <w:bottom w:val="single" w:sz="8" w:space="0" w:color="000000"/>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Energy</w:t>
            </w:r>
          </w:p>
        </w:tc>
        <w:tc>
          <w:tcPr>
            <w:tcW w:w="870" w:type="dxa"/>
            <w:tcBorders>
              <w:top w:val="nil"/>
              <w:left w:val="nil"/>
              <w:bottom w:val="single" w:sz="8" w:space="0" w:color="000000"/>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Portfolio Business</w:t>
            </w:r>
          </w:p>
        </w:tc>
        <w:tc>
          <w:tcPr>
            <w:tcW w:w="870" w:type="dxa"/>
            <w:tcBorders>
              <w:top w:val="nil"/>
              <w:left w:val="nil"/>
              <w:bottom w:val="single" w:sz="8" w:space="0" w:color="000000"/>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00000"/>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Wärtsilä 31.12.2021</w:t>
            </w:r>
          </w:p>
        </w:tc>
        <w:tc>
          <w:tcPr>
            <w:tcW w:w="870" w:type="dxa"/>
            <w:tcBorders>
              <w:top w:val="single" w:sz="8" w:space="0" w:color="000000"/>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553</w:t>
            </w:r>
          </w:p>
        </w:tc>
        <w:tc>
          <w:tcPr>
            <w:tcW w:w="870" w:type="dxa"/>
            <w:tcBorders>
              <w:top w:val="single" w:sz="8" w:space="0" w:color="000000"/>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171</w:t>
            </w:r>
          </w:p>
        </w:tc>
        <w:tc>
          <w:tcPr>
            <w:tcW w:w="870" w:type="dxa"/>
            <w:tcBorders>
              <w:top w:val="single" w:sz="8" w:space="0" w:color="000000"/>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101</w:t>
            </w:r>
          </w:p>
        </w:tc>
        <w:tc>
          <w:tcPr>
            <w:tcW w:w="870" w:type="dxa"/>
            <w:tcBorders>
              <w:top w:val="single" w:sz="8" w:space="0" w:color="000000"/>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520</w:t>
            </w:r>
          </w:p>
        </w:tc>
        <w:tc>
          <w:tcPr>
            <w:tcW w:w="870" w:type="dxa"/>
            <w:tcBorders>
              <w:top w:val="single" w:sz="8" w:space="0" w:color="000000"/>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28</w:t>
            </w:r>
          </w:p>
        </w:tc>
        <w:tc>
          <w:tcPr>
            <w:tcW w:w="870" w:type="dxa"/>
            <w:tcBorders>
              <w:top w:val="single" w:sz="8" w:space="0" w:color="000000"/>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1 374</w:t>
            </w:r>
          </w:p>
        </w:tc>
      </w:tr>
    </w:tbl>
    <w:p w:rsidR="007A79EE" w:rsidRPr="005A6290" w:rsidP="00CF563F" w14:paraId="362044D0" w14:textId="77777777">
      <w:pPr>
        <w:pStyle w:val="Heading13"/>
        <w:rPr>
          <w:lang w:val="fi-FI"/>
        </w:rPr>
      </w:pPr>
    </w:p>
    <w:p w:rsidR="00CF563F" w:rsidRPr="00D541B8" w:rsidP="00CF563F" w14:paraId="0EFCB702" w14:textId="77777777">
      <w:pPr>
        <w:pStyle w:val="Bodytext2"/>
        <w:rPr>
          <w:b/>
          <w:color w:val="000000"/>
          <w:szCs w:val="22"/>
          <w:lang w:val="fi-FI"/>
        </w:rPr>
      </w:pPr>
      <w:r w:rsidRPr="00D541B8">
        <w:rPr>
          <w:b/>
          <w:color w:val="000000"/>
          <w:szCs w:val="22"/>
          <w:lang w:val="fi-FI"/>
        </w:rPr>
        <w:t>Vuosittainen liikearvon arvonalentumistestaus</w:t>
      </w:r>
    </w:p>
    <w:p w:rsidR="00CF563F" w:rsidRPr="00D541B8" w:rsidP="00CF563F" w14:paraId="1005889E" w14:textId="77777777">
      <w:pPr>
        <w:pStyle w:val="Bodytext2"/>
        <w:rPr>
          <w:color w:val="0F172B"/>
          <w:szCs w:val="15"/>
          <w:lang w:val="fi-FI"/>
        </w:rPr>
      </w:pPr>
      <w:r w:rsidRPr="00D541B8">
        <w:rPr>
          <w:color w:val="0F172B"/>
          <w:szCs w:val="15"/>
          <w:lang w:val="fi-FI"/>
        </w:rPr>
        <w:t>Konserni teki vuosittaisen liikearvon arvonalentumistestauksen kolmannen kvartaalin aikana. M</w:t>
      </w:r>
      <w:r w:rsidRPr="00D541B8">
        <w:rPr>
          <w:color w:val="0F172B"/>
          <w:szCs w:val="15"/>
          <w:lang w:val="fi-FI"/>
        </w:rPr>
        <w:t>äärittääkseen sen, onko mitään viitteitä liikearvon arvonalentumisesta, Wärtsilä vertasi kunkin liiketoiminnan kerrytettävissä olevaa rahamäärää sen kirjanpitoarvoon.</w:t>
      </w:r>
    </w:p>
    <w:p w:rsidR="00104FD9" w:rsidRPr="00D541B8" w:rsidP="00CF563F" w14:paraId="3F56D46A" w14:textId="77777777">
      <w:pPr>
        <w:pStyle w:val="Bodytext2"/>
        <w:rPr>
          <w:color w:val="0F172B"/>
          <w:szCs w:val="15"/>
          <w:lang w:val="fi-FI"/>
        </w:rPr>
      </w:pPr>
    </w:p>
    <w:p w:rsidR="00104FD9" w:rsidRPr="00D541B8" w:rsidP="00CF563F" w14:paraId="011FB723" w14:textId="77777777">
      <w:pPr>
        <w:pStyle w:val="Bodytext2"/>
        <w:rPr>
          <w:color w:val="0F172B"/>
          <w:szCs w:val="15"/>
          <w:lang w:val="fi-FI"/>
        </w:rPr>
      </w:pPr>
      <w:r w:rsidRPr="00D541B8">
        <w:rPr>
          <w:color w:val="0F172B"/>
          <w:szCs w:val="15"/>
          <w:lang w:val="fi-FI"/>
        </w:rPr>
        <w:t>Marine Powerille, Marine Systemsille, Voyageille ja Energylle kerrytettävissä olevat rah</w:t>
      </w:r>
      <w:r w:rsidRPr="00D541B8">
        <w:rPr>
          <w:color w:val="0F172B"/>
          <w:szCs w:val="15"/>
          <w:lang w:val="fi-FI"/>
        </w:rPr>
        <w:t>amäärät määritettiin diskontattujen rahavirtojen menetelmällä, joka perustuu tilauskantaan ja</w:t>
      </w:r>
      <w:r w:rsidRPr="00D541B8">
        <w:rPr>
          <w:lang w:val="fi-FI"/>
        </w:rPr>
        <w:t xml:space="preserve"> strategisten suunnitelmien mukaisiin</w:t>
      </w:r>
      <w:r w:rsidRPr="00D541B8">
        <w:rPr>
          <w:color w:val="0F172B"/>
          <w:szCs w:val="15"/>
          <w:lang w:val="fi-FI"/>
        </w:rPr>
        <w:t xml:space="preserve"> viiden vuoden ennakoituihin rahavirtoihin. Rahavirtaa tuottavien yksiköiden ennakoidut rahavirrat perustuivat olemassa olevie</w:t>
      </w:r>
      <w:r w:rsidRPr="00D541B8">
        <w:rPr>
          <w:color w:val="0F172B"/>
          <w:szCs w:val="15"/>
          <w:lang w:val="fi-FI"/>
        </w:rPr>
        <w:t>n aineellisten hyödykkeiden käyttämiseen niiden nykyisessä kunnossaan tavanomaisilla ylläpitokustannuksilla, pois lukien mahdolliset tulevat yrityshankinnat. Viiden vuoden ennustejakson jälkeen saatavat rahavirrat on laskettu käyttäen loppuarvomenetelmää.</w:t>
      </w:r>
    </w:p>
    <w:p w:rsidR="00F45628" w:rsidP="001C208A" w14:paraId="38C157E9" w14:textId="77777777">
      <w:pPr>
        <w:pStyle w:val="Bodytext2"/>
        <w:rPr>
          <w:color w:val="0F172B"/>
          <w:szCs w:val="15"/>
          <w:lang w:val="fi-FI"/>
        </w:rPr>
      </w:pPr>
    </w:p>
    <w:p w:rsidR="001C208A" w:rsidRPr="00D541B8" w:rsidP="001C208A" w14:paraId="6C566733" w14:textId="77777777">
      <w:pPr>
        <w:pStyle w:val="Bodytext2"/>
        <w:rPr>
          <w:lang w:val="fi-FI"/>
        </w:rPr>
      </w:pPr>
      <w:r w:rsidRPr="00D541B8">
        <w:rPr>
          <w:lang w:val="fi-FI"/>
        </w:rPr>
        <w:t>Portfolio Business</w:t>
      </w:r>
      <w:r w:rsidR="009150CD">
        <w:rPr>
          <w:lang w:val="fi-FI"/>
        </w:rPr>
        <w:t>in liiketoimintayksiköille</w:t>
      </w:r>
      <w:r w:rsidRPr="00D541B8">
        <w:rPr>
          <w:lang w:val="fi-FI"/>
        </w:rPr>
        <w:t xml:space="preserve"> kerrytettävissä oleva rahamäärä määritettiin enimmäkseen perustuen diskontattujen rahavirtojen menetelmään. </w:t>
      </w:r>
      <w:r w:rsidRPr="001C208A">
        <w:rPr>
          <w:lang w:val="fi-FI"/>
        </w:rPr>
        <w:t xml:space="preserve">Yhdelle liiketoimintayksikölle, joka testaushetkellä oli </w:t>
      </w:r>
      <w:r w:rsidRPr="001C208A">
        <w:rPr>
          <w:lang w:val="fi-FI"/>
        </w:rPr>
        <w:t>luokiteltu myytävänä oleviksi omaisuuseriksi,</w:t>
      </w:r>
      <w:r w:rsidRPr="001C208A">
        <w:rPr>
          <w:lang w:val="fi-FI"/>
        </w:rPr>
        <w:t xml:space="preserve"> kerrytettävissä oleva rahamäärä määritettiin perustuen arvioihin </w:t>
      </w:r>
      <w:r w:rsidRPr="00D541B8">
        <w:rPr>
          <w:lang w:val="fi-FI"/>
        </w:rPr>
        <w:t>sen yritysarvosta.</w:t>
      </w:r>
    </w:p>
    <w:p w:rsidR="001C208A" w:rsidRPr="00D541B8" w:rsidP="001C208A" w14:paraId="49C207DD" w14:textId="77777777">
      <w:pPr>
        <w:pStyle w:val="Bodytext2"/>
        <w:rPr>
          <w:lang w:val="fi-FI"/>
        </w:rPr>
      </w:pPr>
    </w:p>
    <w:p w:rsidR="001C208A" w:rsidRPr="00D541B8" w:rsidP="001C208A" w14:paraId="33B47856" w14:textId="77777777">
      <w:pPr>
        <w:pStyle w:val="Bodytext2"/>
        <w:rPr>
          <w:lang w:val="fi-FI"/>
        </w:rPr>
      </w:pPr>
      <w:r w:rsidRPr="00D541B8">
        <w:rPr>
          <w:lang w:val="fi-FI"/>
        </w:rPr>
        <w:t>Loppuarvon kasvun määrittelemisessä on käytetty johdon konservatiivista arviota kassavirran pitkän aikavälin kasvusta. Loppuarvon kasvutekijänä laskelmassa käytettiin seu</w:t>
      </w:r>
      <w:r w:rsidRPr="00D541B8">
        <w:rPr>
          <w:lang w:val="fi-FI"/>
        </w:rPr>
        <w:t>raavia prosentteja:</w:t>
      </w:r>
    </w:p>
    <w:p w:rsidR="001C208A" w:rsidRPr="00D541B8" w:rsidP="001C208A" w14:paraId="2D7946EC" w14:textId="77777777">
      <w:pPr>
        <w:pStyle w:val="Bodytext2"/>
        <w:rPr>
          <w:lang w:val="fi-FI"/>
        </w:rPr>
      </w:pPr>
    </w:p>
    <w:tbl>
      <w:tblPr>
        <w:tblStyle w:val="TableNormal"/>
        <w:tblCaption w:val="table_terminal_growth_rate_2021"/>
        <w:tblW w:w="7320" w:type="dxa"/>
        <w:tblLayout w:type="fixed"/>
        <w:tblLook w:val="0600"/>
      </w:tblPr>
      <w:tblGrid>
        <w:gridCol w:w="4830"/>
        <w:gridCol w:w="1245"/>
        <w:gridCol w:w="1245"/>
      </w:tblGrid>
      <w:tr>
        <w:tblPrEx>
          <w:tblW w:w="7320" w:type="dxa"/>
          <w:tblLayout w:type="fixed"/>
          <w:tblLook w:val="0600"/>
        </w:tblPrEx>
        <w:trPr>
          <w:trHeight w:hRule="exact" w:val="240"/>
        </w:trPr>
        <w:tc>
          <w:tcPr>
            <w:tcW w:w="48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Loppuarvon kasvuvauhti, %</w:t>
            </w:r>
          </w:p>
        </w:tc>
        <w:tc>
          <w:tcPr>
            <w:tcW w:w="1245"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Marine Power</w:t>
            </w:r>
          </w:p>
        </w:tc>
        <w:tc>
          <w:tcPr>
            <w:tcW w:w="12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Marine Systems</w:t>
            </w: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Voyage</w:t>
            </w: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Energy</w:t>
            </w: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Portfolio Business</w:t>
            </w: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w:t>
            </w:r>
          </w:p>
        </w:tc>
      </w:tr>
    </w:tbl>
    <w:p w:rsidR="006B4F3D" w:rsidRPr="00D541B8" w:rsidP="001C208A" w14:paraId="1797AE08" w14:textId="77777777">
      <w:pPr>
        <w:pStyle w:val="Bodytext2"/>
        <w:rPr>
          <w:color w:val="0F172B"/>
          <w:szCs w:val="15"/>
          <w:lang w:val="fi-FI"/>
        </w:rPr>
      </w:pPr>
    </w:p>
    <w:p w:rsidR="006B4F3D" w:rsidRPr="00D541B8" w:rsidP="001C208A" w14:paraId="30FC16B0" w14:textId="77777777">
      <w:pPr>
        <w:pStyle w:val="Bodytext2"/>
        <w:rPr>
          <w:lang w:val="fi-FI"/>
        </w:rPr>
      </w:pPr>
      <w:r w:rsidRPr="00D541B8">
        <w:rPr>
          <w:lang w:val="fi-FI"/>
        </w:rPr>
        <w:t>Arvonmäärityksessä avaintekijöitä ovat maailman talouden kasvu ja erityisesti globaalien energiamarkkinoiden kehitys, globaali laivanrakennusteollisuus sekä niihin liittyvien palveluiden kysyntä. M</w:t>
      </w:r>
      <w:r w:rsidRPr="00D541B8">
        <w:rPr>
          <w:lang w:val="fi-FI"/>
        </w:rPr>
        <w:t>arkkinoiden kokonaiskustannusten arvioidun kehityksen nähdään vaikuttavan kannattavuustasoon, kun taas yksittäisten kuluerien hintakehityksellä ei ole olennaista merkitystä laskelmiin. Avaintekijä tuotteiden ja laitteiden uusmyynnin arvonmäärityksessä on m</w:t>
      </w:r>
      <w:r w:rsidRPr="00D541B8">
        <w:rPr>
          <w:lang w:val="fi-FI"/>
        </w:rPr>
        <w:t>aailman talouden kasvu, kun taas avaintekijät palveluiden osalta liittyvät myös vastaavien palveluiden kysyntään ja arvioihin työkustannusten kehityksestä markkinoilla.</w:t>
      </w:r>
    </w:p>
    <w:p w:rsidR="006B4F3D" w:rsidRPr="00D541B8" w:rsidP="001C208A" w14:paraId="51FF371A" w14:textId="77777777">
      <w:pPr>
        <w:pStyle w:val="Bodytext2"/>
        <w:rPr>
          <w:lang w:val="fi-FI"/>
        </w:rPr>
      </w:pPr>
    </w:p>
    <w:p w:rsidR="006B4F3D" w:rsidRPr="00D541B8" w:rsidP="001C208A" w14:paraId="46F1C021" w14:textId="77777777">
      <w:pPr>
        <w:pStyle w:val="Bodytext2"/>
        <w:rPr>
          <w:lang w:val="fi-FI"/>
        </w:rPr>
      </w:pPr>
      <w:r w:rsidRPr="00D541B8">
        <w:rPr>
          <w:lang w:val="fi-FI"/>
        </w:rPr>
        <w:t>Diskonttauskorkona käytetään Wärtsilän määrittelemää painotettua pääomakustannusta enn</w:t>
      </w:r>
      <w:r w:rsidRPr="00D541B8">
        <w:rPr>
          <w:lang w:val="fi-FI"/>
        </w:rPr>
        <w:t>en veroja (WACC). WACC:n osatekijät ovat riskitön korko, markkinariskipreemio, teollisuuskohtainen beta, lainakustannus sekä oman ja vieraan pääoman suhde. Wärtsilä on käyttänyt seuraavia WACC-prosentteja laskelmissaan:</w:t>
      </w:r>
    </w:p>
    <w:p w:rsidR="001C208A" w:rsidRPr="00D541B8" w:rsidP="001C208A" w14:paraId="43648A1B" w14:textId="77777777">
      <w:pPr>
        <w:pStyle w:val="Bodytext2"/>
        <w:rPr>
          <w:lang w:val="fi-FI"/>
        </w:rPr>
      </w:pPr>
    </w:p>
    <w:tbl>
      <w:tblPr>
        <w:tblStyle w:val="TableNormal"/>
        <w:tblCaption w:val="table_WACC_rate_2021"/>
        <w:tblW w:w="7320" w:type="dxa"/>
        <w:tblLayout w:type="fixed"/>
        <w:tblLook w:val="0600"/>
      </w:tblPr>
      <w:tblGrid>
        <w:gridCol w:w="4830"/>
        <w:gridCol w:w="1245"/>
        <w:gridCol w:w="1245"/>
      </w:tblGrid>
      <w:tr>
        <w:tblPrEx>
          <w:tblW w:w="7320" w:type="dxa"/>
          <w:tblLayout w:type="fixed"/>
          <w:tblLook w:val="0600"/>
        </w:tblPrEx>
        <w:trPr>
          <w:trHeight w:hRule="exact" w:val="240"/>
        </w:trPr>
        <w:tc>
          <w:tcPr>
            <w:tcW w:w="48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Painotettu pääomakustannus (WACC), %</w:t>
            </w:r>
          </w:p>
        </w:tc>
        <w:tc>
          <w:tcPr>
            <w:tcW w:w="1245"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Marine Power</w:t>
            </w:r>
          </w:p>
        </w:tc>
        <w:tc>
          <w:tcPr>
            <w:tcW w:w="12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Marine Systems</w:t>
            </w: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7,7</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Voyage</w:t>
            </w: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Energy</w:t>
            </w: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8,3</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Portfolio Business</w:t>
            </w: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8,4</w:t>
            </w:r>
          </w:p>
        </w:tc>
      </w:tr>
    </w:tbl>
    <w:p w:rsidR="006B4F3D" w:rsidRPr="00D541B8" w:rsidP="001C208A" w14:paraId="09DA56D8" w14:textId="77777777">
      <w:pPr>
        <w:pStyle w:val="Bodytext2"/>
        <w:rPr>
          <w:lang w:val="fi-FI"/>
        </w:rPr>
      </w:pPr>
    </w:p>
    <w:p w:rsidR="006B4F3D" w:rsidRPr="00D541B8" w:rsidP="001C208A" w14:paraId="18426215" w14:textId="77777777">
      <w:pPr>
        <w:pStyle w:val="Bodytext2"/>
        <w:rPr>
          <w:lang w:val="fi-FI"/>
        </w:rPr>
      </w:pPr>
      <w:r w:rsidRPr="00D541B8">
        <w:rPr>
          <w:lang w:val="fi-FI"/>
        </w:rPr>
        <w:t>Arvonale</w:t>
      </w:r>
      <w:r w:rsidRPr="00D541B8">
        <w:rPr>
          <w:lang w:val="fi-FI"/>
        </w:rPr>
        <w:t>ntumistestauksen tuloksena arvonalentumistappiota ei tunnistettu rahavirtaa tuottaville yksiköille raportointikaudella, joka päättyi 30.9.202</w:t>
      </w:r>
      <w:r w:rsidR="00F45628">
        <w:rPr>
          <w:lang w:val="fi-FI"/>
        </w:rPr>
        <w:t>1</w:t>
      </w:r>
      <w:r w:rsidRPr="00D541B8">
        <w:rPr>
          <w:lang w:val="fi-FI"/>
        </w:rPr>
        <w:t>. Kerrytettävissä oleva rahamäärä RTY:ille Marine Power, Marine Systems ja Energy ylitti huomattavasti kunkin kirj</w:t>
      </w:r>
      <w:r w:rsidRPr="00D541B8">
        <w:rPr>
          <w:lang w:val="fi-FI"/>
        </w:rPr>
        <w:t>anpitoarvon.</w:t>
      </w:r>
    </w:p>
    <w:p w:rsidR="006B4F3D" w:rsidRPr="00D541B8" w:rsidP="001C208A" w14:paraId="45B98048" w14:textId="77777777">
      <w:pPr>
        <w:pStyle w:val="Bodytext2"/>
        <w:rPr>
          <w:lang w:val="fi-FI"/>
        </w:rPr>
      </w:pPr>
    </w:p>
    <w:p w:rsidR="006B4F3D" w:rsidRPr="00D541B8" w:rsidP="001C208A" w14:paraId="787B31BE" w14:textId="77777777">
      <w:pPr>
        <w:pStyle w:val="Bodytext2"/>
        <w:rPr>
          <w:lang w:val="fi-FI"/>
        </w:rPr>
      </w:pPr>
      <w:r w:rsidRPr="00D541B8">
        <w:rPr>
          <w:lang w:val="fi-FI"/>
        </w:rPr>
        <w:t>Myös rahavirtaa tuottavalle yksikölle Voyage määritettiin kerrytettävissä oleva rahamäärä, joka ylitti sen kirjanpitoarvon olennaisesti. Pääasialliset oletukset Voyageen liityen ovat, että sen EBITDA:n arvioidaan saavuttavan nollatason muutam</w:t>
      </w:r>
      <w:r w:rsidRPr="00D541B8">
        <w:rPr>
          <w:lang w:val="fi-FI"/>
        </w:rPr>
        <w:t>an seuraavan vuoden sisällä, ja että sen kasvuvauhti tulee ylittämään konsernin keskiarvon. Epäsuotuisat muutokset näihin olettamiin aiheuttaisivat negatiivisen vaikutuksen liiketoiminnan arvostamiseen.</w:t>
      </w:r>
    </w:p>
    <w:p w:rsidR="001C208A" w:rsidRPr="00D541B8" w:rsidP="001C208A" w14:paraId="2930379E" w14:textId="77777777">
      <w:pPr>
        <w:pStyle w:val="Bodytext2"/>
        <w:rPr>
          <w:lang w:val="fi-FI"/>
        </w:rPr>
      </w:pPr>
    </w:p>
    <w:p w:rsidR="006B4F3D" w:rsidRPr="00D541B8" w:rsidP="001C208A" w14:paraId="39D269F6" w14:textId="77777777">
      <w:pPr>
        <w:pStyle w:val="Bodytext2"/>
        <w:rPr>
          <w:lang w:val="fi-FI"/>
        </w:rPr>
      </w:pPr>
      <w:r w:rsidRPr="00D541B8">
        <w:rPr>
          <w:lang w:val="fi-FI"/>
        </w:rPr>
        <w:t>Myytävänä olevien omaisuuserien arvostamiseen liittyvien vaatimusten mukaisesti Wärtsilä on vuonna 202</w:t>
      </w:r>
      <w:r>
        <w:rPr>
          <w:lang w:val="fi-FI"/>
        </w:rPr>
        <w:t>1</w:t>
      </w:r>
      <w:r w:rsidRPr="00D541B8">
        <w:rPr>
          <w:lang w:val="fi-FI"/>
        </w:rPr>
        <w:t xml:space="preserve"> kirjannut alas Portfolio Businessiin liittyviä varoja. </w:t>
      </w:r>
      <w:r>
        <w:rPr>
          <w:lang w:val="fi-FI"/>
        </w:rPr>
        <w:t xml:space="preserve">Nämä varat on luokiteltu </w:t>
      </w:r>
      <w:r w:rsidRPr="00176AD6">
        <w:rPr>
          <w:color w:val="0F172B"/>
          <w:lang w:val="fi-FI"/>
        </w:rPr>
        <w:t>myytävänä oleviksi omaisuuseriksi</w:t>
      </w:r>
      <w:r>
        <w:rPr>
          <w:color w:val="0F172B"/>
          <w:lang w:val="fi-FI"/>
        </w:rPr>
        <w:t xml:space="preserve"> jo aiemman tilikauden aikana. </w:t>
      </w:r>
      <w:r w:rsidRPr="00D541B8">
        <w:rPr>
          <w:lang w:val="fi-FI"/>
        </w:rPr>
        <w:t>Osa varo</w:t>
      </w:r>
      <w:r w:rsidRPr="00D541B8">
        <w:rPr>
          <w:lang w:val="fi-FI"/>
        </w:rPr>
        <w:t>jen alaskirjauksista liitty</w:t>
      </w:r>
      <w:r>
        <w:rPr>
          <w:lang w:val="fi-FI"/>
        </w:rPr>
        <w:t>y</w:t>
      </w:r>
      <w:r w:rsidRPr="00D541B8">
        <w:rPr>
          <w:lang w:val="fi-FI"/>
        </w:rPr>
        <w:t xml:space="preserve"> liikearvoon. Vuosittaisen liikearvon arvonalentumistestauksen perusteella ei kuitenkaan havaittu tarvetta ylimääräisille arvonalentumiskirjauksille Port</w:t>
      </w:r>
      <w:r>
        <w:rPr>
          <w:lang w:val="fi-FI"/>
        </w:rPr>
        <w:t>f</w:t>
      </w:r>
      <w:r w:rsidRPr="00D541B8">
        <w:rPr>
          <w:lang w:val="fi-FI"/>
        </w:rPr>
        <w:t>olio Businessin osalta.</w:t>
      </w:r>
    </w:p>
    <w:p w:rsidR="006B4F3D" w:rsidRPr="00D541B8" w:rsidP="001C208A" w14:paraId="5837D9BC" w14:textId="77777777">
      <w:pPr>
        <w:pStyle w:val="Bodytext2"/>
        <w:rPr>
          <w:lang w:val="fi-FI"/>
        </w:rPr>
      </w:pPr>
    </w:p>
    <w:p w:rsidR="006B4F3D" w:rsidRPr="001C208A" w:rsidP="001C208A" w14:paraId="71A8D331" w14:textId="77777777">
      <w:pPr>
        <w:pStyle w:val="Bodytext2"/>
        <w:rPr>
          <w:lang w:val="fi-FI"/>
        </w:rPr>
      </w:pPr>
      <w:r w:rsidRPr="00D541B8">
        <w:rPr>
          <w:lang w:val="fi-FI"/>
        </w:rPr>
        <w:t xml:space="preserve">Vuosittaisen liikearvon arvonalentumistestauksen </w:t>
      </w:r>
      <w:r w:rsidRPr="00D541B8">
        <w:rPr>
          <w:lang w:val="fi-FI"/>
        </w:rPr>
        <w:t>jälkeen ei ole ilmennyt uusia viitteitä liikearvon arvonalentumisesta.</w:t>
      </w:r>
    </w:p>
    <w:p w:rsidR="001C208A" w:rsidRPr="00D541B8" w:rsidP="00CF563F" w14:paraId="74BAED18" w14:textId="77777777">
      <w:pPr>
        <w:pStyle w:val="Bodytext2"/>
        <w:rPr>
          <w:lang w:val="fi-FI"/>
        </w:rPr>
      </w:pPr>
    </w:p>
    <w:p w:rsidR="00036B5D" w:rsidRPr="00D541B8" w:rsidP="00CF563F" w14:paraId="422699F2" w14:textId="77777777">
      <w:pPr>
        <w:pStyle w:val="Bodytext2"/>
        <w:rPr>
          <w:b/>
          <w:color w:val="000000"/>
          <w:szCs w:val="22"/>
          <w:lang w:val="fi-FI"/>
        </w:rPr>
      </w:pPr>
      <w:r w:rsidRPr="00D541B8">
        <w:rPr>
          <w:b/>
          <w:color w:val="000000"/>
          <w:szCs w:val="22"/>
          <w:lang w:val="fi-FI"/>
        </w:rPr>
        <w:t>Herkkyysanalyysi</w:t>
      </w:r>
    </w:p>
    <w:p w:rsidR="00CF563F" w:rsidRPr="00D541B8" w:rsidP="00CF563F" w14:paraId="5DECA5DD" w14:textId="77777777">
      <w:pPr>
        <w:pStyle w:val="Bodytext2"/>
        <w:rPr>
          <w:color w:val="0F172B"/>
          <w:szCs w:val="15"/>
          <w:lang w:val="fi-FI"/>
        </w:rPr>
      </w:pPr>
      <w:r w:rsidRPr="00D541B8">
        <w:rPr>
          <w:color w:val="0F172B"/>
          <w:szCs w:val="15"/>
          <w:lang w:val="fi-FI"/>
        </w:rPr>
        <w:t xml:space="preserve">Johto on arvioinut, ettei mikään muutos keskeisissä oletuksissa saisi aikaan tilannetta, jossa yhdenkään rahavirtaa tuottavan yksikön kirjanpitoarvo ylittäisi sen </w:t>
      </w:r>
      <w:r w:rsidRPr="00D541B8">
        <w:rPr>
          <w:color w:val="0F172B"/>
          <w:szCs w:val="15"/>
          <w:lang w:val="fi-FI"/>
        </w:rPr>
        <w:t>kerrytettävissä olevan rahamäärän. Rahavirtaa tuottaville yksiköille on tehty herkkyysanalyysi muuttamalla laskentaoletuksia. Alla olevassa taulukossa on esitetty vaadittava muutos oletuksessa, jolla kerrytettävissä olevan rahamäärän arvo vastaisi kirjanpi</w:t>
      </w:r>
      <w:r w:rsidRPr="00D541B8">
        <w:rPr>
          <w:color w:val="0F172B"/>
          <w:szCs w:val="15"/>
          <w:lang w:val="fi-FI"/>
        </w:rPr>
        <w:t>toarvoa.</w:t>
      </w:r>
    </w:p>
    <w:p w:rsidR="00036B5D" w:rsidRPr="00D541B8" w:rsidP="00CF563F" w14:paraId="5AA3FE07" w14:textId="77777777">
      <w:pPr>
        <w:pStyle w:val="Bodytext2"/>
        <w:rPr>
          <w:color w:val="0F172B"/>
          <w:szCs w:val="15"/>
          <w:lang w:val="fi-FI"/>
        </w:rPr>
      </w:pPr>
    </w:p>
    <w:tbl>
      <w:tblPr>
        <w:tblStyle w:val="TableNormal"/>
        <w:tblCaption w:val="table_sensitivity_analysis_2021"/>
        <w:tblW w:w="7350" w:type="dxa"/>
        <w:tblLayout w:type="fixed"/>
        <w:tblLook w:val="0600"/>
      </w:tblPr>
      <w:tblGrid>
        <w:gridCol w:w="3330"/>
        <w:gridCol w:w="4020"/>
      </w:tblGrid>
      <w:tr>
        <w:tblPrEx>
          <w:tblW w:w="7350" w:type="dxa"/>
          <w:tblLayout w:type="fixed"/>
          <w:tblLook w:val="0600"/>
        </w:tblPrEx>
        <w:trPr>
          <w:trHeight w:val="240"/>
        </w:trPr>
        <w:tc>
          <w:tcPr>
            <w:tcW w:w="3330"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402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Muutos</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Marine Power</w:t>
            </w:r>
          </w:p>
        </w:tc>
        <w:tc>
          <w:tcPr>
            <w:tcW w:w="4020" w:type="dxa"/>
            <w:tcBorders>
              <w:top w:val="single" w:sz="8" w:space="0" w:color="0F172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Diskonttauskorko, ennen veroja</w:t>
            </w:r>
          </w:p>
        </w:tc>
        <w:tc>
          <w:tcPr>
            <w:tcW w:w="402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kasvu yli 17 prosenttiyksikköä</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Loppuarvon kasvuvauhti</w:t>
            </w:r>
          </w:p>
        </w:tc>
        <w:tc>
          <w:tcPr>
            <w:tcW w:w="402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lasku yli 23 prosenttiyksikköä</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Kannattavuus</w:t>
            </w:r>
          </w:p>
        </w:tc>
        <w:tc>
          <w:tcPr>
            <w:tcW w:w="402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lasku yli 63 prosenttia</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4020" w:type="dxa"/>
            <w:tcBorders>
              <w:top w:val="single" w:sz="4" w:space="0" w:color="004A6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Marine Systems</w:t>
            </w:r>
          </w:p>
        </w:tc>
        <w:tc>
          <w:tcPr>
            <w:tcW w:w="4020" w:type="dxa"/>
            <w:tcBorders>
              <w:top w:val="single" w:sz="4" w:space="0" w:color="004A6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Diskonttauskorko, ennen veroja</w:t>
            </w:r>
          </w:p>
        </w:tc>
        <w:tc>
          <w:tcPr>
            <w:tcW w:w="402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kasvu yli 31 prosenttiyksikköä</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Loppuarvon kasvuvauhti</w:t>
            </w:r>
          </w:p>
        </w:tc>
        <w:tc>
          <w:tcPr>
            <w:tcW w:w="402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lasku yli 148 prosenttiyksikköä</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Kannattavuus</w:t>
            </w:r>
          </w:p>
        </w:tc>
        <w:tc>
          <w:tcPr>
            <w:tcW w:w="402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lasku yli 81 prosenttia</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4020" w:type="dxa"/>
            <w:tcBorders>
              <w:top w:val="single" w:sz="4" w:space="0" w:color="004A6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Voyage</w:t>
            </w:r>
          </w:p>
        </w:tc>
        <w:tc>
          <w:tcPr>
            <w:tcW w:w="4020" w:type="dxa"/>
            <w:tcBorders>
              <w:top w:val="single" w:sz="4" w:space="0" w:color="004A6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Diskonttauskorko, ennen veroja</w:t>
            </w:r>
          </w:p>
        </w:tc>
        <w:tc>
          <w:tcPr>
            <w:tcW w:w="402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kasvu yli 7 prosenttiyksikköä</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Loppuarvon kasvuvauhti</w:t>
            </w:r>
          </w:p>
        </w:tc>
        <w:tc>
          <w:tcPr>
            <w:tcW w:w="402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lasku yli 7 prosenttiyksikköä</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Kannattavuus</w:t>
            </w:r>
          </w:p>
        </w:tc>
        <w:tc>
          <w:tcPr>
            <w:tcW w:w="402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lasku yli 56 prosenttia</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4020" w:type="dxa"/>
            <w:tcBorders>
              <w:top w:val="single" w:sz="4" w:space="0" w:color="004A6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Energy</w:t>
            </w:r>
          </w:p>
        </w:tc>
        <w:tc>
          <w:tcPr>
            <w:tcW w:w="4020" w:type="dxa"/>
            <w:tcBorders>
              <w:top w:val="single" w:sz="4" w:space="0" w:color="004A6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Diskonttauskorko, ennen veroja</w:t>
            </w:r>
          </w:p>
        </w:tc>
        <w:tc>
          <w:tcPr>
            <w:tcW w:w="402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kasvu yli 22 prosenttiyksikköä</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Loppuarvon kasvuvauhti</w:t>
            </w:r>
          </w:p>
        </w:tc>
        <w:tc>
          <w:tcPr>
            <w:tcW w:w="402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lasku yli 37 prosenttiyksikköä</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Kannattavuus</w:t>
            </w:r>
          </w:p>
        </w:tc>
        <w:tc>
          <w:tcPr>
            <w:tcW w:w="402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lasku yli 71 prosenttia</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4020" w:type="dxa"/>
            <w:tcBorders>
              <w:top w:val="single" w:sz="4" w:space="0" w:color="004A6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Portfolio Business</w:t>
            </w:r>
          </w:p>
        </w:tc>
        <w:tc>
          <w:tcPr>
            <w:tcW w:w="4020" w:type="dxa"/>
            <w:tcBorders>
              <w:top w:val="single" w:sz="4" w:space="0" w:color="004A6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Diskonttauskorko, ennen veroja</w:t>
            </w:r>
          </w:p>
        </w:tc>
        <w:tc>
          <w:tcPr>
            <w:tcW w:w="402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kasvu yli 1,4 prosenttiyksikköä</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Loppuarvon kasvuvauhti</w:t>
            </w:r>
          </w:p>
        </w:tc>
        <w:tc>
          <w:tcPr>
            <w:tcW w:w="402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lasku yli 1,2 prosenttiyksikköä</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Kannattavuus</w:t>
            </w:r>
          </w:p>
        </w:tc>
        <w:tc>
          <w:tcPr>
            <w:tcW w:w="402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lasku yli 14,3 prosenttia</w:t>
            </w:r>
          </w:p>
        </w:tc>
      </w:tr>
    </w:tbl>
    <w:p w:rsidR="00036B5D" w:rsidRPr="00D541B8" w:rsidP="00CF563F" w14:paraId="41409E7E" w14:textId="77777777">
      <w:pPr>
        <w:pStyle w:val="Bodytext2"/>
        <w:rPr>
          <w:color w:val="0F172B"/>
          <w:szCs w:val="15"/>
          <w:lang w:val="fi-FI"/>
        </w:rPr>
      </w:pPr>
    </w:p>
    <w:p w:rsidR="005B612C" w:rsidRPr="00D541B8" w:rsidP="00D541B8" w14:paraId="670D31CB" w14:textId="77777777">
      <w:pPr>
        <w:pStyle w:val="Bodytext2"/>
        <w:rPr>
          <w:color w:val="0F172B"/>
          <w:szCs w:val="15"/>
          <w:lang w:val="fi-FI"/>
        </w:rPr>
      </w:pPr>
      <w:r w:rsidRPr="00D541B8">
        <w:rPr>
          <w:color w:val="0F172B"/>
          <w:szCs w:val="15"/>
          <w:lang w:val="fi-FI"/>
        </w:rPr>
        <w:t>Johdon näkemyksen mukaan perusoletusten muutoksia ei tule tulkita osoituksena niiden toteutumisen todennäköisyydestä. Herkkyysanalyysit ovat hypoteettisia ja siksi niihin tulee suhtautua varauksella.</w:t>
      </w:r>
    </w:p>
    <w:p w:rsidR="005B612C" w:rsidRPr="00D541B8" w:rsidP="000B7B5D" w14:paraId="003C39C7" w14:textId="77777777">
      <w:pPr>
        <w:pStyle w:val="Heading13"/>
        <w:rPr>
          <w:lang w:val="fi-FI"/>
        </w:rPr>
      </w:pPr>
    </w:p>
    <w:p w:rsidR="000B7B5D" w:rsidRPr="00D541B8" w:rsidP="000B7B5D" w14:paraId="21813287" w14:textId="77777777">
      <w:pPr>
        <w:pStyle w:val="Heading13"/>
        <w:rPr>
          <w:lang w:val="fi-FI"/>
        </w:rPr>
      </w:pPr>
      <w:r w:rsidRPr="00D541B8">
        <w:rPr>
          <w:lang w:val="fi-FI"/>
        </w:rPr>
        <w:t>Liikear</w:t>
      </w:r>
      <w:r w:rsidRPr="00D541B8">
        <w:rPr>
          <w:lang w:val="fi-FI"/>
        </w:rPr>
        <w:t>vo 2020</w:t>
      </w:r>
    </w:p>
    <w:p w:rsidR="000B7B5D" w:rsidRPr="00D541B8" w:rsidP="000B7B5D" w14:paraId="747C3776" w14:textId="77777777">
      <w:pPr>
        <w:pStyle w:val="Bodytext2"/>
        <w:rPr>
          <w:color w:val="0F172B"/>
          <w:szCs w:val="15"/>
          <w:lang w:val="fi-FI"/>
        </w:rPr>
      </w:pPr>
    </w:p>
    <w:tbl>
      <w:tblPr>
        <w:tblStyle w:val="TableNormal"/>
        <w:tblCaption w:val="table_goodwill_2020"/>
        <w:tblW w:w="7320" w:type="dxa"/>
        <w:tblLayout w:type="fixed"/>
        <w:tblLook w:val="0600"/>
      </w:tblPr>
      <w:tblGrid>
        <w:gridCol w:w="4830"/>
        <w:gridCol w:w="1245"/>
        <w:gridCol w:w="1245"/>
      </w:tblGrid>
      <w:tr>
        <w:tblPrEx>
          <w:tblW w:w="7320" w:type="dxa"/>
          <w:tblLayout w:type="fixed"/>
          <w:tblLook w:val="0600"/>
        </w:tblPrEx>
        <w:trPr>
          <w:trHeight w:hRule="exact" w:val="240"/>
        </w:trPr>
        <w:tc>
          <w:tcPr>
            <w:tcW w:w="6075" w:type="dxa"/>
            <w:gridSpan w:val="2"/>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Wärtsilä-konserni</w:t>
            </w:r>
          </w:p>
        </w:tc>
        <w:tc>
          <w:tcPr>
            <w:tcW w:w="12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6075" w:type="dxa"/>
            <w:gridSpan w:val="2"/>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1.1.</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1 380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6075" w:type="dxa"/>
            <w:gridSpan w:val="2"/>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Muutokset valuuttakursseissa</w:t>
            </w:r>
          </w:p>
        </w:tc>
        <w:tc>
          <w:tcPr>
            <w:tcW w:w="12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Wärtsilä 30.6.</w:t>
            </w:r>
          </w:p>
        </w:tc>
        <w:tc>
          <w:tcPr>
            <w:tcW w:w="12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1 339</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Muutokset valuuttakursseissa</w:t>
            </w: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6075" w:type="dxa"/>
            <w:gridSpan w:val="2"/>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Yritysmyynnit ja arvonalentumiset</w:t>
            </w:r>
          </w:p>
        </w:tc>
        <w:tc>
          <w:tcPr>
            <w:tcW w:w="1245"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nil"/>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Uudelleenryhmittely myytävänä oleviin omaisuuseriin</w:t>
            </w:r>
          </w:p>
        </w:tc>
        <w:tc>
          <w:tcPr>
            <w:tcW w:w="1245" w:type="dxa"/>
            <w:tcBorders>
              <w:top w:val="nil"/>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nil"/>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6075" w:type="dxa"/>
            <w:gridSpan w:val="2"/>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Wärtsilä 31.12.</w:t>
            </w:r>
          </w:p>
        </w:tc>
        <w:tc>
          <w:tcPr>
            <w:tcW w:w="12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1 325</w:t>
            </w:r>
          </w:p>
        </w:tc>
      </w:tr>
    </w:tbl>
    <w:p w:rsidR="000B7B5D" w:rsidRPr="00D541B8" w:rsidP="00A8308F" w14:paraId="3759BA64" w14:textId="77777777">
      <w:pPr>
        <w:pStyle w:val="Bodytext2"/>
        <w:rPr>
          <w:lang w:val="fi-FI"/>
        </w:rPr>
      </w:pPr>
    </w:p>
    <w:p w:rsidR="00F653B2" w:rsidRPr="00D541B8" w:rsidP="00A8308F" w14:paraId="08504CD2" w14:textId="77777777">
      <w:pPr>
        <w:pStyle w:val="Bodytext2"/>
        <w:rPr>
          <w:lang w:val="fi-FI"/>
        </w:rPr>
      </w:pPr>
      <w:r w:rsidRPr="00D541B8">
        <w:rPr>
          <w:lang w:val="fi-FI"/>
        </w:rPr>
        <w:t>Yritysmyynnit ja arvonalentumiset liikearvossa liittyvät myytyihin liiketoimintoihin Portfolio Businessissä. Nämä liiketoiminnot luokiteltiin ensin myytävänä oleviksi omaisuuseriksi ja myytiin myöhemmin. Yritysmyyntien ko</w:t>
      </w:r>
      <w:r w:rsidRPr="00D541B8">
        <w:rPr>
          <w:lang w:val="fi-FI"/>
        </w:rPr>
        <w:t>konaisvaikutus tilikauden tulokseen on esitetty liitetiedossa 6.2. Yritysmyynnit.</w:t>
      </w:r>
    </w:p>
    <w:p w:rsidR="000B7B5D" w:rsidRPr="00D541B8" w:rsidP="00A8308F" w14:paraId="0B9FDA80" w14:textId="77777777">
      <w:pPr>
        <w:pStyle w:val="Bodytext2"/>
        <w:rPr>
          <w:highlight w:val="magenta"/>
          <w:lang w:val="fi-FI"/>
        </w:rPr>
      </w:pPr>
    </w:p>
    <w:p w:rsidR="00F653B2" w:rsidRPr="00D541B8" w:rsidP="00A8308F" w14:paraId="0E8E1B8C" w14:textId="77777777">
      <w:pPr>
        <w:pStyle w:val="Bodytext2"/>
        <w:rPr>
          <w:lang w:val="fi-FI"/>
        </w:rPr>
      </w:pPr>
      <w:r w:rsidRPr="00D541B8">
        <w:rPr>
          <w:lang w:val="fi-FI"/>
        </w:rPr>
        <w:t xml:space="preserve">Kaikki tällä hetkellä myytävänä olevina </w:t>
      </w:r>
      <w:r w:rsidRPr="00D541B8" w:rsidR="009F2F39">
        <w:rPr>
          <w:lang w:val="fi-FI"/>
        </w:rPr>
        <w:t>omaisuuserinä</w:t>
      </w:r>
      <w:r w:rsidRPr="00D541B8">
        <w:rPr>
          <w:lang w:val="fi-FI"/>
        </w:rPr>
        <w:t xml:space="preserve"> esitetyt liiketoiminnot kuuluvat Portfolio Businessiin. Kokonaisvaikutus tilikauden tulokseen on esitetty liitetiedossa</w:t>
      </w:r>
      <w:r w:rsidRPr="00D541B8">
        <w:rPr>
          <w:lang w:val="fi-FI"/>
        </w:rPr>
        <w:t xml:space="preserve"> 6.3. Myytävänä olevat omaisuuserät.</w:t>
      </w:r>
    </w:p>
    <w:p w:rsidR="000B7B5D" w:rsidP="000B7B5D" w14:paraId="7CC3826D" w14:textId="77777777">
      <w:pPr>
        <w:pStyle w:val="Bodytext2"/>
        <w:rPr>
          <w:color w:val="0F172B"/>
          <w:szCs w:val="15"/>
          <w:lang w:val="fi-FI"/>
        </w:rPr>
      </w:pPr>
    </w:p>
    <w:p w:rsidR="00F8573A" w:rsidRPr="00D541B8" w:rsidP="000B7B5D" w14:paraId="736F951E" w14:textId="77777777">
      <w:pPr>
        <w:pStyle w:val="Bodytext2"/>
        <w:rPr>
          <w:color w:val="0F172B"/>
          <w:szCs w:val="15"/>
          <w:lang w:val="fi-FI"/>
        </w:rPr>
      </w:pPr>
    </w:p>
    <w:p w:rsidR="000B7B5D" w:rsidRPr="00D541B8" w:rsidP="000B7B5D" w14:paraId="1AB8941D" w14:textId="77777777">
      <w:pPr>
        <w:pStyle w:val="Heading13"/>
        <w:rPr>
          <w:lang w:val="fi-FI"/>
        </w:rPr>
      </w:pPr>
      <w:r w:rsidRPr="00D541B8">
        <w:rPr>
          <w:lang w:val="fi-FI"/>
        </w:rPr>
        <w:t>Liikearvon kohdistaminen</w:t>
      </w:r>
    </w:p>
    <w:p w:rsidR="000B7B5D" w:rsidRPr="00D541B8" w:rsidP="000B7B5D" w14:paraId="3616EBE3" w14:textId="77777777">
      <w:pPr>
        <w:pStyle w:val="Bodytext2"/>
        <w:rPr>
          <w:color w:val="0F172B"/>
          <w:szCs w:val="15"/>
          <w:lang w:val="fi-FI"/>
        </w:rPr>
      </w:pPr>
      <w:r w:rsidRPr="00D541B8">
        <w:rPr>
          <w:color w:val="0F172B"/>
          <w:szCs w:val="15"/>
          <w:lang w:val="fi-FI"/>
        </w:rPr>
        <w:t>Yrityshankinnoissa syntyvä liikearvo on kohdistettu uusille toimintasegmenteille ja muille liiketoiminnoille, jotka ovat myös konsernin rahavirtaa tuottavat yksiköt liikearvon arvonalentumiste</w:t>
      </w:r>
      <w:r w:rsidRPr="00D541B8">
        <w:rPr>
          <w:color w:val="0F172B"/>
          <w:szCs w:val="15"/>
          <w:lang w:val="fi-FI"/>
        </w:rPr>
        <w:t>stauksessa. 1.7.2020 alkaen RTY:t ovat Marine Power, Marine Systems, Voyage, Energy ja Portfolio Business.</w:t>
      </w:r>
    </w:p>
    <w:p w:rsidR="000B7B5D" w:rsidRPr="00D541B8" w:rsidP="000B7B5D" w14:paraId="286424A7" w14:textId="77777777">
      <w:pPr>
        <w:pStyle w:val="Bodytext2"/>
        <w:rPr>
          <w:color w:val="0F172B"/>
          <w:szCs w:val="15"/>
          <w:lang w:val="fi-FI"/>
        </w:rPr>
      </w:pPr>
    </w:p>
    <w:p w:rsidR="000D0BF2" w:rsidP="000B7B5D" w14:paraId="24DEF58F" w14:textId="77777777">
      <w:pPr>
        <w:pStyle w:val="Bodytext2"/>
        <w:rPr>
          <w:color w:val="0F172B"/>
          <w:szCs w:val="15"/>
          <w:lang w:val="fi-FI"/>
        </w:rPr>
      </w:pPr>
      <w:r w:rsidRPr="00D541B8">
        <w:rPr>
          <w:color w:val="0F172B"/>
          <w:szCs w:val="15"/>
          <w:lang w:val="fi-FI"/>
        </w:rPr>
        <w:t>Uudelleen kohdistaminen on tehty vähäisiä poikkeuksia lukuun ottamatta käyttämällä arvojen suhteeseen perustuvaa lähestymistapaa.</w:t>
      </w:r>
    </w:p>
    <w:p w:rsidR="000D0BF2" w:rsidP="000B7B5D" w14:paraId="187F2F17" w14:textId="77777777">
      <w:pPr>
        <w:pStyle w:val="Bodytext2"/>
        <w:rPr>
          <w:color w:val="0F172B"/>
          <w:szCs w:val="15"/>
          <w:lang w:val="fi-FI"/>
        </w:rPr>
      </w:pPr>
    </w:p>
    <w:tbl>
      <w:tblPr>
        <w:tblStyle w:val="TableNormal"/>
        <w:tblCaption w:val="table_goodwill_cgu_2020"/>
        <w:tblW w:w="7320" w:type="dxa"/>
        <w:tblLayout w:type="fixed"/>
        <w:tblLook w:val="0600"/>
      </w:tblPr>
      <w:tblGrid>
        <w:gridCol w:w="4830"/>
        <w:gridCol w:w="1245"/>
        <w:gridCol w:w="1245"/>
      </w:tblGrid>
      <w:tr>
        <w:tblPrEx>
          <w:tblW w:w="7320" w:type="dxa"/>
          <w:tblLayout w:type="fixed"/>
          <w:tblLook w:val="0600"/>
        </w:tblPrEx>
        <w:trPr>
          <w:trHeight w:hRule="exact" w:val="240"/>
        </w:trPr>
        <w:tc>
          <w:tcPr>
            <w:tcW w:w="48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1.7.2020</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31.12.2020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Marine Power</w:t>
            </w:r>
          </w:p>
        </w:tc>
        <w:tc>
          <w:tcPr>
            <w:tcW w:w="12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535</w:t>
            </w:r>
          </w:p>
        </w:tc>
        <w:tc>
          <w:tcPr>
            <w:tcW w:w="12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534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Marine Systems</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165</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Voyage</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98</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98</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Energy</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502</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502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Portfolio Business</w:t>
            </w:r>
          </w:p>
        </w:tc>
        <w:tc>
          <w:tcPr>
            <w:tcW w:w="12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39</w:t>
            </w:r>
          </w:p>
        </w:tc>
        <w:tc>
          <w:tcPr>
            <w:tcW w:w="12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26</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2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1 339</w:t>
            </w:r>
          </w:p>
        </w:tc>
        <w:tc>
          <w:tcPr>
            <w:tcW w:w="12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1 325</w:t>
            </w:r>
          </w:p>
        </w:tc>
      </w:tr>
    </w:tbl>
    <w:p w:rsidR="000B7B5D" w:rsidRPr="00D541B8" w:rsidP="000B7B5D" w14:paraId="0ADFF4FB" w14:textId="77777777">
      <w:pPr>
        <w:pStyle w:val="Bodytext2"/>
        <w:rPr>
          <w:color w:val="0F172B"/>
          <w:szCs w:val="15"/>
          <w:lang w:val="fi-FI"/>
        </w:rPr>
      </w:pPr>
    </w:p>
    <w:p w:rsidR="000B7B5D" w:rsidRPr="00D541B8" w:rsidP="000B7B5D" w14:paraId="4CC601FF" w14:textId="77777777">
      <w:pPr>
        <w:pStyle w:val="Heading13"/>
        <w:rPr>
          <w:lang w:val="fi-FI"/>
        </w:rPr>
      </w:pPr>
      <w:r w:rsidRPr="00D541B8">
        <w:rPr>
          <w:lang w:val="fi-FI"/>
        </w:rPr>
        <w:t>Liikearvon arvonalentumistestaus per 30.6.2020</w:t>
      </w:r>
    </w:p>
    <w:p w:rsidR="000B7B5D" w:rsidRPr="00D541B8" w:rsidP="000B7B5D" w14:paraId="6347720B" w14:textId="77777777">
      <w:pPr>
        <w:pStyle w:val="Bodytext2"/>
        <w:rPr>
          <w:color w:val="0F172B"/>
          <w:szCs w:val="15"/>
          <w:lang w:val="fi-FI"/>
        </w:rPr>
      </w:pPr>
      <w:r w:rsidRPr="00D541B8">
        <w:rPr>
          <w:color w:val="0F172B"/>
          <w:szCs w:val="15"/>
          <w:lang w:val="fi-FI"/>
        </w:rPr>
        <w:t xml:space="preserve">COVID-19:n puhkeamisen ja uuden organisaatiorakenteen vuoksi Wärtsilä suoritti liikearvon arvonalentumistestauksen myös vuoden 2020 toisella neljänneksellä. Liikearvon testauksen </w:t>
      </w:r>
      <w:r w:rsidRPr="00D541B8">
        <w:rPr>
          <w:color w:val="0F172B"/>
          <w:szCs w:val="15"/>
          <w:lang w:val="fi-FI"/>
        </w:rPr>
        <w:t>tuloksena arvonalentumistappiota ei tunnistettu konsernin RTY:ille raportointikaudella, joka päättyi 30.6.2020.</w:t>
      </w:r>
    </w:p>
    <w:p w:rsidR="000B7B5D" w:rsidRPr="00D541B8" w:rsidP="000B7B5D" w14:paraId="46EF0B1A" w14:textId="77777777">
      <w:pPr>
        <w:pStyle w:val="Bodytext2"/>
        <w:rPr>
          <w:color w:val="0F172B"/>
          <w:szCs w:val="15"/>
          <w:lang w:val="fi-FI"/>
        </w:rPr>
      </w:pPr>
    </w:p>
    <w:p w:rsidR="000B7B5D" w:rsidRPr="00D541B8" w:rsidP="000B7B5D" w14:paraId="5B89CEFE" w14:textId="77777777">
      <w:pPr>
        <w:pStyle w:val="Bodytext2"/>
        <w:rPr>
          <w:b/>
          <w:color w:val="000000"/>
          <w:szCs w:val="22"/>
          <w:lang w:val="fi-FI"/>
        </w:rPr>
      </w:pPr>
      <w:r w:rsidRPr="00D541B8">
        <w:rPr>
          <w:b/>
          <w:color w:val="000000"/>
          <w:szCs w:val="22"/>
          <w:lang w:val="fi-FI"/>
        </w:rPr>
        <w:t>Vuosittainen liikearvon arvonalentumistestaus</w:t>
      </w:r>
    </w:p>
    <w:p w:rsidR="000B7B5D" w:rsidRPr="00D541B8" w:rsidP="000B7B5D" w14:paraId="50D6CB5A" w14:textId="77777777">
      <w:pPr>
        <w:pStyle w:val="Bodytext2"/>
        <w:rPr>
          <w:color w:val="0F172B"/>
          <w:szCs w:val="15"/>
          <w:lang w:val="fi-FI"/>
        </w:rPr>
      </w:pPr>
      <w:r w:rsidRPr="00D541B8">
        <w:rPr>
          <w:color w:val="0F172B"/>
          <w:szCs w:val="15"/>
          <w:lang w:val="fi-FI"/>
        </w:rPr>
        <w:t>Konserni teki vuosittaisen liikearvon arvonalentumistestauksen kolmannen kvartaalin aikana. Määri</w:t>
      </w:r>
      <w:r w:rsidRPr="00D541B8">
        <w:rPr>
          <w:color w:val="0F172B"/>
          <w:szCs w:val="15"/>
          <w:lang w:val="fi-FI"/>
        </w:rPr>
        <w:t>ttääkseen sen, onko mitään viitteitä liikearvon arvonalentumisesta, Wärtsilä vertasi kunkin liiketoiminnan kerrytettävissä olevaa rahamäärää sen kirjanpitoarvoon.</w:t>
      </w:r>
    </w:p>
    <w:p w:rsidR="000B7B5D" w:rsidRPr="00D541B8" w:rsidP="000B7B5D" w14:paraId="5B4416CF" w14:textId="77777777">
      <w:pPr>
        <w:pStyle w:val="Bodytext2"/>
        <w:rPr>
          <w:color w:val="0F172B"/>
          <w:szCs w:val="15"/>
          <w:lang w:val="fi-FI"/>
        </w:rPr>
      </w:pPr>
    </w:p>
    <w:p w:rsidR="000B7B5D" w:rsidRPr="00D541B8" w:rsidP="000B7B5D" w14:paraId="5E2BD83E" w14:textId="77777777">
      <w:pPr>
        <w:pStyle w:val="Bodytext2"/>
        <w:rPr>
          <w:color w:val="0F172B"/>
          <w:szCs w:val="15"/>
          <w:lang w:val="fi-FI"/>
        </w:rPr>
      </w:pPr>
      <w:r w:rsidRPr="00D541B8">
        <w:rPr>
          <w:color w:val="0F172B"/>
          <w:szCs w:val="15"/>
          <w:lang w:val="fi-FI"/>
        </w:rPr>
        <w:t>Marine Powerille, Marine Systemsille, Voyageille ja Energylle kerrytettävissä olevat rahamää</w:t>
      </w:r>
      <w:r w:rsidRPr="00D541B8">
        <w:rPr>
          <w:color w:val="0F172B"/>
          <w:szCs w:val="15"/>
          <w:lang w:val="fi-FI"/>
        </w:rPr>
        <w:t xml:space="preserve">rät määritettiin diskontattujen rahavirtojen menetelmällä, joka perustuu tilauskantaan ja neljän vuoden ennakoituihin rahavirtoihin. Rahavirtaa tuottavien yksiköiden ennakoidut rahavirrat perustuivat olemassa olevien aineellisten hyödykkeiden käyttämiseen </w:t>
      </w:r>
      <w:r w:rsidRPr="00D541B8">
        <w:rPr>
          <w:color w:val="0F172B"/>
          <w:szCs w:val="15"/>
          <w:lang w:val="fi-FI"/>
        </w:rPr>
        <w:t>niiden nykyisessä kunnossaan tavanomaisilla ylläpitokustannuksilla, pois lukien mahdolliset tulevat yrityshankinnat. Neljän vuoden ennustejakson jälkeen saatavat rahavirrat on laskettu käyttäen loppuarvomenetelmää.</w:t>
      </w:r>
    </w:p>
    <w:p w:rsidR="000B7B5D" w:rsidRPr="00D541B8" w:rsidP="000B7B5D" w14:paraId="5313A295" w14:textId="77777777">
      <w:pPr>
        <w:pStyle w:val="Bodytext2"/>
        <w:rPr>
          <w:color w:val="0F172B"/>
          <w:szCs w:val="15"/>
          <w:lang w:val="fi-FI"/>
        </w:rPr>
      </w:pPr>
    </w:p>
    <w:p w:rsidR="000B7B5D" w:rsidRPr="00D541B8" w:rsidP="000B7B5D" w14:paraId="335102B9" w14:textId="77777777">
      <w:pPr>
        <w:pStyle w:val="Bodytext2"/>
        <w:rPr>
          <w:color w:val="0F172B"/>
          <w:szCs w:val="15"/>
          <w:lang w:val="fi-FI"/>
        </w:rPr>
      </w:pPr>
      <w:r w:rsidRPr="00D541B8">
        <w:rPr>
          <w:color w:val="0F172B"/>
          <w:szCs w:val="15"/>
          <w:lang w:val="fi-FI"/>
        </w:rPr>
        <w:t>Myytävänä oleviksi omaisuuseriksi luokit</w:t>
      </w:r>
      <w:r w:rsidRPr="00D541B8">
        <w:rPr>
          <w:color w:val="0F172B"/>
          <w:szCs w:val="15"/>
          <w:lang w:val="fi-FI"/>
        </w:rPr>
        <w:t>elluille Portfolio Businessin liiketoimintayksiköille kerrytettävissä oleva rahamäärä määritettiin perustuen arvioihin niiden yritysarvoista. Muille Portfolio Businessin liiketoimintayksiköille kerrytettävissä oleva rahamäärä määritettiin perustuen joko di</w:t>
      </w:r>
      <w:r w:rsidRPr="00D541B8">
        <w:rPr>
          <w:color w:val="0F172B"/>
          <w:szCs w:val="15"/>
          <w:lang w:val="fi-FI"/>
        </w:rPr>
        <w:t>skontattujen rahavirtojen menetelmään tai arvioihin yritysarvoista, kumpi näistä oli testaushetkellä korkeampi.</w:t>
      </w:r>
    </w:p>
    <w:p w:rsidR="000B7B5D" w:rsidRPr="00D541B8" w:rsidP="000B7B5D" w14:paraId="45E24FD2" w14:textId="77777777">
      <w:pPr>
        <w:pStyle w:val="Bodytext2"/>
        <w:rPr>
          <w:color w:val="0F172B"/>
          <w:szCs w:val="15"/>
          <w:lang w:val="fi-FI"/>
        </w:rPr>
      </w:pPr>
    </w:p>
    <w:p w:rsidR="000B7B5D" w:rsidRPr="00D541B8" w:rsidP="000B7B5D" w14:paraId="161CF240" w14:textId="77777777">
      <w:pPr>
        <w:pStyle w:val="Bodytext2"/>
        <w:rPr>
          <w:color w:val="0F172B"/>
          <w:szCs w:val="15"/>
          <w:lang w:val="fi-FI"/>
        </w:rPr>
      </w:pPr>
      <w:r w:rsidRPr="00D541B8">
        <w:rPr>
          <w:color w:val="0F172B"/>
          <w:szCs w:val="15"/>
          <w:lang w:val="fi-FI"/>
        </w:rPr>
        <w:t>Loppuarvon kasvun määrittelemisessä on käytetty johdon konservatiivista arviota kassavirran pitkän aikavälin kasvusta. Loppuarvon kasvutekijänä</w:t>
      </w:r>
      <w:r w:rsidRPr="00D541B8">
        <w:rPr>
          <w:color w:val="0F172B"/>
          <w:szCs w:val="15"/>
          <w:lang w:val="fi-FI"/>
        </w:rPr>
        <w:t xml:space="preserve"> laskelmassa käytettiin seuraavia prosentteja:</w:t>
      </w:r>
    </w:p>
    <w:p w:rsidR="000B7B5D" w:rsidRPr="00D541B8" w:rsidP="000B7B5D" w14:paraId="6F86353F" w14:textId="77777777">
      <w:pPr>
        <w:pStyle w:val="Bodytext2"/>
        <w:rPr>
          <w:color w:val="0F172B"/>
          <w:szCs w:val="15"/>
          <w:lang w:val="fi-FI"/>
        </w:rPr>
      </w:pPr>
    </w:p>
    <w:tbl>
      <w:tblPr>
        <w:tblStyle w:val="TableNormal"/>
        <w:tblCaption w:val="table_terminal_growth_rate_2020"/>
        <w:tblW w:w="7320" w:type="dxa"/>
        <w:tblLayout w:type="fixed"/>
        <w:tblLook w:val="0600"/>
      </w:tblPr>
      <w:tblGrid>
        <w:gridCol w:w="4830"/>
        <w:gridCol w:w="1245"/>
        <w:gridCol w:w="1245"/>
      </w:tblGrid>
      <w:tr>
        <w:tblPrEx>
          <w:tblW w:w="7320" w:type="dxa"/>
          <w:tblLayout w:type="fixed"/>
          <w:tblLook w:val="0600"/>
        </w:tblPrEx>
        <w:trPr>
          <w:trHeight w:hRule="exact" w:val="240"/>
        </w:trPr>
        <w:tc>
          <w:tcPr>
            <w:tcW w:w="48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Loppuarvon kasvuvauhti, %</w:t>
            </w:r>
          </w:p>
        </w:tc>
        <w:tc>
          <w:tcPr>
            <w:tcW w:w="1245"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Marine Power</w:t>
            </w:r>
          </w:p>
        </w:tc>
        <w:tc>
          <w:tcPr>
            <w:tcW w:w="12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Marine Systems</w:t>
            </w: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Voyage</w:t>
            </w: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Energy</w:t>
            </w: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Portfolio Business</w:t>
            </w: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0,0</w:t>
            </w:r>
          </w:p>
        </w:tc>
      </w:tr>
    </w:tbl>
    <w:p w:rsidR="000B7B5D" w:rsidRPr="00D541B8" w:rsidP="000B7B5D" w14:paraId="77D42A38" w14:textId="77777777">
      <w:pPr>
        <w:pStyle w:val="Bodytext2"/>
        <w:rPr>
          <w:color w:val="0F172B"/>
          <w:szCs w:val="15"/>
          <w:highlight w:val="yellow"/>
          <w:lang w:val="fi-FI"/>
        </w:rPr>
      </w:pPr>
    </w:p>
    <w:p w:rsidR="000B7B5D" w:rsidRPr="00D541B8" w:rsidP="000B7B5D" w14:paraId="2164A486" w14:textId="77777777">
      <w:pPr>
        <w:pStyle w:val="Bodytext2"/>
        <w:rPr>
          <w:color w:val="0F172B"/>
          <w:szCs w:val="15"/>
          <w:highlight w:val="yellow"/>
          <w:lang w:val="fi-FI"/>
        </w:rPr>
      </w:pPr>
      <w:r w:rsidRPr="00D541B8">
        <w:rPr>
          <w:color w:val="0F172B"/>
          <w:szCs w:val="15"/>
          <w:lang w:val="fi-FI"/>
        </w:rPr>
        <w:t>Arvonmäärit</w:t>
      </w:r>
      <w:r w:rsidRPr="00D541B8" w:rsidR="00BD7808">
        <w:rPr>
          <w:color w:val="0F172B"/>
          <w:szCs w:val="15"/>
          <w:lang w:val="fi-FI"/>
        </w:rPr>
        <w:t>yksessä</w:t>
      </w:r>
      <w:r w:rsidRPr="00D541B8">
        <w:rPr>
          <w:color w:val="0F172B"/>
          <w:szCs w:val="15"/>
          <w:lang w:val="fi-FI"/>
        </w:rPr>
        <w:t xml:space="preserve"> avaintekijöitä ovat maailman talouden kasvu ja erityisesti globaalien energiamarkkinoiden kehitys, globaali laivanrakennusteollisuus sekä niihin liitty</w:t>
      </w:r>
      <w:r w:rsidRPr="00D541B8">
        <w:rPr>
          <w:color w:val="0F172B"/>
          <w:szCs w:val="15"/>
          <w:lang w:val="fi-FI"/>
        </w:rPr>
        <w:t>vien palveluiden kysyntä. Markkinoiden kokonaiskustannusten arvioidun kehityksen nähdään vaikuttavan kannattavuustasoon, kun taas yksittäisten kuluerien hintakehityksellä ei ole olennaista merkitystä laskelmiin. Avaintekijä tuotteiden ja laitteiden uusmyyn</w:t>
      </w:r>
      <w:r w:rsidRPr="00D541B8">
        <w:rPr>
          <w:color w:val="0F172B"/>
          <w:szCs w:val="15"/>
          <w:lang w:val="fi-FI"/>
        </w:rPr>
        <w:t>nin arvonmäärit</w:t>
      </w:r>
      <w:r w:rsidRPr="00D541B8" w:rsidR="00BD7808">
        <w:rPr>
          <w:color w:val="0F172B"/>
          <w:szCs w:val="15"/>
          <w:lang w:val="fi-FI"/>
        </w:rPr>
        <w:t>yksessä</w:t>
      </w:r>
      <w:r w:rsidRPr="00D541B8">
        <w:rPr>
          <w:color w:val="0F172B"/>
          <w:szCs w:val="15"/>
          <w:lang w:val="fi-FI"/>
        </w:rPr>
        <w:t xml:space="preserve"> on maailman talouden kasvu, kun taas avaintekijät </w:t>
      </w:r>
      <w:r w:rsidRPr="00D541B8" w:rsidR="00BD7808">
        <w:rPr>
          <w:color w:val="0F172B"/>
          <w:szCs w:val="15"/>
          <w:lang w:val="fi-FI"/>
        </w:rPr>
        <w:t>palveluiden osalta</w:t>
      </w:r>
      <w:r w:rsidRPr="00D541B8">
        <w:rPr>
          <w:color w:val="0F172B"/>
          <w:szCs w:val="15"/>
          <w:lang w:val="fi-FI"/>
        </w:rPr>
        <w:t xml:space="preserve"> liittyvät myös vastaavien palvelu</w:t>
      </w:r>
      <w:r w:rsidRPr="00D541B8" w:rsidR="00BD7808">
        <w:rPr>
          <w:color w:val="0F172B"/>
          <w:szCs w:val="15"/>
          <w:lang w:val="fi-FI"/>
        </w:rPr>
        <w:t>iden</w:t>
      </w:r>
      <w:r w:rsidRPr="00D541B8">
        <w:rPr>
          <w:color w:val="0F172B"/>
          <w:szCs w:val="15"/>
          <w:lang w:val="fi-FI"/>
        </w:rPr>
        <w:t xml:space="preserve"> kysyntään ja arvioihin työkustannusten kehityksestä markkinoilla.</w:t>
      </w:r>
    </w:p>
    <w:p w:rsidR="000B7B5D" w:rsidRPr="00D541B8" w:rsidP="000B7B5D" w14:paraId="2D087E06" w14:textId="77777777">
      <w:pPr>
        <w:pStyle w:val="Bodytext2"/>
        <w:rPr>
          <w:color w:val="0F172B"/>
          <w:szCs w:val="15"/>
          <w:highlight w:val="yellow"/>
          <w:lang w:val="fi-FI"/>
        </w:rPr>
      </w:pPr>
    </w:p>
    <w:p w:rsidR="000B7B5D" w:rsidRPr="00D541B8" w:rsidP="000B7B5D" w14:paraId="39D781C0" w14:textId="77777777">
      <w:pPr>
        <w:pStyle w:val="Bodytext2"/>
        <w:rPr>
          <w:color w:val="0F172B"/>
          <w:szCs w:val="15"/>
          <w:lang w:val="fi-FI"/>
        </w:rPr>
      </w:pPr>
      <w:r w:rsidRPr="00D541B8">
        <w:rPr>
          <w:color w:val="0F172B"/>
          <w:szCs w:val="15"/>
          <w:lang w:val="fi-FI"/>
        </w:rPr>
        <w:t>Diskonttauskorkona käytetään Wärtsilän määrittelemää painot</w:t>
      </w:r>
      <w:r w:rsidRPr="00D541B8">
        <w:rPr>
          <w:color w:val="0F172B"/>
          <w:szCs w:val="15"/>
          <w:lang w:val="fi-FI"/>
        </w:rPr>
        <w:t>ettua pääomakustannusta ennen veroja (WACC). WACC:n osatekijät ovat riskitön korko, markkinariskipreemio, teollisuuskohtainen beta, lainakustannus sekä oman ja vieraan pääoman suhde. Wärtsilä on käyttänyt seuraavia WACC</w:t>
      </w:r>
      <w:r w:rsidRPr="00D541B8" w:rsidR="009E0962">
        <w:rPr>
          <w:color w:val="0F172B"/>
          <w:szCs w:val="15"/>
          <w:lang w:val="fi-FI"/>
        </w:rPr>
        <w:t>-</w:t>
      </w:r>
      <w:r w:rsidRPr="00D541B8">
        <w:rPr>
          <w:color w:val="0F172B"/>
          <w:szCs w:val="15"/>
          <w:lang w:val="fi-FI"/>
        </w:rPr>
        <w:t>%:ja laskelmissaan:</w:t>
      </w:r>
    </w:p>
    <w:p w:rsidR="000B7B5D" w:rsidRPr="00D541B8" w:rsidP="000B7B5D" w14:paraId="1B9966DD" w14:textId="77777777">
      <w:pPr>
        <w:pStyle w:val="Bodytext2"/>
        <w:rPr>
          <w:color w:val="0F172B"/>
          <w:szCs w:val="15"/>
          <w:lang w:val="fi-FI"/>
        </w:rPr>
      </w:pPr>
    </w:p>
    <w:tbl>
      <w:tblPr>
        <w:tblStyle w:val="TableNormal"/>
        <w:tblCaption w:val="table_WACC_rate_2020"/>
        <w:tblW w:w="7320" w:type="dxa"/>
        <w:tblLayout w:type="fixed"/>
        <w:tblLook w:val="0600"/>
      </w:tblPr>
      <w:tblGrid>
        <w:gridCol w:w="4830"/>
        <w:gridCol w:w="1245"/>
        <w:gridCol w:w="1245"/>
      </w:tblGrid>
      <w:tr>
        <w:tblPrEx>
          <w:tblW w:w="7320" w:type="dxa"/>
          <w:tblLayout w:type="fixed"/>
          <w:tblLook w:val="0600"/>
        </w:tblPrEx>
        <w:trPr>
          <w:trHeight w:hRule="exact" w:val="240"/>
        </w:trPr>
        <w:tc>
          <w:tcPr>
            <w:tcW w:w="48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Painotettu pääomakustannus (WACC), %</w:t>
            </w:r>
          </w:p>
        </w:tc>
        <w:tc>
          <w:tcPr>
            <w:tcW w:w="1245"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Marine Power</w:t>
            </w:r>
          </w:p>
        </w:tc>
        <w:tc>
          <w:tcPr>
            <w:tcW w:w="12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Marine Systems</w:t>
            </w: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Voyage</w:t>
            </w: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Energy</w:t>
            </w: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9,6</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Portfolio Business</w:t>
            </w: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10,1</w:t>
            </w:r>
          </w:p>
        </w:tc>
      </w:tr>
    </w:tbl>
    <w:p w:rsidR="000B7B5D" w:rsidRPr="00D541B8" w:rsidP="00C5455A" w14:paraId="4E37E624" w14:textId="77777777">
      <w:pPr>
        <w:pStyle w:val="Bodytext2"/>
        <w:rPr>
          <w:lang w:val="fi-FI"/>
        </w:rPr>
      </w:pPr>
    </w:p>
    <w:p w:rsidR="000B7B5D" w:rsidRPr="00D541B8" w:rsidP="00C5455A" w14:paraId="5184C7BF" w14:textId="77777777">
      <w:pPr>
        <w:pStyle w:val="Bodytext2"/>
        <w:rPr>
          <w:lang w:val="fi-FI"/>
        </w:rPr>
      </w:pPr>
      <w:r w:rsidRPr="00D541B8">
        <w:rPr>
          <w:lang w:val="fi-FI"/>
        </w:rPr>
        <w:t>Arvonalentumistestauksen tuloksena arvonalentumistappiota ei tunnistettu rahavirtaa tuottaville yksiköille raportointikaudella, joka päättyi 30.9.2020. Kerrytettävissä oleva rahamäärä RTY:ille Marine Power, Marine Systems ja Energy ylitti huoma</w:t>
      </w:r>
      <w:r w:rsidRPr="00D541B8">
        <w:rPr>
          <w:lang w:val="fi-FI"/>
        </w:rPr>
        <w:t>ttavasti kunkin kirjanpitoarvon.</w:t>
      </w:r>
    </w:p>
    <w:p w:rsidR="000B7B5D" w:rsidRPr="00D541B8" w:rsidP="00C5455A" w14:paraId="6DEFCDF7" w14:textId="77777777">
      <w:pPr>
        <w:pStyle w:val="Bodytext2"/>
        <w:rPr>
          <w:lang w:val="fi-FI"/>
        </w:rPr>
      </w:pPr>
    </w:p>
    <w:p w:rsidR="000B7B5D" w:rsidRPr="00D541B8" w:rsidP="00C5455A" w14:paraId="23BD65EF" w14:textId="20461E83">
      <w:pPr>
        <w:pStyle w:val="Bodytext2"/>
        <w:rPr>
          <w:lang w:val="fi-FI"/>
        </w:rPr>
      </w:pPr>
      <w:r w:rsidRPr="00D541B8">
        <w:rPr>
          <w:lang w:val="fi-FI"/>
        </w:rPr>
        <w:t>Myös rahavirtaa tuottavalle yksikölle Voyage määritettiin kerrytettävissä oleva rahamäärä, joka ylitti sen kirjanpitoarvon. Pääasialliset oletukset Voyageen liit</w:t>
      </w:r>
      <w:r>
        <w:rPr>
          <w:lang w:val="fi-FI"/>
        </w:rPr>
        <w:t>t</w:t>
      </w:r>
      <w:r w:rsidRPr="00D541B8">
        <w:rPr>
          <w:lang w:val="fi-FI"/>
        </w:rPr>
        <w:t>yen ovat, että sen EBITDA:n arvioidaan saavuttavan nollatason</w:t>
      </w:r>
      <w:r w:rsidRPr="00D541B8">
        <w:rPr>
          <w:lang w:val="fi-FI"/>
        </w:rPr>
        <w:t xml:space="preserve"> muutaman seuraavan vuoden sisällä, ja että sen kasvuvauhti tulee ylittämään konsernin keskiarvon. Epäsuotuisat muutokset näihin olettamiin aiheuttaisivat negatiivisen vaikutuksen liiketoiminnan arvostamiseen.</w:t>
      </w:r>
    </w:p>
    <w:p w:rsidR="000B7B5D" w:rsidRPr="00D541B8" w:rsidP="00C5455A" w14:paraId="33FC3633" w14:textId="77777777">
      <w:pPr>
        <w:pStyle w:val="Bodytext2"/>
        <w:rPr>
          <w:lang w:val="fi-FI"/>
        </w:rPr>
      </w:pPr>
    </w:p>
    <w:p w:rsidR="00F653B2" w:rsidRPr="00D541B8" w:rsidP="00C5455A" w14:paraId="6DB81B17" w14:textId="3D0D4016">
      <w:pPr>
        <w:pStyle w:val="Bodytext2"/>
        <w:rPr>
          <w:lang w:val="fi-FI"/>
        </w:rPr>
      </w:pPr>
      <w:r w:rsidRPr="00D541B8">
        <w:rPr>
          <w:lang w:val="fi-FI"/>
        </w:rPr>
        <w:t xml:space="preserve">Myytävänä olevien omaisuuserien arvostamiseen liittyvien vaatimusten </w:t>
      </w:r>
      <w:r w:rsidRPr="00D541B8" w:rsidR="000E0CC0">
        <w:rPr>
          <w:lang w:val="fi-FI"/>
        </w:rPr>
        <w:t>mu</w:t>
      </w:r>
      <w:r w:rsidRPr="00D541B8">
        <w:rPr>
          <w:lang w:val="fi-FI"/>
        </w:rPr>
        <w:t xml:space="preserve">kaisesti Wärtsilä on </w:t>
      </w:r>
      <w:r w:rsidRPr="00D541B8" w:rsidR="000E0CC0">
        <w:rPr>
          <w:lang w:val="fi-FI"/>
        </w:rPr>
        <w:t>v</w:t>
      </w:r>
      <w:r w:rsidRPr="00D541B8" w:rsidR="00B3546F">
        <w:rPr>
          <w:lang w:val="fi-FI"/>
        </w:rPr>
        <w:t>uonna 2020 kirjannut alas Por</w:t>
      </w:r>
      <w:r>
        <w:rPr>
          <w:lang w:val="fi-FI"/>
        </w:rPr>
        <w:t>t</w:t>
      </w:r>
      <w:r w:rsidRPr="00D541B8" w:rsidR="00B3546F">
        <w:rPr>
          <w:lang w:val="fi-FI"/>
        </w:rPr>
        <w:t>folio Busine</w:t>
      </w:r>
      <w:r w:rsidRPr="00D541B8" w:rsidR="009E0962">
        <w:rPr>
          <w:lang w:val="fi-FI"/>
        </w:rPr>
        <w:t>ssiin</w:t>
      </w:r>
      <w:r w:rsidRPr="00D541B8" w:rsidR="00B3546F">
        <w:rPr>
          <w:lang w:val="fi-FI"/>
        </w:rPr>
        <w:t xml:space="preserve"> liittyviä varoja. Osa varojen alaskirjauksista liittyi liikearvoon. Vuosittaisen liikearvon arvonalentumistestauksen perusteella ei kuitenkaan havaittu tarvetta ylimääräisille arvonalentumiskirjauksille Port</w:t>
      </w:r>
      <w:r>
        <w:rPr>
          <w:lang w:val="fi-FI"/>
        </w:rPr>
        <w:t>f</w:t>
      </w:r>
      <w:r w:rsidRPr="00D541B8" w:rsidR="00B3546F">
        <w:rPr>
          <w:lang w:val="fi-FI"/>
        </w:rPr>
        <w:t>olio Businessin osalta.</w:t>
      </w:r>
    </w:p>
    <w:p w:rsidR="00B3546F" w:rsidRPr="00D541B8" w:rsidP="00C5455A" w14:paraId="4AF43605" w14:textId="77777777">
      <w:pPr>
        <w:pStyle w:val="Bodytext2"/>
        <w:rPr>
          <w:lang w:val="fi-FI"/>
        </w:rPr>
      </w:pPr>
    </w:p>
    <w:p w:rsidR="000D0BF2" w:rsidP="000D0BF2" w14:paraId="15C9309D" w14:textId="77777777">
      <w:pPr>
        <w:pStyle w:val="Bodytext2"/>
        <w:rPr>
          <w:lang w:val="fi-FI"/>
        </w:rPr>
      </w:pPr>
      <w:r w:rsidRPr="00D541B8">
        <w:rPr>
          <w:lang w:val="fi-FI"/>
        </w:rPr>
        <w:t>Vuosittaisen liikearvon arvonalentumistestauksen jälkeen ei ole ilmennyt uusia viitteitä liikearvon arvonalentumisesta.</w:t>
      </w:r>
    </w:p>
    <w:p w:rsidR="000D0BF2" w:rsidP="000D0BF2" w14:paraId="625AC5DC" w14:textId="77777777">
      <w:pPr>
        <w:pStyle w:val="Bodytext2"/>
        <w:rPr>
          <w:lang w:val="fi-FI"/>
        </w:rPr>
      </w:pPr>
    </w:p>
    <w:p w:rsidR="000B7B5D" w:rsidRPr="00D541B8" w:rsidP="000D0BF2" w14:paraId="4F65660F" w14:textId="77777777">
      <w:pPr>
        <w:pStyle w:val="Heading13"/>
        <w:rPr>
          <w:lang w:val="fi-FI"/>
        </w:rPr>
      </w:pPr>
      <w:r w:rsidRPr="00D541B8">
        <w:rPr>
          <w:lang w:val="fi-FI"/>
        </w:rPr>
        <w:t>Herkkyysanalyysi</w:t>
      </w:r>
    </w:p>
    <w:p w:rsidR="00C57E4F" w:rsidRPr="00D541B8" w:rsidP="00C57E4F" w14:paraId="00091ED3" w14:textId="77777777">
      <w:pPr>
        <w:pStyle w:val="Bodytext2"/>
        <w:rPr>
          <w:lang w:val="fi-FI"/>
        </w:rPr>
      </w:pPr>
      <w:r w:rsidRPr="00D541B8">
        <w:rPr>
          <w:lang w:val="fi-FI"/>
        </w:rPr>
        <w:t>Johto on arvioinut, ettei mikään muutos keskeisissä oletuksissa saisi aikaan tilannetta, jossa yhdenkään rahavirtaa tuottavan yksikön kirjanpitoarvo ylittäisi sen kerrytettävissä olevan rahamäärän. Rahavirtaa tuottaville yksiköille on teht</w:t>
      </w:r>
      <w:r w:rsidRPr="00D541B8">
        <w:rPr>
          <w:lang w:val="fi-FI"/>
        </w:rPr>
        <w:t>y herkkyysanalyysi muuttamalla laskentaoletuksia. Alla olevassa taulukossa on esitetty vaadittava muutos oletuksessa, jolla kerrytettävissä olevan rahamäärän arvo vastaisi kirjanpitoarvoa.</w:t>
      </w:r>
      <w:r w:rsidRPr="00D541B8" w:rsidR="0051591B">
        <w:rPr>
          <w:lang w:val="fi-FI"/>
        </w:rPr>
        <w:t xml:space="preserve"> </w:t>
      </w:r>
    </w:p>
    <w:p w:rsidR="000B7B5D" w:rsidRPr="00D541B8" w:rsidP="00C57E4F" w14:paraId="78F0422A" w14:textId="77777777">
      <w:pPr>
        <w:pStyle w:val="Bodytext2"/>
        <w:rPr>
          <w:lang w:val="fi-FI"/>
        </w:rPr>
      </w:pPr>
    </w:p>
    <w:tbl>
      <w:tblPr>
        <w:tblStyle w:val="TableNormal"/>
        <w:tblCaption w:val="table_sensitivity_analysis_2020"/>
        <w:tblW w:w="7350" w:type="dxa"/>
        <w:tblLayout w:type="fixed"/>
        <w:tblLook w:val="0600"/>
      </w:tblPr>
      <w:tblGrid>
        <w:gridCol w:w="3330"/>
        <w:gridCol w:w="4020"/>
      </w:tblGrid>
      <w:tr>
        <w:tblPrEx>
          <w:tblW w:w="7350" w:type="dxa"/>
          <w:tblLayout w:type="fixed"/>
          <w:tblLook w:val="0600"/>
        </w:tblPrEx>
        <w:trPr>
          <w:trHeight w:val="240"/>
        </w:trPr>
        <w:tc>
          <w:tcPr>
            <w:tcW w:w="3330"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402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Muutos</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Marine Power</w:t>
            </w:r>
          </w:p>
        </w:tc>
        <w:tc>
          <w:tcPr>
            <w:tcW w:w="4020"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Diskonttauskorko, ennen veroja</w:t>
            </w:r>
          </w:p>
        </w:tc>
        <w:tc>
          <w:tcPr>
            <w:tcW w:w="402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kasvu yli 8 prosenttiyksikköä</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Loppuarvon kasvuvauhti</w:t>
            </w:r>
          </w:p>
        </w:tc>
        <w:tc>
          <w:tcPr>
            <w:tcW w:w="402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lasku yli 8 prosenttiyksikköä</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Kannattavuus</w:t>
            </w:r>
          </w:p>
        </w:tc>
        <w:tc>
          <w:tcPr>
            <w:tcW w:w="402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lasku yli 51 prosenttia</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402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Marine Systems</w:t>
            </w:r>
          </w:p>
        </w:tc>
        <w:tc>
          <w:tcPr>
            <w:tcW w:w="402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Diskonttauskorko, ennen veroja</w:t>
            </w:r>
          </w:p>
        </w:tc>
        <w:tc>
          <w:tcPr>
            <w:tcW w:w="402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kasvu yli 25 prosenttiyksikköä</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Loppuarvon kasvuvauhti</w:t>
            </w:r>
          </w:p>
        </w:tc>
        <w:tc>
          <w:tcPr>
            <w:tcW w:w="402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lasku yli 34 prosenttiyksikköä</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Kannattavuus</w:t>
            </w:r>
          </w:p>
        </w:tc>
        <w:tc>
          <w:tcPr>
            <w:tcW w:w="402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lasku yli 72 prosenttia</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402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Voyage</w:t>
            </w:r>
          </w:p>
        </w:tc>
        <w:tc>
          <w:tcPr>
            <w:tcW w:w="402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Diskonttauskorko, ennen veroja</w:t>
            </w:r>
          </w:p>
        </w:tc>
        <w:tc>
          <w:tcPr>
            <w:tcW w:w="402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kasvu yli 4 prosenttiyksikköä</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Loppuarvon kasvuvauhti</w:t>
            </w:r>
          </w:p>
        </w:tc>
        <w:tc>
          <w:tcPr>
            <w:tcW w:w="402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lasku yli 3 prosenttiyksikköä</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Kannattavuus</w:t>
            </w:r>
          </w:p>
        </w:tc>
        <w:tc>
          <w:tcPr>
            <w:tcW w:w="402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lasku yli 37 prosenttia</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402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Energy</w:t>
            </w:r>
          </w:p>
        </w:tc>
        <w:tc>
          <w:tcPr>
            <w:tcW w:w="402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Diskonttauskorko, ennen veroja</w:t>
            </w:r>
          </w:p>
        </w:tc>
        <w:tc>
          <w:tcPr>
            <w:tcW w:w="402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kasvu yli 12 prosenttiyksikköä</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Loppuarvon kasvuvauhti</w:t>
            </w:r>
          </w:p>
        </w:tc>
        <w:tc>
          <w:tcPr>
            <w:tcW w:w="402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lasku yli 13 prosenttiyksikköä</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3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Kannattavuus</w:t>
            </w:r>
          </w:p>
        </w:tc>
        <w:tc>
          <w:tcPr>
            <w:tcW w:w="402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lasku yli 61 prosenttia</w:t>
            </w:r>
          </w:p>
        </w:tc>
      </w:tr>
    </w:tbl>
    <w:p w:rsidR="000B7B5D" w:rsidRPr="00D541B8" w:rsidP="000B7B5D" w14:paraId="625B76EB" w14:textId="77777777">
      <w:pPr>
        <w:pStyle w:val="Bodytext2"/>
        <w:rPr>
          <w:color w:val="0F172B"/>
          <w:szCs w:val="15"/>
          <w:lang w:val="fi-FI"/>
        </w:rPr>
      </w:pPr>
    </w:p>
    <w:p w:rsidR="000B7B5D" w:rsidRPr="00D541B8" w:rsidP="000B7B5D" w14:paraId="69EDFF9E" w14:textId="77777777">
      <w:pPr>
        <w:pStyle w:val="Bodytext2"/>
        <w:rPr>
          <w:color w:val="0F172B"/>
          <w:szCs w:val="15"/>
          <w:lang w:val="fi-FI"/>
        </w:rPr>
      </w:pPr>
      <w:r w:rsidRPr="00D541B8">
        <w:rPr>
          <w:color w:val="0F172B"/>
          <w:szCs w:val="15"/>
          <w:lang w:val="fi-FI"/>
        </w:rPr>
        <w:t>Portfolio Businessin liiket</w:t>
      </w:r>
      <w:r w:rsidRPr="00D541B8">
        <w:rPr>
          <w:color w:val="0F172B"/>
          <w:szCs w:val="15"/>
          <w:lang w:val="fi-FI"/>
        </w:rPr>
        <w:t>oimintayksiköille kerrytettävissä oleva rahamäärä määritettiin enimmäkseen perustuen arvioihin niiden yritysarvoista. Täten diskonttokoron ja loppuarvon kasvuvauhdin mahdollisella muutoksella on vain hyvin vähäinen vaikutus rahavirtaa tuottavan yksikön arv</w:t>
      </w:r>
      <w:r w:rsidRPr="00D541B8">
        <w:rPr>
          <w:color w:val="0F172B"/>
          <w:szCs w:val="15"/>
          <w:lang w:val="fi-FI"/>
        </w:rPr>
        <w:t>ostukseen. Rahavirtaa tuottavan yksikön kerrytettävissä oleva rahamäärä</w:t>
      </w:r>
      <w:r w:rsidRPr="00D541B8" w:rsidR="00AA294D">
        <w:rPr>
          <w:color w:val="0F172B"/>
          <w:szCs w:val="15"/>
          <w:lang w:val="fi-FI"/>
        </w:rPr>
        <w:t>n</w:t>
      </w:r>
      <w:r w:rsidRPr="00D541B8">
        <w:rPr>
          <w:color w:val="0F172B"/>
          <w:szCs w:val="15"/>
          <w:lang w:val="fi-FI"/>
        </w:rPr>
        <w:t xml:space="preserve"> tulisi laskea 9%, jotta se vastaisi yksikön kirjanpitoarvoa.</w:t>
      </w:r>
    </w:p>
    <w:p w:rsidR="000B7B5D" w:rsidRPr="00D541B8" w:rsidP="000B7B5D" w14:paraId="6A743FF7" w14:textId="77777777">
      <w:pPr>
        <w:pStyle w:val="Bodytext2"/>
        <w:rPr>
          <w:color w:val="0F172B"/>
          <w:szCs w:val="15"/>
          <w:highlight w:val="yellow"/>
          <w:lang w:val="fi-FI"/>
        </w:rPr>
      </w:pPr>
    </w:p>
    <w:p w:rsidR="004A0DF2" w:rsidRPr="00D541B8" w:rsidP="002642EE" w14:paraId="08C6D255" w14:textId="77777777">
      <w:pPr>
        <w:pStyle w:val="Bodytext2"/>
        <w:rPr>
          <w:sz w:val="2"/>
          <w:szCs w:val="2"/>
          <w:lang w:val="fi-FI"/>
        </w:rPr>
      </w:pPr>
      <w:r w:rsidRPr="00D541B8">
        <w:rPr>
          <w:color w:val="0F172B"/>
          <w:szCs w:val="15"/>
          <w:lang w:val="fi-FI"/>
        </w:rPr>
        <w:t>Johdon näkemyksen mukaan perusoletusten muutoksia ei tule tulkita osoituksena niiden toteutumisen todennäköisyydestä. Her</w:t>
      </w:r>
      <w:r w:rsidRPr="00D541B8">
        <w:rPr>
          <w:color w:val="0F172B"/>
          <w:szCs w:val="15"/>
          <w:lang w:val="fi-FI"/>
        </w:rPr>
        <w:t>kkyysanalyysit ovat hypoteettisia ja siksi niihin tulee suhtautua varauksella.</w:t>
      </w:r>
    </w:p>
    <w:p/>
    <w:p w:rsidR="00714335" w:rsidP="00714335" w14:paraId="478860AB" w14:textId="52DEDB3E">
      <w:pPr>
        <w:pStyle w:val="Heading12"/>
      </w:pPr>
      <w:bookmarkStart w:id="1460" w:name="RG_MARKER_7453"/>
      <w:r>
        <w:t>3.2. MUUT AINEETTOMAT HYÖDYKKEET</w:t>
      </w:r>
      <w:bookmarkEnd w:id="1460"/>
    </w:p>
    <w:tbl>
      <w:tblPr>
        <w:tblStyle w:val="TableGrid"/>
        <w:tblW w:w="7371" w:type="dxa"/>
        <w:tblLook w:val="04A0"/>
      </w:tblPr>
      <w:tblGrid>
        <w:gridCol w:w="7371"/>
      </w:tblGrid>
      <w:tr w14:paraId="2731B6E4" w14:textId="77777777" w:rsidTr="00714335">
        <w:tblPrEx>
          <w:tblW w:w="7371" w:type="dxa"/>
          <w:tblLook w:val="04A0"/>
        </w:tblPrEx>
        <w:tc>
          <w:tcPr>
            <w:tcW w:w="7371" w:type="dxa"/>
            <w:tcBorders>
              <w:top w:val="nil"/>
              <w:left w:val="nil"/>
              <w:bottom w:val="nil"/>
              <w:right w:val="nil"/>
            </w:tcBorders>
            <w:shd w:val="clear" w:color="auto" w:fill="B6C8D1"/>
          </w:tcPr>
          <w:p w:rsidR="00714335" w:rsidRPr="00714335" w:rsidP="00714335" w14:paraId="55F1552A" w14:textId="27381879">
            <w:pPr>
              <w:pStyle w:val="Heading13"/>
              <w:rPr>
                <w:lang w:val="fi-FI"/>
              </w:rPr>
            </w:pPr>
            <w:r w:rsidRPr="00714335">
              <w:rPr>
                <w:lang w:val="fi-FI"/>
              </w:rPr>
              <w:t>Laadintaperiaatteet</w:t>
            </w:r>
          </w:p>
          <w:p w:rsidR="00714335" w:rsidRPr="00FC20B2" w:rsidP="00714335" w14:paraId="2381EAFB" w14:textId="77777777">
            <w:pPr>
              <w:pStyle w:val="Heading13"/>
              <w:rPr>
                <w:lang w:val="fi-FI"/>
              </w:rPr>
            </w:pPr>
            <w:r w:rsidRPr="00FC20B2">
              <w:rPr>
                <w:lang w:val="fi-FI"/>
              </w:rPr>
              <w:t>Tutkimus- ja kehittämismenot</w:t>
            </w:r>
          </w:p>
          <w:p w:rsidR="00714335" w:rsidP="00714335" w14:paraId="4A206205" w14:textId="35781CF0">
            <w:pPr>
              <w:pStyle w:val="Bodytext2"/>
              <w:rPr>
                <w:lang w:val="fi-FI"/>
              </w:rPr>
            </w:pPr>
            <w:r w:rsidRPr="00714335">
              <w:rPr>
                <w:lang w:val="fi-FI"/>
              </w:rPr>
              <w:t xml:space="preserve">Tutkimusmenot kirjataan sen </w:t>
            </w:r>
            <w:r>
              <w:rPr>
                <w:lang w:val="fi-FI"/>
              </w:rPr>
              <w:t>raportointi</w:t>
            </w:r>
            <w:r w:rsidRPr="00714335">
              <w:rPr>
                <w:lang w:val="fi-FI"/>
              </w:rPr>
              <w:t xml:space="preserve">kauden kuluksi, jonka aikana ne syntyvät. Kehittämismenot aktivoidaan silloin, kun on todennäköistä, että </w:t>
            </w:r>
            <w:r w:rsidRPr="00714335">
              <w:rPr>
                <w:lang w:val="fi-FI"/>
              </w:rPr>
              <w:t>kehitysprojekti tuottaa konsernille taloudellista hyötyä tulevaisuudessa ja täyttää kirjaamiskriteerit, mukaan lukien tekninen ja taloudellinen käyttökelpoisuus. Tällaiset projektit liittyvät uusien tai olennaisesti parannettujen tuotteiden tai tuotantopro</w:t>
            </w:r>
            <w:r w:rsidRPr="00714335">
              <w:rPr>
                <w:lang w:val="fi-FI"/>
              </w:rPr>
              <w:t>sessien kehittämiseen. Aiemmin kuluiksi kirjattuja kehittämismenoja ei aktivoida enää myöhemmin.</w:t>
            </w:r>
          </w:p>
          <w:p w:rsidR="00714335" w:rsidRPr="00714335" w:rsidP="00714335" w14:paraId="784D16DB" w14:textId="77777777">
            <w:pPr>
              <w:pStyle w:val="Bodytext2"/>
              <w:rPr>
                <w:lang w:val="fi-FI"/>
              </w:rPr>
            </w:pPr>
          </w:p>
          <w:p w:rsidR="00714335" w:rsidRPr="00FC20B2" w:rsidP="00714335" w14:paraId="2D802BD0" w14:textId="4072BAC8">
            <w:pPr>
              <w:pStyle w:val="Bodytext2"/>
              <w:rPr>
                <w:lang w:val="fi-FI"/>
              </w:rPr>
            </w:pPr>
            <w:r w:rsidRPr="00714335">
              <w:rPr>
                <w:lang w:val="fi-FI"/>
              </w:rPr>
              <w:t>Aktivoidut kehittämismenot arvostetaan alkuperäisen kirjaamisen jälkeen hankintamenoon kertyneillä poistoilla ja arvonalentumistappioilla vähennettyinä. Aktiv</w:t>
            </w:r>
            <w:r w:rsidRPr="00714335">
              <w:rPr>
                <w:lang w:val="fi-FI"/>
              </w:rPr>
              <w:t>oidut kehittämismenot sekä kehitystoiminnan koneet ja laitteet kirjataan tasapoistoina kuluiksi vaikutusaikanaan, joka on 5–10 vuotta. Poistojen kirjaaminen aloitetaan, kun omaisuuserä on valmis käytettäväksi. Aineeton hyödyke, joka ei ole vielä valmis käy</w:t>
            </w:r>
            <w:r w:rsidRPr="00714335">
              <w:rPr>
                <w:lang w:val="fi-FI"/>
              </w:rPr>
              <w:t xml:space="preserve">tettäväksi, testataan vuosittain arvonalentumisen varalta. Tutkimus- ja kehitystoimintaan saadut julkiset avustukset kirjataan liiketoiminnan muihin tuottoihin. </w:t>
            </w:r>
            <w:r w:rsidRPr="00FC20B2">
              <w:rPr>
                <w:lang w:val="fi-FI"/>
              </w:rPr>
              <w:t>Aktivoituihin tuotekehitysmenoihin liittyvät tuet netotetaan hankintamenoon.</w:t>
            </w:r>
          </w:p>
          <w:p w:rsidR="00714335" w:rsidRPr="00FC20B2" w:rsidP="00714335" w14:paraId="0C7461CD" w14:textId="54E822C8">
            <w:pPr>
              <w:pStyle w:val="Bodytext2"/>
              <w:rPr>
                <w:rFonts w:eastAsiaTheme="minorEastAsia"/>
                <w:lang w:val="fi-FI" w:eastAsia="fi-FI"/>
              </w:rPr>
            </w:pPr>
          </w:p>
          <w:p w:rsidR="00714335" w:rsidRPr="00714335" w:rsidP="00714335" w14:paraId="2E1AF8BB" w14:textId="77777777">
            <w:pPr>
              <w:pStyle w:val="Heading13"/>
              <w:rPr>
                <w:lang w:val="fi-FI" w:eastAsia="fi-FI"/>
              </w:rPr>
            </w:pPr>
            <w:r w:rsidRPr="00714335">
              <w:rPr>
                <w:lang w:val="fi-FI" w:eastAsia="fi-FI"/>
              </w:rPr>
              <w:t xml:space="preserve">Muut aineettomat </w:t>
            </w:r>
            <w:r w:rsidRPr="00714335">
              <w:rPr>
                <w:lang w:val="fi-FI" w:eastAsia="fi-FI"/>
              </w:rPr>
              <w:t>hyödykkeet</w:t>
            </w:r>
          </w:p>
          <w:p w:rsidR="00714335" w:rsidP="00714335" w14:paraId="5BC4F9C1" w14:textId="0C25E2C1">
            <w:pPr>
              <w:pStyle w:val="Bodytext2"/>
              <w:rPr>
                <w:rFonts w:eastAsiaTheme="minorEastAsia"/>
                <w:lang w:val="fi-FI" w:eastAsia="fi-FI"/>
              </w:rPr>
            </w:pPr>
            <w:r w:rsidRPr="00714335">
              <w:rPr>
                <w:rFonts w:eastAsiaTheme="minorEastAsia"/>
                <w:lang w:val="fi-FI" w:eastAsia="fi-FI"/>
              </w:rPr>
              <w:t>Aineeton hyödyke merkitään taseeseen alun perin hankintamenoon siinä tapauksessa, että hankintameno on määritettävissä luotettavasti, ja on todennäköistä, että omaisuuserästä johtuva odotettavissa oleva taloudellinen hyöty koituu konsernin hyväk</w:t>
            </w:r>
            <w:r w:rsidRPr="00714335">
              <w:rPr>
                <w:rFonts w:eastAsiaTheme="minorEastAsia"/>
                <w:lang w:val="fi-FI" w:eastAsia="fi-FI"/>
              </w:rPr>
              <w:t>si. Wärtsilän muita aineettomia hyödykkeitä ovat patentit, lisenssit, ohjelmistot, asiakassuhteet ja muut siirrettävissä olevat teollisoikeudet. Nämä arvostetaan hankintamenoon, poikkeuksena liiketoimintojen yhdistämisissä hankitut yksilöidyt aineettomat h</w:t>
            </w:r>
            <w:r w:rsidRPr="00714335">
              <w:rPr>
                <w:rFonts w:eastAsiaTheme="minorEastAsia"/>
                <w:lang w:val="fi-FI" w:eastAsia="fi-FI"/>
              </w:rPr>
              <w:t>yödykkeet, jotka arvostetaan käypään arvoon hankintahetkellä. Hankintameno muodostuu ostohinnasta ja kaikista niistä menoista, jotka välittömästi johtuvat hyödykkeen saattamisesta valmiiksi käyttötarkoitustaan varten.</w:t>
            </w:r>
          </w:p>
          <w:p w:rsidR="00714335" w:rsidRPr="00714335" w:rsidP="00714335" w14:paraId="2478CAC0" w14:textId="77777777">
            <w:pPr>
              <w:pStyle w:val="Bodytext2"/>
              <w:rPr>
                <w:rFonts w:eastAsiaTheme="minorEastAsia"/>
                <w:lang w:val="fi-FI" w:eastAsia="fi-FI"/>
              </w:rPr>
            </w:pPr>
          </w:p>
          <w:p w:rsidR="00714335" w:rsidP="00714335" w14:paraId="2EAE372B" w14:textId="4906E9E9">
            <w:pPr>
              <w:pStyle w:val="Bodytext2"/>
              <w:rPr>
                <w:rFonts w:eastAsiaTheme="minorEastAsia"/>
                <w:lang w:val="fi-FI" w:eastAsia="fi-FI"/>
              </w:rPr>
            </w:pPr>
            <w:r w:rsidRPr="00714335">
              <w:rPr>
                <w:rFonts w:eastAsiaTheme="minorEastAsia"/>
                <w:lang w:val="fi-FI" w:eastAsia="fi-FI"/>
              </w:rPr>
              <w:t>Muut aineettomat hyödykkeet kirjataan</w:t>
            </w:r>
            <w:r w:rsidRPr="00714335">
              <w:rPr>
                <w:rFonts w:eastAsiaTheme="minorEastAsia"/>
                <w:lang w:val="fi-FI" w:eastAsia="fi-FI"/>
              </w:rPr>
              <w:t xml:space="preserve"> tasapoistoina kuluiksi niiden tunnetun tai arvioidun taloudellisen vaikutusajan kuluessa. Määräaikaan sidotuista aineettomista hyödykkeistä kirjataan poistot sopimuskauden kuluessa. Liiketoimintojen yhdistämisissä hankitut yksilöidyt aineettomat hyödykkee</w:t>
            </w:r>
            <w:r w:rsidRPr="00714335">
              <w:rPr>
                <w:rFonts w:eastAsiaTheme="minorEastAsia"/>
                <w:lang w:val="fi-FI" w:eastAsia="fi-FI"/>
              </w:rPr>
              <w:t>t poistetaan niiden oletetun toimitusajan tai taloudellisen vaikutusajan kuluessa.</w:t>
            </w:r>
          </w:p>
          <w:p w:rsidR="00714335" w:rsidRPr="00714335" w:rsidP="00714335" w14:paraId="29487865" w14:textId="77777777">
            <w:pPr>
              <w:pStyle w:val="Bodytext2"/>
              <w:rPr>
                <w:rFonts w:eastAsiaTheme="minorEastAsia"/>
                <w:lang w:val="fi-FI" w:eastAsia="fi-FI"/>
              </w:rPr>
            </w:pPr>
          </w:p>
          <w:p w:rsidR="00714335" w:rsidRPr="00714335" w:rsidP="00714335" w14:paraId="6C874AE1" w14:textId="77777777">
            <w:pPr>
              <w:pStyle w:val="Bodytext2"/>
              <w:rPr>
                <w:rFonts w:eastAsiaTheme="minorEastAsia"/>
                <w:lang w:val="fi-FI" w:eastAsia="fi-FI"/>
              </w:rPr>
            </w:pPr>
            <w:r w:rsidRPr="00714335">
              <w:rPr>
                <w:rFonts w:eastAsiaTheme="minorEastAsia"/>
                <w:lang w:val="fi-FI" w:eastAsia="fi-FI"/>
              </w:rPr>
              <w:t>Muiden aineettomien hyödykkeiden ohjeelliset poistoajat ovat:</w:t>
            </w:r>
          </w:p>
          <w:p w:rsidR="00714335" w:rsidRPr="00714335" w:rsidP="00714335" w14:paraId="1D5086E9" w14:textId="0DD03B7B">
            <w:pPr>
              <w:pStyle w:val="Bodytext2"/>
              <w:rPr>
                <w:rFonts w:eastAsiaTheme="minorEastAsia"/>
                <w:lang w:val="fi-FI" w:eastAsia="fi-FI"/>
              </w:rPr>
            </w:pPr>
            <w:r w:rsidRPr="00714335">
              <w:rPr>
                <w:rFonts w:eastAsiaTheme="minorEastAsia"/>
                <w:lang w:val="fi-FI" w:eastAsia="fi-FI"/>
              </w:rPr>
              <w:t>•</w:t>
            </w:r>
            <w:r>
              <w:rPr>
                <w:rFonts w:eastAsiaTheme="minorEastAsia"/>
                <w:lang w:val="fi-FI" w:eastAsia="fi-FI"/>
              </w:rPr>
              <w:t xml:space="preserve"> </w:t>
            </w:r>
            <w:r w:rsidRPr="00714335">
              <w:rPr>
                <w:rFonts w:eastAsiaTheme="minorEastAsia"/>
                <w:lang w:val="fi-FI" w:eastAsia="fi-FI"/>
              </w:rPr>
              <w:t>ohjelmistot 3–7 vuotta</w:t>
            </w:r>
          </w:p>
          <w:p w:rsidR="00714335" w:rsidRPr="00714335" w:rsidP="00714335" w14:paraId="35546526" w14:textId="2B6ABB5D">
            <w:pPr>
              <w:pStyle w:val="Bodytext2"/>
              <w:rPr>
                <w:rFonts w:eastAsiaTheme="minorEastAsia"/>
                <w:lang w:val="fi-FI" w:eastAsia="fi-FI"/>
              </w:rPr>
            </w:pPr>
            <w:r w:rsidRPr="00714335">
              <w:rPr>
                <w:rFonts w:eastAsiaTheme="minorEastAsia"/>
                <w:lang w:val="fi-FI" w:eastAsia="fi-FI"/>
              </w:rPr>
              <w:t>•</w:t>
            </w:r>
            <w:r>
              <w:rPr>
                <w:rFonts w:eastAsiaTheme="minorEastAsia"/>
                <w:lang w:val="fi-FI" w:eastAsia="fi-FI"/>
              </w:rPr>
              <w:t xml:space="preserve"> </w:t>
            </w:r>
            <w:r w:rsidRPr="00714335">
              <w:rPr>
                <w:rFonts w:eastAsiaTheme="minorEastAsia"/>
                <w:lang w:val="fi-FI" w:eastAsia="fi-FI"/>
              </w:rPr>
              <w:t>tutkimus- ja kehittämismenot 5–10 vuotta</w:t>
            </w:r>
          </w:p>
          <w:p w:rsidR="00714335" w:rsidP="00714335" w14:paraId="01B927BE" w14:textId="089D8447">
            <w:pPr>
              <w:pStyle w:val="Bodytext2"/>
              <w:rPr>
                <w:rFonts w:eastAsiaTheme="minorEastAsia"/>
                <w:lang w:val="fi-FI" w:eastAsia="fi-FI"/>
              </w:rPr>
            </w:pPr>
            <w:r w:rsidRPr="00714335">
              <w:rPr>
                <w:rFonts w:eastAsiaTheme="minorEastAsia"/>
                <w:lang w:val="fi-FI" w:eastAsia="fi-FI"/>
              </w:rPr>
              <w:t>•</w:t>
            </w:r>
            <w:r>
              <w:rPr>
                <w:rFonts w:eastAsiaTheme="minorEastAsia"/>
                <w:lang w:val="fi-FI" w:eastAsia="fi-FI"/>
              </w:rPr>
              <w:t xml:space="preserve"> </w:t>
            </w:r>
            <w:r w:rsidRPr="00714335">
              <w:rPr>
                <w:rFonts w:eastAsiaTheme="minorEastAsia"/>
                <w:lang w:val="fi-FI" w:eastAsia="fi-FI"/>
              </w:rPr>
              <w:t>muut aineettomat hyödykkeet 5–20 vuotta.</w:t>
            </w:r>
          </w:p>
          <w:p w:rsidR="00714335" w:rsidRPr="00714335" w:rsidP="00714335" w14:paraId="1DE85D2E" w14:textId="77777777">
            <w:pPr>
              <w:pStyle w:val="Bodytext2"/>
              <w:rPr>
                <w:rFonts w:eastAsiaTheme="minorEastAsia"/>
                <w:lang w:val="fi-FI" w:eastAsia="fi-FI"/>
              </w:rPr>
            </w:pPr>
          </w:p>
          <w:p w:rsidR="00714335" w:rsidP="00714335" w14:paraId="37365BB2" w14:textId="460172EB">
            <w:pPr>
              <w:pStyle w:val="Bodytext2"/>
              <w:rPr>
                <w:rFonts w:eastAsiaTheme="minorEastAsia"/>
                <w:lang w:val="fi-FI" w:eastAsia="fi-FI"/>
              </w:rPr>
            </w:pPr>
            <w:r w:rsidRPr="00714335">
              <w:rPr>
                <w:rFonts w:eastAsiaTheme="minorEastAsia"/>
                <w:lang w:val="fi-FI" w:eastAsia="fi-FI"/>
              </w:rPr>
              <w:t>Hankintamenon jaksotukset on lopetettava, kun omaisuuserä luokitellaan myytävänä olevaksi.</w:t>
            </w:r>
          </w:p>
          <w:p w:rsidR="00714335" w:rsidRPr="00714335" w:rsidP="00714335" w14:paraId="40A27C69" w14:textId="77777777">
            <w:pPr>
              <w:pStyle w:val="Bodytext2"/>
              <w:rPr>
                <w:rFonts w:eastAsiaTheme="minorEastAsia"/>
                <w:lang w:val="fi-FI" w:eastAsia="fi-FI"/>
              </w:rPr>
            </w:pPr>
          </w:p>
          <w:p w:rsidR="00714335" w:rsidRPr="00714335" w:rsidP="00714335" w14:paraId="688B2A18" w14:textId="3B6893EF">
            <w:pPr>
              <w:pStyle w:val="Bodytext2"/>
              <w:rPr>
                <w:rFonts w:eastAsiaTheme="minorEastAsia"/>
                <w:lang w:val="fi-FI" w:eastAsia="fi-FI"/>
              </w:rPr>
            </w:pPr>
            <w:r w:rsidRPr="00714335">
              <w:rPr>
                <w:rFonts w:eastAsiaTheme="minorEastAsia"/>
                <w:lang w:val="fi-FI" w:eastAsia="fi-FI"/>
              </w:rPr>
              <w:t>Aineettomien hyödykkeiden luovutuksista syntyvät voitot tai tappiot sisältyvät liiketoiminnan muihin tuottoihin tai liiketoiminnan muihin kuluihin.</w:t>
            </w:r>
          </w:p>
          <w:p w:rsidR="00714335" w:rsidRPr="00FC20B2" w14:paraId="2E305E3E" w14:textId="77777777">
            <w:pPr>
              <w:pStyle w:val="Bodytext2"/>
              <w:rPr>
                <w:rFonts w:eastAsiaTheme="minorEastAsia"/>
                <w:lang w:val="fi-FI" w:eastAsia="fi-FI"/>
              </w:rPr>
            </w:pPr>
          </w:p>
          <w:p w:rsidR="00714335" w:rsidRPr="00714335" w:rsidP="00714335" w14:paraId="74D18668" w14:textId="41EAB512">
            <w:pPr>
              <w:pStyle w:val="Heading13"/>
              <w:rPr>
                <w:lang w:val="fi-FI"/>
              </w:rPr>
            </w:pPr>
            <w:r w:rsidRPr="00714335">
              <w:rPr>
                <w:lang w:val="fi-FI"/>
              </w:rPr>
              <w:t>Omaisuuserien</w:t>
            </w:r>
            <w:r w:rsidRPr="00714335">
              <w:rPr>
                <w:lang w:val="fi-FI"/>
              </w:rPr>
              <w:t xml:space="preserve"> arvonalentumiset</w:t>
            </w:r>
          </w:p>
          <w:p w:rsidR="00714335" w:rsidP="00714335" w14:paraId="251E43D6" w14:textId="38770179">
            <w:pPr>
              <w:pStyle w:val="Bodytext2"/>
              <w:rPr>
                <w:lang w:val="fi-FI"/>
              </w:rPr>
            </w:pPr>
            <w:r w:rsidRPr="00714335">
              <w:rPr>
                <w:lang w:val="fi-FI"/>
              </w:rPr>
              <w:t>Omaisuuserien tasearvoa tarkastellaan vähintään vuosittain tai useammin, jos arvonalentumisesta on viitteitä. Jos viitteitä ilmenee, arvioidaan kyseisestä omaisuuserästä kerrytettävissä oleva rahamäärä, jota verrataan omaisuuserän kirjanp</w:t>
            </w:r>
            <w:r w:rsidRPr="00714335">
              <w:rPr>
                <w:lang w:val="fi-FI"/>
              </w:rPr>
              <w:t>itoarvoon. Arvonalentumistappio kirjataan, kun omaisuuserän kirjanpitoarvo ylittää siitä kerrytettävissä olevan rahamäärän. Kerrytettävissä oleva rahamäärä on omaisuuserän käypä arvo vähennettynä myynnistä aiheutuvilla menoilla tai käyttöarvo sen mukaan, k</w:t>
            </w:r>
            <w:r w:rsidRPr="00714335">
              <w:rPr>
                <w:lang w:val="fi-FI"/>
              </w:rPr>
              <w:t>umpi niistä on suurempi.</w:t>
            </w:r>
          </w:p>
          <w:p w:rsidR="00714335" w:rsidRPr="00714335" w:rsidP="00714335" w14:paraId="48805174" w14:textId="77777777">
            <w:pPr>
              <w:pStyle w:val="Bodytext2"/>
              <w:rPr>
                <w:lang w:val="fi-FI"/>
              </w:rPr>
            </w:pPr>
          </w:p>
          <w:p w:rsidR="00714335" w:rsidRPr="00205E2E" w:rsidP="00072222" w14:paraId="4A1F2094" w14:textId="48FE79CB">
            <w:pPr>
              <w:pStyle w:val="Bodytext2"/>
              <w:rPr>
                <w:lang w:val="fi-FI"/>
              </w:rPr>
            </w:pPr>
            <w:r w:rsidRPr="00714335">
              <w:rPr>
                <w:lang w:val="fi-FI"/>
              </w:rPr>
              <w:t>Arvonalentumistappio kirjataan välittömästi tuloslaskelma</w:t>
            </w:r>
            <w:r>
              <w:rPr>
                <w:lang w:val="fi-FI"/>
              </w:rPr>
              <w:t>lla</w:t>
            </w:r>
            <w:r w:rsidRPr="00714335">
              <w:rPr>
                <w:lang w:val="fi-FI"/>
              </w:rPr>
              <w:t xml:space="preserve"> </w:t>
            </w:r>
            <w:r>
              <w:rPr>
                <w:lang w:val="fi-FI"/>
              </w:rPr>
              <w:t>poistoihin ja arvonalentumisiin</w:t>
            </w:r>
            <w:r w:rsidRPr="00714335">
              <w:rPr>
                <w:lang w:val="fi-FI"/>
              </w:rPr>
              <w:t xml:space="preserve">. Arvonalentumistappion kirjaamisen yhteydessä poistojen kohteena olevan omaisuuserän taloudellinen vaikutusaika arvioidaan </w:t>
            </w:r>
            <w:r w:rsidRPr="00714335">
              <w:rPr>
                <w:lang w:val="fi-FI"/>
              </w:rPr>
              <w:t>uudelleen. Omaisuuserästä kirjattu aiempi arvonalentumistappio peruutetaan, mikäli kerrytettävissä olevan tulon määrittämisessä käytetyt arviot muuttuvat. Arvonalentumistappiota ei kuitenkaan peruta enempää kuin mikä omaisuuserän kirjanpitoarvo olisi ilman</w:t>
            </w:r>
            <w:r w:rsidRPr="00714335">
              <w:rPr>
                <w:lang w:val="fi-FI"/>
              </w:rPr>
              <w:t xml:space="preserve"> arvonalentumistappion kirjaamista.</w:t>
            </w:r>
          </w:p>
        </w:tc>
      </w:tr>
    </w:tbl>
    <w:p w:rsidR="00714335" w:rsidP="00714335" w14:paraId="39421C99" w14:textId="24D6D48E">
      <w:pPr>
        <w:pStyle w:val="Bodytext2"/>
        <w:rPr>
          <w:lang w:val="fi-FI"/>
        </w:rPr>
      </w:pPr>
    </w:p>
    <w:tbl>
      <w:tblPr>
        <w:tblStyle w:val="TableGrid"/>
        <w:tblW w:w="7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7DFE1"/>
        <w:tblLook w:val="04A0"/>
      </w:tblPr>
      <w:tblGrid>
        <w:gridCol w:w="7371"/>
      </w:tblGrid>
      <w:tr w14:paraId="734755D1" w14:textId="77777777" w:rsidTr="00205E2E">
        <w:tblPrEx>
          <w:tblW w:w="7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7DFE1"/>
          <w:tblLook w:val="04A0"/>
        </w:tblPrEx>
        <w:tc>
          <w:tcPr>
            <w:tcW w:w="7360" w:type="dxa"/>
            <w:shd w:val="clear" w:color="auto" w:fill="D7DFE1"/>
          </w:tcPr>
          <w:p w:rsidR="00205E2E" w:rsidRPr="00072222" w:rsidP="00205E2E" w14:paraId="6898DF1C" w14:textId="77777777">
            <w:pPr>
              <w:pStyle w:val="Heading13"/>
              <w:rPr>
                <w:lang w:val="fi-FI"/>
              </w:rPr>
            </w:pPr>
            <w:r w:rsidRPr="00072222">
              <w:rPr>
                <w:lang w:val="fi-FI"/>
              </w:rPr>
              <w:t>Kirjanpidolliset arviot ja harkinnat</w:t>
            </w:r>
          </w:p>
          <w:p w:rsidR="00205E2E" w:rsidP="00205E2E" w14:paraId="2DBE2968" w14:textId="4BB42CFC">
            <w:pPr>
              <w:pStyle w:val="Bodytext2"/>
              <w:rPr>
                <w:lang w:val="fi-FI"/>
              </w:rPr>
            </w:pPr>
            <w:r w:rsidRPr="00072222">
              <w:rPr>
                <w:lang w:val="fi-FI"/>
              </w:rPr>
              <w:t xml:space="preserve">Sen arviointi, onko odotettavissa oleva vastainen taloudellinen hyöty todennäköistä tai sen, mikä on aineettoman hyödykkeen taloudellinen vaikutusaika, edellyttää johdon harkintaa. </w:t>
            </w:r>
            <w:r w:rsidRPr="00072222">
              <w:rPr>
                <w:lang w:val="fi-FI"/>
              </w:rPr>
              <w:t xml:space="preserve">Arvioidut taloudelliset vaikutusajat ja jäännösarvot tarkistetaan vähintään kunkin </w:t>
            </w:r>
            <w:r>
              <w:rPr>
                <w:lang w:val="fi-FI"/>
              </w:rPr>
              <w:t>raportointi</w:t>
            </w:r>
            <w:r w:rsidRPr="00072222">
              <w:rPr>
                <w:lang w:val="fi-FI"/>
              </w:rPr>
              <w:t xml:space="preserve">kauden päättyessä, ja jos ne eroavat merkittävästi aikaisemmista arvioista, poistoaikaa muutetaan vastaavasti. </w:t>
            </w:r>
            <w:r w:rsidRPr="00176084">
              <w:rPr>
                <w:lang w:val="fi-FI"/>
              </w:rPr>
              <w:t>Myös sen arviointi, onko arvonalentumisesta viittei</w:t>
            </w:r>
            <w:r w:rsidRPr="00176084">
              <w:rPr>
                <w:lang w:val="fi-FI"/>
              </w:rPr>
              <w:t>tä, edellyttää johdon harkintaa.</w:t>
            </w:r>
          </w:p>
        </w:tc>
      </w:tr>
    </w:tbl>
    <w:p w:rsidR="00205E2E" w:rsidRPr="00176084" w:rsidP="00714335" w14:paraId="122B5BB0" w14:textId="77777777">
      <w:pPr>
        <w:pStyle w:val="Bodytext2"/>
        <w:rPr>
          <w:lang w:val="fi-FI"/>
        </w:rPr>
      </w:pPr>
    </w:p>
    <w:p w:rsidR="00714335" w:rsidP="00714335" w14:paraId="384FF645" w14:textId="75353937">
      <w:pPr>
        <w:pStyle w:val="Heading13"/>
      </w:pPr>
      <w:r>
        <w:t>202</w:t>
      </w:r>
      <w:r w:rsidR="003E004C">
        <w:t>1</w:t>
      </w:r>
    </w:p>
    <w:tbl>
      <w:tblPr>
        <w:tblStyle w:val="TableNormal"/>
        <w:tblCaption w:val="table_intangible_assets_current"/>
        <w:tblW w:w="7305" w:type="dxa"/>
        <w:tblLayout w:type="fixed"/>
        <w:tblLook w:val="0600"/>
      </w:tblPr>
      <w:tblGrid>
        <w:gridCol w:w="3525"/>
        <w:gridCol w:w="945"/>
        <w:gridCol w:w="945"/>
        <w:gridCol w:w="945"/>
        <w:gridCol w:w="945"/>
      </w:tblGrid>
      <w:tr>
        <w:tblPrEx>
          <w:tblW w:w="7305" w:type="dxa"/>
          <w:tblLayout w:type="fixed"/>
          <w:tblLook w:val="0600"/>
        </w:tblPrEx>
        <w:trPr>
          <w:trHeight w:val="255"/>
        </w:trPr>
        <w:tc>
          <w:tcPr>
            <w:tcW w:w="352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94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Tuote-</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kehitys-</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kulut</w:t>
            </w:r>
          </w:p>
        </w:tc>
        <w:tc>
          <w:tcPr>
            <w:tcW w:w="94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Kesken-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eräiset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hankinnat</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ja ennakot</w:t>
            </w:r>
          </w:p>
        </w:tc>
        <w:tc>
          <w:tcPr>
            <w:tcW w:w="94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Muut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aineettomat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hyödykkeet</w:t>
            </w:r>
          </w:p>
        </w:tc>
        <w:tc>
          <w:tcPr>
            <w:tcW w:w="94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Hankintameno 1.1.2021</w:t>
            </w:r>
          </w:p>
        </w:tc>
        <w:tc>
          <w:tcPr>
            <w:tcW w:w="9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182</w:t>
            </w:r>
          </w:p>
        </w:tc>
        <w:tc>
          <w:tcPr>
            <w:tcW w:w="9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123</w:t>
            </w:r>
          </w:p>
        </w:tc>
        <w:tc>
          <w:tcPr>
            <w:tcW w:w="9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829</w:t>
            </w:r>
          </w:p>
        </w:tc>
        <w:tc>
          <w:tcPr>
            <w:tcW w:w="9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1 134</w:t>
            </w: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Valuuttakurssimuutokset</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w:t>
            </w: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25"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Lisäykset</w:t>
            </w:r>
          </w:p>
        </w:tc>
        <w:tc>
          <w:tcPr>
            <w:tcW w:w="9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9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53</w:t>
            </w:r>
          </w:p>
        </w:tc>
        <w:tc>
          <w:tcPr>
            <w:tcW w:w="9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9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61</w:t>
            </w: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Vähennykset ja muut muutokset</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w:t>
            </w: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Uudelleenryhmittelyt</w:t>
            </w:r>
          </w:p>
        </w:tc>
        <w:tc>
          <w:tcPr>
            <w:tcW w:w="9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25</w:t>
            </w:r>
          </w:p>
        </w:tc>
        <w:tc>
          <w:tcPr>
            <w:tcW w:w="9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-28</w:t>
            </w:r>
          </w:p>
        </w:tc>
        <w:tc>
          <w:tcPr>
            <w:tcW w:w="9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9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Hankintameno 31.12.2021</w:t>
            </w:r>
          </w:p>
        </w:tc>
        <w:tc>
          <w:tcPr>
            <w:tcW w:w="9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211</w:t>
            </w:r>
          </w:p>
        </w:tc>
        <w:tc>
          <w:tcPr>
            <w:tcW w:w="9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148</w:t>
            </w:r>
          </w:p>
        </w:tc>
        <w:tc>
          <w:tcPr>
            <w:tcW w:w="9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841</w:t>
            </w:r>
          </w:p>
        </w:tc>
        <w:tc>
          <w:tcPr>
            <w:tcW w:w="9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1 200</w:t>
            </w: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5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Kertyneet poistot ja arvonalentumiset 1.1.2021</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-115</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-628</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-743</w:t>
            </w: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Valuuttakurssimuutokset</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w:t>
            </w: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5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Vähennysten kertyneet poistot ja muut muutokset</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w:t>
            </w: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Tilikauden poisto</w:t>
            </w:r>
          </w:p>
        </w:tc>
        <w:tc>
          <w:tcPr>
            <w:tcW w:w="9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w:t>
            </w:r>
          </w:p>
        </w:tc>
        <w:tc>
          <w:tcPr>
            <w:tcW w:w="9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9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-39</w:t>
            </w:r>
          </w:p>
        </w:tc>
        <w:tc>
          <w:tcPr>
            <w:tcW w:w="9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-53</w:t>
            </w: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525" w:type="dxa"/>
            <w:tcBorders>
              <w:top w:val="nil"/>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Kertyneet poistot ja arvonalentumiset 31.12.2021</w:t>
            </w:r>
          </w:p>
        </w:tc>
        <w:tc>
          <w:tcPr>
            <w:tcW w:w="9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-128</w:t>
            </w:r>
          </w:p>
        </w:tc>
        <w:tc>
          <w:tcPr>
            <w:tcW w:w="9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9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-670</w:t>
            </w:r>
          </w:p>
        </w:tc>
        <w:tc>
          <w:tcPr>
            <w:tcW w:w="9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-799</w:t>
            </w: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25"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2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Kirjanpitoarvo 31.12.2021</w:t>
            </w:r>
          </w:p>
        </w:tc>
        <w:tc>
          <w:tcPr>
            <w:tcW w:w="9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83</w:t>
            </w:r>
          </w:p>
        </w:tc>
        <w:tc>
          <w:tcPr>
            <w:tcW w:w="9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147</w:t>
            </w:r>
          </w:p>
        </w:tc>
        <w:tc>
          <w:tcPr>
            <w:tcW w:w="9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171</w:t>
            </w:r>
          </w:p>
        </w:tc>
        <w:tc>
          <w:tcPr>
            <w:tcW w:w="9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401</w:t>
            </w:r>
          </w:p>
        </w:tc>
      </w:tr>
    </w:tbl>
    <w:p w:rsidR="00714335" w:rsidP="00714335" w14:paraId="1541447E" w14:textId="77777777">
      <w:pPr>
        <w:pStyle w:val="Bodytext2"/>
      </w:pPr>
    </w:p>
    <w:p w:rsidR="00714335" w:rsidRPr="00714335" w:rsidP="00714335" w14:paraId="6F3D30BA" w14:textId="7ED79C7E">
      <w:pPr>
        <w:pStyle w:val="Bodytext2"/>
        <w:rPr>
          <w:lang w:val="fi-FI"/>
        </w:rPr>
      </w:pPr>
      <w:r w:rsidRPr="00714335">
        <w:rPr>
          <w:lang w:val="fi-FI"/>
        </w:rPr>
        <w:t>Tilikaudella aktivoitiin</w:t>
      </w:r>
      <w:r>
        <w:rPr>
          <w:lang w:val="fi-FI"/>
        </w:rPr>
        <w:t xml:space="preserve"> </w:t>
      </w:r>
      <w:r w:rsidRPr="00714335">
        <w:rPr>
          <w:lang w:val="fi-FI"/>
        </w:rPr>
        <w:t>tuotekehitysmenoja</w:t>
      </w:r>
      <w:r>
        <w:rPr>
          <w:lang w:val="fi-FI"/>
        </w:rPr>
        <w:t xml:space="preserve"> sisäisesti tuotetuille omaisuuserille</w:t>
      </w:r>
      <w:r w:rsidRPr="00714335">
        <w:rPr>
          <w:lang w:val="fi-FI"/>
        </w:rPr>
        <w:t xml:space="preserve"> </w:t>
      </w:r>
      <w:r>
        <w:rPr>
          <w:lang w:val="fi-FI"/>
        </w:rPr>
        <w:t>5</w:t>
      </w:r>
      <w:r w:rsidR="003E004C">
        <w:rPr>
          <w:lang w:val="fi-FI"/>
        </w:rPr>
        <w:t>1</w:t>
      </w:r>
      <w:r w:rsidRPr="00714335">
        <w:rPr>
          <w:lang w:val="fi-FI"/>
        </w:rPr>
        <w:t xml:space="preserve"> milj</w:t>
      </w:r>
      <w:r>
        <w:rPr>
          <w:lang w:val="fi-FI"/>
        </w:rPr>
        <w:t>oonaa</w:t>
      </w:r>
      <w:r w:rsidRPr="00714335">
        <w:rPr>
          <w:lang w:val="fi-FI"/>
        </w:rPr>
        <w:t xml:space="preserve"> euroa (</w:t>
      </w:r>
      <w:r w:rsidR="003E004C">
        <w:rPr>
          <w:lang w:val="fi-FI"/>
        </w:rPr>
        <w:t>52</w:t>
      </w:r>
      <w:r w:rsidRPr="00714335">
        <w:rPr>
          <w:lang w:val="fi-FI"/>
        </w:rPr>
        <w:t xml:space="preserve">). Niiden kirjanpitoarvo oli </w:t>
      </w:r>
      <w:r w:rsidR="003E004C">
        <w:rPr>
          <w:lang w:val="fi-FI"/>
        </w:rPr>
        <w:t>223</w:t>
      </w:r>
      <w:r w:rsidRPr="00714335">
        <w:rPr>
          <w:lang w:val="fi-FI"/>
        </w:rPr>
        <w:t xml:space="preserve"> milj</w:t>
      </w:r>
      <w:r>
        <w:rPr>
          <w:lang w:val="fi-FI"/>
        </w:rPr>
        <w:t>oonaa</w:t>
      </w:r>
      <w:r w:rsidRPr="00714335">
        <w:rPr>
          <w:lang w:val="fi-FI"/>
        </w:rPr>
        <w:t xml:space="preserve"> euroa (</w:t>
      </w:r>
      <w:r>
        <w:rPr>
          <w:lang w:val="fi-FI"/>
        </w:rPr>
        <w:t>1</w:t>
      </w:r>
      <w:r w:rsidR="003E004C">
        <w:rPr>
          <w:lang w:val="fi-FI"/>
        </w:rPr>
        <w:t>79</w:t>
      </w:r>
      <w:r w:rsidRPr="00714335">
        <w:rPr>
          <w:lang w:val="fi-FI"/>
        </w:rPr>
        <w:t>).</w:t>
      </w:r>
    </w:p>
    <w:p w:rsidR="00714335" w:rsidRPr="00714335" w:rsidP="00714335" w14:paraId="198353AC" w14:textId="77777777">
      <w:pPr>
        <w:pStyle w:val="Bodytext2"/>
        <w:rPr>
          <w:lang w:val="fi-FI"/>
        </w:rPr>
      </w:pPr>
    </w:p>
    <w:p w:rsidR="00714335" w:rsidP="00714335" w14:paraId="5191FBB6" w14:textId="5A9F24DD">
      <w:pPr>
        <w:pStyle w:val="Bodytext2"/>
        <w:rPr>
          <w:lang w:val="fi-FI"/>
        </w:rPr>
      </w:pPr>
      <w:r w:rsidRPr="00714335">
        <w:rPr>
          <w:lang w:val="fi-FI"/>
        </w:rPr>
        <w:t xml:space="preserve">Hankintamenojen allokointeihin liittyvät aineettomien hyödykkeiden poistot olivat </w:t>
      </w:r>
      <w:r>
        <w:rPr>
          <w:lang w:val="fi-FI"/>
        </w:rPr>
        <w:t>3</w:t>
      </w:r>
      <w:r w:rsidR="003E004C">
        <w:rPr>
          <w:lang w:val="fi-FI"/>
        </w:rPr>
        <w:t>1</w:t>
      </w:r>
      <w:r w:rsidRPr="00714335">
        <w:rPr>
          <w:lang w:val="fi-FI"/>
        </w:rPr>
        <w:t xml:space="preserve"> milj</w:t>
      </w:r>
      <w:r>
        <w:rPr>
          <w:lang w:val="fi-FI"/>
        </w:rPr>
        <w:t>oonaa</w:t>
      </w:r>
      <w:r w:rsidRPr="00714335">
        <w:rPr>
          <w:lang w:val="fi-FI"/>
        </w:rPr>
        <w:t xml:space="preserve"> euroa (</w:t>
      </w:r>
      <w:r w:rsidR="003E004C">
        <w:rPr>
          <w:lang w:val="fi-FI"/>
        </w:rPr>
        <w:t>33</w:t>
      </w:r>
      <w:r w:rsidRPr="00714335">
        <w:rPr>
          <w:lang w:val="fi-FI"/>
        </w:rPr>
        <w:t xml:space="preserve">) ja niiden kirjanpitoarvo oli </w:t>
      </w:r>
      <w:r>
        <w:rPr>
          <w:lang w:val="fi-FI"/>
        </w:rPr>
        <w:t>1</w:t>
      </w:r>
      <w:r w:rsidR="003E004C">
        <w:rPr>
          <w:lang w:val="fi-FI"/>
        </w:rPr>
        <w:t>4</w:t>
      </w:r>
      <w:r>
        <w:rPr>
          <w:lang w:val="fi-FI"/>
        </w:rPr>
        <w:t>1</w:t>
      </w:r>
      <w:r w:rsidRPr="00714335">
        <w:rPr>
          <w:lang w:val="fi-FI"/>
        </w:rPr>
        <w:t xml:space="preserve"> milj</w:t>
      </w:r>
      <w:r>
        <w:rPr>
          <w:lang w:val="fi-FI"/>
        </w:rPr>
        <w:t>oonaa</w:t>
      </w:r>
      <w:r w:rsidRPr="00714335">
        <w:rPr>
          <w:lang w:val="fi-FI"/>
        </w:rPr>
        <w:t xml:space="preserve"> euroa (</w:t>
      </w:r>
      <w:r w:rsidR="003E004C">
        <w:rPr>
          <w:lang w:val="fi-FI"/>
        </w:rPr>
        <w:t>171</w:t>
      </w:r>
      <w:r w:rsidRPr="00714335">
        <w:rPr>
          <w:lang w:val="fi-FI"/>
        </w:rPr>
        <w:t>).</w:t>
      </w:r>
    </w:p>
    <w:p w:rsidR="00714335" w:rsidRPr="00714335" w:rsidP="00714335" w14:paraId="247CA5D1" w14:textId="77777777">
      <w:pPr>
        <w:pStyle w:val="Bodytext2"/>
        <w:rPr>
          <w:lang w:val="fi-FI"/>
        </w:rPr>
      </w:pPr>
    </w:p>
    <w:p w:rsidR="00714335" w:rsidP="00714335" w14:paraId="68725AA5" w14:textId="6A8EAED7">
      <w:pPr>
        <w:pStyle w:val="Heading13"/>
      </w:pPr>
      <w:r>
        <w:t>20</w:t>
      </w:r>
      <w:r w:rsidR="003E004C">
        <w:t>20</w:t>
      </w:r>
    </w:p>
    <w:tbl>
      <w:tblPr>
        <w:tblStyle w:val="TableNormal"/>
        <w:tblCaption w:val="table_intangible_assets_previous"/>
        <w:tblW w:w="7305" w:type="dxa"/>
        <w:tblLayout w:type="fixed"/>
        <w:tblLook w:val="0600"/>
      </w:tblPr>
      <w:tblGrid>
        <w:gridCol w:w="3525"/>
        <w:gridCol w:w="945"/>
        <w:gridCol w:w="945"/>
        <w:gridCol w:w="945"/>
        <w:gridCol w:w="945"/>
      </w:tblGrid>
      <w:tr>
        <w:tblPrEx>
          <w:tblW w:w="7305" w:type="dxa"/>
          <w:tblLayout w:type="fixed"/>
          <w:tblLook w:val="0600"/>
        </w:tblPrEx>
        <w:trPr>
          <w:trHeight w:val="240"/>
        </w:trPr>
        <w:tc>
          <w:tcPr>
            <w:tcW w:w="352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94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Tuote-</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kehitys-</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kulut</w:t>
            </w:r>
          </w:p>
        </w:tc>
        <w:tc>
          <w:tcPr>
            <w:tcW w:w="94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Kesken-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eräiset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hankinnat</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ja ennakot</w:t>
            </w:r>
          </w:p>
        </w:tc>
        <w:tc>
          <w:tcPr>
            <w:tcW w:w="94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Muut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aineettomat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hyödykkeet</w:t>
            </w:r>
          </w:p>
        </w:tc>
        <w:tc>
          <w:tcPr>
            <w:tcW w:w="94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Hankintameno 1.1.2020</w:t>
            </w:r>
          </w:p>
        </w:tc>
        <w:tc>
          <w:tcPr>
            <w:tcW w:w="9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169</w:t>
            </w:r>
          </w:p>
        </w:tc>
        <w:tc>
          <w:tcPr>
            <w:tcW w:w="9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85</w:t>
            </w:r>
          </w:p>
        </w:tc>
        <w:tc>
          <w:tcPr>
            <w:tcW w:w="9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860</w:t>
            </w:r>
          </w:p>
        </w:tc>
        <w:tc>
          <w:tcPr>
            <w:tcW w:w="9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1 114</w:t>
            </w: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Valuuttakurssimuutokset</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w:t>
            </w: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Yrityshankinnat ja yritysmyynnit</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Lisäykset</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54</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61</w:t>
            </w: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Vähennykset ja muut muutokset</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-21</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-22</w:t>
            </w: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Uudelleenryhmittelyt</w:t>
            </w:r>
          </w:p>
        </w:tc>
        <w:tc>
          <w:tcPr>
            <w:tcW w:w="9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w:t>
            </w:r>
          </w:p>
        </w:tc>
        <w:tc>
          <w:tcPr>
            <w:tcW w:w="9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w:t>
            </w:r>
          </w:p>
        </w:tc>
        <w:tc>
          <w:tcPr>
            <w:tcW w:w="9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945"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Hankintameno 31.12.2020</w:t>
            </w:r>
          </w:p>
        </w:tc>
        <w:tc>
          <w:tcPr>
            <w:tcW w:w="9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182</w:t>
            </w:r>
          </w:p>
        </w:tc>
        <w:tc>
          <w:tcPr>
            <w:tcW w:w="9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123</w:t>
            </w:r>
          </w:p>
        </w:tc>
        <w:tc>
          <w:tcPr>
            <w:tcW w:w="9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829</w:t>
            </w:r>
          </w:p>
        </w:tc>
        <w:tc>
          <w:tcPr>
            <w:tcW w:w="9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1 134</w:t>
            </w: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5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Kertyneet poistot ja arvonalentumiset 1.1.2020</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-104</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-613</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-717</w:t>
            </w: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Valuuttakurssimuutokset</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5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Vähennysten kertyneet poistot ja muut muutokset</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w:t>
            </w: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5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Arvonalentumiset</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-43</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-54</w:t>
            </w: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525"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Kertyneet poistot ja arvonalentumiset 31.12.2020</w:t>
            </w:r>
          </w:p>
        </w:tc>
        <w:tc>
          <w:tcPr>
            <w:tcW w:w="9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9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9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9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525"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Kertyneet poistot ja arvonalentumiset 31.12.2020</w:t>
            </w:r>
          </w:p>
        </w:tc>
        <w:tc>
          <w:tcPr>
            <w:tcW w:w="9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-115</w:t>
            </w:r>
          </w:p>
        </w:tc>
        <w:tc>
          <w:tcPr>
            <w:tcW w:w="9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9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-628</w:t>
            </w:r>
          </w:p>
        </w:tc>
        <w:tc>
          <w:tcPr>
            <w:tcW w:w="9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-743</w:t>
            </w: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25"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2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Kirjanpitoarvo 31.12.2020</w:t>
            </w:r>
          </w:p>
        </w:tc>
        <w:tc>
          <w:tcPr>
            <w:tcW w:w="9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68</w:t>
            </w:r>
          </w:p>
        </w:tc>
        <w:tc>
          <w:tcPr>
            <w:tcW w:w="9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122</w:t>
            </w:r>
          </w:p>
        </w:tc>
        <w:tc>
          <w:tcPr>
            <w:tcW w:w="9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201</w:t>
            </w:r>
          </w:p>
        </w:tc>
        <w:tc>
          <w:tcPr>
            <w:tcW w:w="9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391</w:t>
            </w:r>
          </w:p>
        </w:tc>
      </w:tr>
    </w:tbl>
    <w:p/>
    <w:p w:rsidR="00DE3CDB" w:rsidP="00DE3CDB" w14:paraId="27601F71" w14:textId="71E98CF6">
      <w:pPr>
        <w:pStyle w:val="Heading12"/>
      </w:pPr>
      <w:bookmarkStart w:id="1461" w:name="RG_MARKER_7454"/>
      <w:r>
        <w:t>3.3. AINEELLISET HYÖDYKKEET</w:t>
      </w:r>
      <w:bookmarkEnd w:id="1461"/>
    </w:p>
    <w:tbl>
      <w:tblPr>
        <w:tblStyle w:val="TableGrid"/>
        <w:tblW w:w="7371" w:type="dxa"/>
        <w:tblLook w:val="04A0"/>
      </w:tblPr>
      <w:tblGrid>
        <w:gridCol w:w="7371"/>
      </w:tblGrid>
      <w:tr w14:paraId="5FD79716" w14:textId="77777777" w:rsidTr="00DE3CDB">
        <w:tblPrEx>
          <w:tblW w:w="7371" w:type="dxa"/>
          <w:tblLook w:val="04A0"/>
        </w:tblPrEx>
        <w:tc>
          <w:tcPr>
            <w:tcW w:w="7371" w:type="dxa"/>
            <w:tcBorders>
              <w:top w:val="nil"/>
              <w:left w:val="nil"/>
              <w:bottom w:val="nil"/>
              <w:right w:val="nil"/>
            </w:tcBorders>
            <w:shd w:val="clear" w:color="auto" w:fill="B6C8D1"/>
          </w:tcPr>
          <w:p w:rsidR="00DE3CDB" w:rsidRPr="00365A6D" w14:paraId="2DA2F736" w14:textId="51B0EB34">
            <w:pPr>
              <w:pStyle w:val="Heading13"/>
              <w:rPr>
                <w:rFonts w:eastAsiaTheme="minorEastAsia"/>
                <w:lang w:val="fi-FI" w:eastAsia="fi-FI"/>
              </w:rPr>
            </w:pPr>
            <w:r w:rsidRPr="00365A6D">
              <w:rPr>
                <w:rFonts w:eastAsiaTheme="minorEastAsia"/>
                <w:lang w:val="fi-FI" w:eastAsia="fi-FI"/>
              </w:rPr>
              <w:t>Laadintaperiaatteet</w:t>
            </w:r>
          </w:p>
          <w:p w:rsidR="00DE3CDB" w:rsidRPr="00DE3CDB" w:rsidP="00DE3CDB" w14:paraId="4AC9FBCF" w14:textId="63F38D85">
            <w:pPr>
              <w:pStyle w:val="Bodytext2"/>
              <w:rPr>
                <w:lang w:val="fi-FI" w:eastAsia="fi-FI"/>
              </w:rPr>
            </w:pPr>
            <w:r w:rsidRPr="00DE3CDB">
              <w:rPr>
                <w:lang w:val="fi-FI" w:eastAsia="fi-FI"/>
              </w:rPr>
              <w:t xml:space="preserve">Konserniyhtiöiden aineelliset käyttöomaisuushyödykkeet arvostetaan hankintamenoon vähennettynä kertyneillä poistoilla ja arvonalentumistappioilla. Hankintameno sisältää ne menot, jotka johtuvat </w:t>
            </w:r>
            <w:r w:rsidRPr="00DE3CDB">
              <w:rPr>
                <w:lang w:val="fi-FI" w:eastAsia="fi-FI"/>
              </w:rPr>
              <w:t>välittömästi kyseisen hyödykkeen hankinnasta. Saadut avustukset kirjataan hankintamenon vähennyksinä. Liiketoimintojen yhdistämisissä hankitut aineelliset käyttöomaisuushyödykkeet arvostetaan hankintahetken käypään arvoon. Ne vieraan pääoman menot, jotka j</w:t>
            </w:r>
            <w:r w:rsidRPr="00DE3CDB">
              <w:rPr>
                <w:lang w:val="fi-FI" w:eastAsia="fi-FI"/>
              </w:rPr>
              <w:t>ohtuvat välittömästi ehdot täyttävän omaisuuserän hankkimisesta, rakentamisesta tai valmistamisesta, aktivoidaan taseeseen osana kyseisen hyödykkeen hankintamenoa. Ehdot täyttävä hyödyke on omaisuuserä, jonka valmiiksi saattaminen sen aiottua käyttötarkoit</w:t>
            </w:r>
            <w:r w:rsidRPr="00DE3CDB">
              <w:rPr>
                <w:lang w:val="fi-FI" w:eastAsia="fi-FI"/>
              </w:rPr>
              <w:t>usta tai myyntiä varten vaatii välttämättä huomattavan pitkän ajan. Muut vieraan pääoman menot kirjataan kuluksi sillä kaudella, jonka aikana ne ovat syntyneet.</w:t>
            </w:r>
          </w:p>
          <w:p w:rsidR="00DE3CDB" w:rsidRPr="00DE3CDB" w:rsidP="00DE3CDB" w14:paraId="62219F7E" w14:textId="77777777">
            <w:pPr>
              <w:pStyle w:val="Bodytext2"/>
              <w:rPr>
                <w:lang w:val="fi-FI" w:eastAsia="fi-FI"/>
              </w:rPr>
            </w:pPr>
          </w:p>
          <w:p w:rsidR="00DE3CDB" w:rsidP="00DE3CDB" w14:paraId="41CE215F" w14:textId="3EF08F66">
            <w:pPr>
              <w:pStyle w:val="Bodytext2"/>
              <w:rPr>
                <w:lang w:val="fi-FI" w:eastAsia="fi-FI"/>
              </w:rPr>
            </w:pPr>
            <w:r w:rsidRPr="00DE3CDB">
              <w:rPr>
                <w:lang w:val="fi-FI" w:eastAsia="fi-FI"/>
              </w:rPr>
              <w:t>Myöhemmin syntyvät menot sisällytetään aineellisen käyttöomaisuushyödykkeen kirjanpitoarvoon v</w:t>
            </w:r>
            <w:r w:rsidRPr="00DE3CDB">
              <w:rPr>
                <w:lang w:val="fi-FI" w:eastAsia="fi-FI"/>
              </w:rPr>
              <w:t>ain, mikäli on todennäköistä, että hyödykkeeseen liittyvä taloudellinen hyöty koituu konsernin hyväksi, ja hyödykkeen hankintameno on luotettavasti määritettävissä. Säännöllisin määräajoin suoritettavista suurista ja perinpohjaisista tarkastuksista tai kun</w:t>
            </w:r>
            <w:r w:rsidRPr="00DE3CDB">
              <w:rPr>
                <w:lang w:val="fi-FI" w:eastAsia="fi-FI"/>
              </w:rPr>
              <w:t>nossapidosta johtuvat menot käsitellään investointeina, ja ne kirjataan poistoina kuluiksi vaikutusaikanaan. Tavanomaiset kunnossapito- ja korjauskustannukset kirjataan kuluiksi, kun ne toteutuvat.</w:t>
            </w:r>
          </w:p>
          <w:p w:rsidR="00DE3CDB" w:rsidRPr="00DE3CDB" w:rsidP="00DE3CDB" w14:paraId="2DBA01BD" w14:textId="77777777">
            <w:pPr>
              <w:pStyle w:val="Bodytext2"/>
              <w:rPr>
                <w:lang w:val="fi-FI" w:eastAsia="fi-FI"/>
              </w:rPr>
            </w:pPr>
          </w:p>
          <w:p w:rsidR="00DE3CDB" w:rsidRPr="00DE3CDB" w:rsidP="00DE3CDB" w14:paraId="1BE305F1" w14:textId="77777777">
            <w:pPr>
              <w:pStyle w:val="Bodytext2"/>
              <w:rPr>
                <w:lang w:val="fi-FI" w:eastAsia="fi-FI"/>
              </w:rPr>
            </w:pPr>
            <w:r w:rsidRPr="00DE3CDB">
              <w:rPr>
                <w:lang w:val="fi-FI" w:eastAsia="fi-FI"/>
              </w:rPr>
              <w:t>Konsernin soveltamat poistoajat perustuvat seuraaviin arv</w:t>
            </w:r>
            <w:r w:rsidRPr="00DE3CDB">
              <w:rPr>
                <w:lang w:val="fi-FI" w:eastAsia="fi-FI"/>
              </w:rPr>
              <w:t>ioituihin taloudellisiin vaikutusaikoihin:</w:t>
            </w:r>
          </w:p>
          <w:p w:rsidR="00DE3CDB" w:rsidRPr="00DE3CDB" w:rsidP="00DE3CDB" w14:paraId="6F67AC84" w14:textId="0DF78A17">
            <w:pPr>
              <w:pStyle w:val="Bodytext2"/>
              <w:rPr>
                <w:lang w:val="fi-FI" w:eastAsia="fi-FI"/>
              </w:rPr>
            </w:pPr>
            <w:r w:rsidRPr="00DE3CDB">
              <w:rPr>
                <w:lang w:val="fi-FI" w:eastAsia="fi-FI"/>
              </w:rPr>
              <w:t>•</w:t>
            </w:r>
            <w:r>
              <w:rPr>
                <w:lang w:val="fi-FI" w:eastAsia="fi-FI"/>
              </w:rPr>
              <w:t xml:space="preserve"> </w:t>
            </w:r>
            <w:r w:rsidRPr="00DE3CDB">
              <w:rPr>
                <w:lang w:val="fi-FI" w:eastAsia="fi-FI"/>
              </w:rPr>
              <w:t>rakennukset 10–40 vuotta</w:t>
            </w:r>
          </w:p>
          <w:p w:rsidR="00DE3CDB" w:rsidRPr="00DE3CDB" w:rsidP="00DE3CDB" w14:paraId="7752261B" w14:textId="042D0366">
            <w:pPr>
              <w:pStyle w:val="Bodytext2"/>
              <w:rPr>
                <w:lang w:val="fi-FI" w:eastAsia="fi-FI"/>
              </w:rPr>
            </w:pPr>
            <w:r w:rsidRPr="00DE3CDB">
              <w:rPr>
                <w:lang w:val="fi-FI" w:eastAsia="fi-FI"/>
              </w:rPr>
              <w:t>•</w:t>
            </w:r>
            <w:r>
              <w:rPr>
                <w:lang w:val="fi-FI" w:eastAsia="fi-FI"/>
              </w:rPr>
              <w:t xml:space="preserve"> </w:t>
            </w:r>
            <w:r w:rsidRPr="00DE3CDB">
              <w:rPr>
                <w:lang w:val="fi-FI" w:eastAsia="fi-FI"/>
              </w:rPr>
              <w:t>koneet ja laitteet 5–20 vuotta</w:t>
            </w:r>
          </w:p>
          <w:p w:rsidR="00DE3CDB" w:rsidP="00DE3CDB" w14:paraId="258CD837" w14:textId="2389C3A9">
            <w:pPr>
              <w:pStyle w:val="Bodytext2"/>
              <w:rPr>
                <w:lang w:val="fi-FI" w:eastAsia="fi-FI"/>
              </w:rPr>
            </w:pPr>
            <w:r w:rsidRPr="00DE3CDB">
              <w:rPr>
                <w:lang w:val="fi-FI" w:eastAsia="fi-FI"/>
              </w:rPr>
              <w:t>•</w:t>
            </w:r>
            <w:r>
              <w:rPr>
                <w:lang w:val="fi-FI" w:eastAsia="fi-FI"/>
              </w:rPr>
              <w:t xml:space="preserve"> </w:t>
            </w:r>
            <w:r w:rsidRPr="00DE3CDB">
              <w:rPr>
                <w:lang w:val="fi-FI" w:eastAsia="fi-FI"/>
              </w:rPr>
              <w:t>muut aineelliset hyödykkeet 3–10 vuotta.</w:t>
            </w:r>
          </w:p>
          <w:p w:rsidR="00DE3CDB" w:rsidRPr="00DE3CDB" w:rsidP="00DE3CDB" w14:paraId="7723EA3B" w14:textId="77777777">
            <w:pPr>
              <w:pStyle w:val="Bodytext2"/>
              <w:rPr>
                <w:lang w:val="fi-FI" w:eastAsia="fi-FI"/>
              </w:rPr>
            </w:pPr>
          </w:p>
          <w:p w:rsidR="00DE3CDB" w:rsidP="00DE3CDB" w14:paraId="274F79F1" w14:textId="7750E12C">
            <w:pPr>
              <w:pStyle w:val="Bodytext2"/>
              <w:rPr>
                <w:lang w:val="fi-FI" w:eastAsia="fi-FI"/>
              </w:rPr>
            </w:pPr>
            <w:r w:rsidRPr="00DE3CDB">
              <w:rPr>
                <w:lang w:val="fi-FI" w:eastAsia="fi-FI"/>
              </w:rPr>
              <w:t>Varallisuuserät poistetaan tasapoistoina niiden arvioidun taloudellisen vaikutusajan kuluessa. Maa-alueista e</w:t>
            </w:r>
            <w:r w:rsidRPr="00DE3CDB">
              <w:rPr>
                <w:lang w:val="fi-FI" w:eastAsia="fi-FI"/>
              </w:rPr>
              <w:t xml:space="preserve">i tehdä poistoja, koska niillä katsotaan olevan rajoittamaton taloudellinen vaikutusaika. Arvioidut taloudelliset vaikutusajat ja jäännösarvot tarkistetaan vähintään jokaisen </w:t>
            </w:r>
            <w:r>
              <w:rPr>
                <w:lang w:val="fi-FI" w:eastAsia="fi-FI"/>
              </w:rPr>
              <w:t>raportointi</w:t>
            </w:r>
            <w:r w:rsidRPr="00DE3CDB">
              <w:rPr>
                <w:lang w:val="fi-FI" w:eastAsia="fi-FI"/>
              </w:rPr>
              <w:t>kauden päättymispäivänä, ja jos ne eroavat merkittävästi aikaisemmista</w:t>
            </w:r>
            <w:r w:rsidRPr="00DE3CDB">
              <w:rPr>
                <w:lang w:val="fi-FI" w:eastAsia="fi-FI"/>
              </w:rPr>
              <w:t xml:space="preserve"> arvioista, poistoaikoja muutetaan vastaavasti. Poistot on lopetettava, kun omaisuuserä luokitellaan myytävänä olevaksi.</w:t>
            </w:r>
          </w:p>
          <w:p w:rsidR="00DE3CDB" w:rsidRPr="00DE3CDB" w:rsidP="00DE3CDB" w14:paraId="538EA3FF" w14:textId="77777777">
            <w:pPr>
              <w:pStyle w:val="Bodytext2"/>
              <w:rPr>
                <w:lang w:val="fi-FI" w:eastAsia="fi-FI"/>
              </w:rPr>
            </w:pPr>
          </w:p>
          <w:p w:rsidR="00DE3CDB" w:rsidP="00DE3CDB" w14:paraId="0B3BF9C5" w14:textId="13E59E92">
            <w:pPr>
              <w:pStyle w:val="Bodytext2"/>
              <w:rPr>
                <w:lang w:val="fi-FI" w:eastAsia="fi-FI"/>
              </w:rPr>
            </w:pPr>
            <w:r w:rsidRPr="00DE3CDB">
              <w:rPr>
                <w:lang w:val="fi-FI" w:eastAsia="fi-FI"/>
              </w:rPr>
              <w:t>Aineellisten hyödykkeiden luovutuksista syntyvät myyntivoitot sisältyvät</w:t>
            </w:r>
            <w:r>
              <w:rPr>
                <w:lang w:val="fi-FI" w:eastAsia="fi-FI"/>
              </w:rPr>
              <w:t xml:space="preserve"> tuloslaskelmalla</w:t>
            </w:r>
            <w:r w:rsidRPr="00DE3CDB">
              <w:rPr>
                <w:lang w:val="fi-FI" w:eastAsia="fi-FI"/>
              </w:rPr>
              <w:t xml:space="preserve"> liiketoiminnan muihin tuottoihin ja myyntita</w:t>
            </w:r>
            <w:r w:rsidRPr="00DE3CDB">
              <w:rPr>
                <w:lang w:val="fi-FI" w:eastAsia="fi-FI"/>
              </w:rPr>
              <w:t>ppiot liiketoiminnan</w:t>
            </w:r>
            <w:r>
              <w:rPr>
                <w:lang w:val="fi-FI" w:eastAsia="fi-FI"/>
              </w:rPr>
              <w:t xml:space="preserve"> muihin</w:t>
            </w:r>
            <w:r w:rsidRPr="00DE3CDB">
              <w:rPr>
                <w:lang w:val="fi-FI" w:eastAsia="fi-FI"/>
              </w:rPr>
              <w:t xml:space="preserve"> kuluihin.</w:t>
            </w:r>
          </w:p>
          <w:p w:rsidR="00DE3CDB" w14:paraId="4B80FFDA" w14:textId="689698AF">
            <w:pPr>
              <w:pStyle w:val="Bodytext2"/>
              <w:rPr>
                <w:rFonts w:eastAsiaTheme="minorEastAsia"/>
                <w:lang w:val="fi-FI" w:eastAsia="fi-FI"/>
              </w:rPr>
            </w:pPr>
          </w:p>
          <w:p w:rsidR="00DE3CDB" w:rsidRPr="00365A6D" w14:paraId="2EE42F27" w14:textId="2A4E2118">
            <w:pPr>
              <w:pStyle w:val="Heading13"/>
              <w:rPr>
                <w:lang w:val="fi-FI"/>
              </w:rPr>
            </w:pPr>
            <w:r w:rsidRPr="00365A6D">
              <w:rPr>
                <w:lang w:val="fi-FI"/>
              </w:rPr>
              <w:t>Omaisuuserien arvonalentumiset</w:t>
            </w:r>
          </w:p>
          <w:p w:rsidR="00DE3CDB" w:rsidRPr="00DE3CDB" w:rsidP="00DE3CDB" w14:paraId="067DA8C1" w14:textId="77777777">
            <w:pPr>
              <w:pStyle w:val="Bodytext2"/>
              <w:rPr>
                <w:lang w:val="fi-FI" w:eastAsia="fi-FI"/>
              </w:rPr>
            </w:pPr>
            <w:r w:rsidRPr="00DE3CDB">
              <w:rPr>
                <w:lang w:val="fi-FI" w:eastAsia="fi-FI"/>
              </w:rPr>
              <w:t xml:space="preserve">Omaisuuserien tasearvoa tarkastellaan vähintään vuosittain tai useammin, jos arvonalentumisesta on viitteitä. Jos viitteitä ilmenee, arvioidaan kyseisestä omaisuuserästä kerrytettävissä </w:t>
            </w:r>
            <w:r w:rsidRPr="00DE3CDB">
              <w:rPr>
                <w:lang w:val="fi-FI" w:eastAsia="fi-FI"/>
              </w:rPr>
              <w:t>oleva rahamäärä, jota verrataan omaisuuserän kirjanpitoarvoon. Arvonalentumistappio kirjataan, kun omaisuuserän kirjanpitoarvo ylittää siitä kerrytettävissä olevan rahamäärän. Kerrytettävissä oleva rahamäärä on omaisuuserän käypä arvo vähennettynä myynnist</w:t>
            </w:r>
            <w:r w:rsidRPr="00DE3CDB">
              <w:rPr>
                <w:lang w:val="fi-FI" w:eastAsia="fi-FI"/>
              </w:rPr>
              <w:t>ä aiheutuvilla menoilla tai käyttöarvo sen mukaan, kumpi niistä on suurempi.</w:t>
            </w:r>
          </w:p>
          <w:p w:rsidR="00DE3CDB" w:rsidRPr="00102AF0" w:rsidP="00890DA8" w14:paraId="04738C3C" w14:textId="5AEE0516">
            <w:pPr>
              <w:pStyle w:val="Bodytext2"/>
              <w:rPr>
                <w:lang w:val="fi-FI" w:eastAsia="fi-FI"/>
              </w:rPr>
            </w:pPr>
            <w:r w:rsidRPr="00DE3CDB">
              <w:rPr>
                <w:lang w:val="fi-FI" w:eastAsia="fi-FI"/>
              </w:rPr>
              <w:t>Arvonalentumistappio kirjataan välittömästi tuloslaskelma</w:t>
            </w:r>
            <w:r>
              <w:rPr>
                <w:lang w:val="fi-FI" w:eastAsia="fi-FI"/>
              </w:rPr>
              <w:t>lla</w:t>
            </w:r>
            <w:r w:rsidRPr="00DE3CDB">
              <w:rPr>
                <w:lang w:val="fi-FI" w:eastAsia="fi-FI"/>
              </w:rPr>
              <w:t xml:space="preserve"> </w:t>
            </w:r>
            <w:r>
              <w:rPr>
                <w:lang w:val="fi-FI"/>
              </w:rPr>
              <w:t>poistoihin ja arvonalentumisiin</w:t>
            </w:r>
            <w:r w:rsidRPr="00DE3CDB">
              <w:rPr>
                <w:lang w:val="fi-FI" w:eastAsia="fi-FI"/>
              </w:rPr>
              <w:t>. Arvonalentumistappion kirjaamisen yhteydessä poistojen kohteena olevan omaisuuserän t</w:t>
            </w:r>
            <w:r w:rsidRPr="00DE3CDB">
              <w:rPr>
                <w:lang w:val="fi-FI" w:eastAsia="fi-FI"/>
              </w:rPr>
              <w:t>aloudellinen vaikutusaika arvioidaan uudelleen. Omaisuuserästä kirjattu aiempi arvonalentumistappio peruutetaan, mikäli kerrytettävissä olevan tulon määrittämisessä käytetyt arviot muuttuvat. Arvonalentumistappiota ei kuitenkaan peruta enempää kuin mikä om</w:t>
            </w:r>
            <w:r w:rsidRPr="00DE3CDB">
              <w:rPr>
                <w:lang w:val="fi-FI" w:eastAsia="fi-FI"/>
              </w:rPr>
              <w:t>aisuuserän kirjanpitoarvo olisi ilman arvonalentumistappion kirjaamista.</w:t>
            </w:r>
          </w:p>
        </w:tc>
      </w:tr>
    </w:tbl>
    <w:p w:rsidR="00DE3CDB" w:rsidP="00DE3CDB" w14:paraId="6CCC1728" w14:textId="1C207144">
      <w:pPr>
        <w:pStyle w:val="Bodytext2"/>
        <w:rPr>
          <w:lang w:val="fi-FI"/>
        </w:rPr>
      </w:pPr>
    </w:p>
    <w:tbl>
      <w:tblPr>
        <w:tblStyle w:val="TableGrid"/>
        <w:tblW w:w="7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7DFE1"/>
        <w:tblLook w:val="04A0"/>
      </w:tblPr>
      <w:tblGrid>
        <w:gridCol w:w="7371"/>
      </w:tblGrid>
      <w:tr w14:paraId="762AC9D3" w14:textId="77777777" w:rsidTr="00102AF0">
        <w:tblPrEx>
          <w:tblW w:w="7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7DFE1"/>
          <w:tblLook w:val="04A0"/>
        </w:tblPrEx>
        <w:tc>
          <w:tcPr>
            <w:tcW w:w="7360" w:type="dxa"/>
            <w:shd w:val="clear" w:color="auto" w:fill="D7DFE1"/>
          </w:tcPr>
          <w:p w:rsidR="00102AF0" w:rsidRPr="00831659" w:rsidP="00102AF0" w14:paraId="78ED3C39" w14:textId="77777777">
            <w:pPr>
              <w:pStyle w:val="Heading13"/>
              <w:rPr>
                <w:lang w:val="fi-FI"/>
              </w:rPr>
            </w:pPr>
            <w:r w:rsidRPr="00831659">
              <w:rPr>
                <w:lang w:val="fi-FI"/>
              </w:rPr>
              <w:t>Kirjanpidolliset arviot ja harkinnat</w:t>
            </w:r>
          </w:p>
          <w:p w:rsidR="00102AF0" w:rsidP="00102AF0" w14:paraId="43B79DBA" w14:textId="00AD135C">
            <w:pPr>
              <w:pStyle w:val="Bodytext2"/>
              <w:rPr>
                <w:lang w:val="fi-FI"/>
              </w:rPr>
            </w:pPr>
            <w:r w:rsidRPr="00890DA8">
              <w:rPr>
                <w:lang w:val="fi-FI"/>
              </w:rPr>
              <w:t>Sen arviointi, onko odotettavissa oleva vastainen taloudelli</w:t>
            </w:r>
            <w:r>
              <w:rPr>
                <w:lang w:val="fi-FI"/>
              </w:rPr>
              <w:t>n</w:t>
            </w:r>
            <w:r w:rsidRPr="00890DA8">
              <w:rPr>
                <w:lang w:val="fi-FI"/>
              </w:rPr>
              <w:t>en hyöty todennäköistä tai sen, mikä on ainee</w:t>
            </w:r>
            <w:r>
              <w:rPr>
                <w:lang w:val="fi-FI"/>
              </w:rPr>
              <w:t>llisen</w:t>
            </w:r>
            <w:r w:rsidRPr="00890DA8">
              <w:rPr>
                <w:lang w:val="fi-FI"/>
              </w:rPr>
              <w:t xml:space="preserve"> hyödykkeen taloudellinen vaikutusaika, edellyttää johdon harkintaa. Arvioidut taloudelliset vaikutusajat ja jäännösarvot tarkistetaan vähintään</w:t>
            </w:r>
            <w:r>
              <w:rPr>
                <w:lang w:val="fi-FI"/>
              </w:rPr>
              <w:t xml:space="preserve"> kunkin</w:t>
            </w:r>
            <w:r w:rsidRPr="00890DA8">
              <w:rPr>
                <w:lang w:val="fi-FI"/>
              </w:rPr>
              <w:t xml:space="preserve"> </w:t>
            </w:r>
            <w:r>
              <w:rPr>
                <w:lang w:val="fi-FI"/>
              </w:rPr>
              <w:t>raportointi</w:t>
            </w:r>
            <w:r w:rsidRPr="00890DA8">
              <w:rPr>
                <w:lang w:val="fi-FI"/>
              </w:rPr>
              <w:t>kauden päättyessä, ja jos ne eroavat merkittävästi aikaisemmista arvioista, poistoaikaa muute</w:t>
            </w:r>
            <w:r w:rsidRPr="00890DA8">
              <w:rPr>
                <w:lang w:val="fi-FI"/>
              </w:rPr>
              <w:t>taan vastaavasti. Myös sen arviointi, onko arvonalentumisesta viitteitä, edellyttää johdon harkintaa</w:t>
            </w:r>
            <w:r>
              <w:rPr>
                <w:lang w:val="fi-FI"/>
              </w:rPr>
              <w:t>.</w:t>
            </w:r>
          </w:p>
        </w:tc>
      </w:tr>
    </w:tbl>
    <w:p w:rsidR="00102AF0" w:rsidRPr="00890DA8" w:rsidP="00DE3CDB" w14:paraId="2F096CBC" w14:textId="77777777">
      <w:pPr>
        <w:pStyle w:val="Bodytext2"/>
        <w:rPr>
          <w:lang w:val="fi-FI"/>
        </w:rPr>
      </w:pPr>
    </w:p>
    <w:p w:rsidR="00DE3CDB" w:rsidRPr="00DE3CDB" w:rsidP="00DE3CDB" w14:paraId="6CA15682" w14:textId="71F3C700">
      <w:pPr>
        <w:pStyle w:val="Heading13"/>
      </w:pPr>
      <w:r>
        <w:t>2021</w:t>
      </w:r>
    </w:p>
    <w:tbl>
      <w:tblPr>
        <w:tblStyle w:val="TableNormal"/>
        <w:tblCaption w:val="table_ppe_current"/>
        <w:tblW w:w="7350" w:type="dxa"/>
        <w:tblLayout w:type="fixed"/>
        <w:tblLook w:val="0600"/>
      </w:tblPr>
      <w:tblGrid>
        <w:gridCol w:w="2130"/>
        <w:gridCol w:w="870"/>
        <w:gridCol w:w="870"/>
        <w:gridCol w:w="870"/>
        <w:gridCol w:w="870"/>
        <w:gridCol w:w="870"/>
        <w:gridCol w:w="870"/>
      </w:tblGrid>
      <w:tr>
        <w:tblPrEx>
          <w:tblW w:w="7350" w:type="dxa"/>
          <w:tblLayout w:type="fixed"/>
          <w:tblLook w:val="0600"/>
        </w:tblPrEx>
        <w:trPr>
          <w:trHeight w:val="240"/>
        </w:trPr>
        <w:tc>
          <w:tcPr>
            <w:tcW w:w="21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Maa- ja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vesi-</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alueet</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Raken-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nukset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ja raken-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nelmat</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Koneet</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ja ka-</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lusto</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Kesken-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eräiset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hankin-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nat ja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ennakot</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Muut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aineelli-</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set hyö-</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dykkeet</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teensä</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Hankintameno 1.1.2021</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25</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270</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782</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32</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26</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1 135</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Valuuttakurssimuutokset</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nil"/>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Lisäykset</w:t>
            </w:r>
          </w:p>
        </w:tc>
        <w:tc>
          <w:tcPr>
            <w:tcW w:w="870"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870"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19</w:t>
            </w:r>
          </w:p>
        </w:tc>
        <w:tc>
          <w:tcPr>
            <w:tcW w:w="870"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57</w:t>
            </w:r>
          </w:p>
        </w:tc>
        <w:tc>
          <w:tcPr>
            <w:tcW w:w="870"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870"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Vähennykset</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-23</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Uudelleenryhmittelyt</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Hankintameno 31.12.2021</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24</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270</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796</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77</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29</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1 197</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Kertyneet poistot ja arvonalentumiset 1.1.2021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-176</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-654</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-22</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-853</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nil"/>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Valuuttakurssimuutokset</w:t>
            </w:r>
          </w:p>
        </w:tc>
        <w:tc>
          <w:tcPr>
            <w:tcW w:w="870"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870"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870"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Vähennysten ja yritysmyyntien kertyneet poistot</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23</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29</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Tilikauden poisto</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-37</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Arvonalentumiset</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Uudelleenryhmittelyt</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Kertyneet poistot ja arvonalentumiset 31.12.2021</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-184</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-675</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-24</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-884</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8" w:space="0" w:color="0F172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Kirjanpitoarvo 31.12.2021</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23</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86</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121</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77</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312</w:t>
            </w:r>
          </w:p>
        </w:tc>
      </w:tr>
    </w:tbl>
    <w:p w:rsidR="00102AF0" w:rsidP="00102AF0" w14:paraId="25EED9A8" w14:textId="4C9B8B4F">
      <w:pPr>
        <w:pStyle w:val="Bodytext2"/>
      </w:pPr>
    </w:p>
    <w:p w:rsidR="0014754D" w:rsidP="00102AF0" w14:paraId="063C2F3E" w14:textId="77777777">
      <w:pPr>
        <w:pStyle w:val="Bodytext2"/>
      </w:pPr>
    </w:p>
    <w:p w:rsidR="00DE3CDB" w:rsidRPr="00DE3CDB" w:rsidP="00102AF0" w14:paraId="41EB7235" w14:textId="2651A9E1">
      <w:pPr>
        <w:pStyle w:val="Heading13"/>
      </w:pPr>
      <w:r w:rsidRPr="00DE3CDB">
        <w:t>20</w:t>
      </w:r>
      <w:r>
        <w:t>20</w:t>
      </w:r>
    </w:p>
    <w:tbl>
      <w:tblPr>
        <w:tblStyle w:val="TableNormal"/>
        <w:tblCaption w:val="table_ppe_previous"/>
        <w:tblW w:w="7350" w:type="dxa"/>
        <w:tblLayout w:type="fixed"/>
        <w:tblLook w:val="0600"/>
      </w:tblPr>
      <w:tblGrid>
        <w:gridCol w:w="2130"/>
        <w:gridCol w:w="870"/>
        <w:gridCol w:w="870"/>
        <w:gridCol w:w="870"/>
        <w:gridCol w:w="870"/>
        <w:gridCol w:w="870"/>
        <w:gridCol w:w="870"/>
      </w:tblGrid>
      <w:tr>
        <w:tblPrEx>
          <w:tblW w:w="7350" w:type="dxa"/>
          <w:tblLayout w:type="fixed"/>
          <w:tblLook w:val="0600"/>
        </w:tblPrEx>
        <w:trPr>
          <w:trHeight w:val="240"/>
        </w:trPr>
        <w:tc>
          <w:tcPr>
            <w:tcW w:w="21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Maa- ja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vesi-</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alueet</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Raken-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nukset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ja raken-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nelmat</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Koneet</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ja ka-</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lusto</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Kesken-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eräiset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hankin-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nat ja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ennakot</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Muut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aineelli-</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set hyö-</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dykkeet</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teensä</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Hankintameno 1.1.2020</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30</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283</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798</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32</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1 167</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Valuuttakurssimuutokset</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Yrityshankinnat ja yritysmyynnit</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Lisäykset</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26</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22</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54</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Vähennykset</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-35</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Uudelleenryhmittelyt</w:t>
            </w: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w:t>
            </w: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w:t>
            </w: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Hankintameno 31.12.2020</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270</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782</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32</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26</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1 135</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Kertyneet poistot ja arvonalentumiset 1.1.2020</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-179</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-659</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-860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Valuuttakurssimuutokset</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Vähennysten ja yritysmyyntien kertyneet poistot</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37</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49</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Tilikauden poisto</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-38</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-51</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Arvonalentumiset</w:t>
            </w: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w:t>
            </w: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Kertyneet poistot ja arvonalentumiset 31.12.2020</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-176</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-654</w:t>
            </w: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-22</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-853</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8" w:space="0" w:color="0F172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Kirjanpitoarvo 31.12.2020</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24</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93</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128</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32</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282</w:t>
            </w:r>
          </w:p>
        </w:tc>
      </w:tr>
    </w:tbl>
    <w:p/>
    <w:p w:rsidR="00487577" w:rsidP="00487577" w14:paraId="4B36C7C1" w14:textId="2CF44BA0">
      <w:pPr>
        <w:pStyle w:val="Heading12"/>
      </w:pPr>
      <w:bookmarkStart w:id="1462" w:name="RG_MARKER_7455"/>
      <w:r>
        <w:t>3.4. VUOKRASOPIMUKSET</w:t>
      </w:r>
      <w:bookmarkEnd w:id="1462"/>
    </w:p>
    <w:tbl>
      <w:tblPr>
        <w:tblStyle w:val="TableGrid"/>
        <w:tblW w:w="7371" w:type="dxa"/>
        <w:tblLook w:val="04A0"/>
      </w:tblPr>
      <w:tblGrid>
        <w:gridCol w:w="7371"/>
      </w:tblGrid>
      <w:tr w14:paraId="67036905" w14:textId="77777777" w:rsidTr="00487577">
        <w:tblPrEx>
          <w:tblW w:w="7371" w:type="dxa"/>
          <w:tblLook w:val="04A0"/>
        </w:tblPrEx>
        <w:tc>
          <w:tcPr>
            <w:tcW w:w="7371" w:type="dxa"/>
            <w:tcBorders>
              <w:top w:val="nil"/>
              <w:left w:val="nil"/>
              <w:bottom w:val="nil"/>
              <w:right w:val="nil"/>
            </w:tcBorders>
            <w:shd w:val="clear" w:color="auto" w:fill="B6C8D1"/>
          </w:tcPr>
          <w:p w:rsidR="00487577" w:rsidRPr="007263FF" w14:paraId="0F9A07AA" w14:textId="7857F3D4">
            <w:pPr>
              <w:pStyle w:val="Heading13"/>
              <w:rPr>
                <w:lang w:val="fi-FI"/>
              </w:rPr>
            </w:pPr>
            <w:r w:rsidRPr="007263FF">
              <w:rPr>
                <w:lang w:val="fi-FI"/>
              </w:rPr>
              <w:t>Laadintaperiaatteet</w:t>
            </w:r>
          </w:p>
          <w:p w:rsidR="00487577" w:rsidP="00487577" w14:paraId="4CA5E95E" w14:textId="6D6335CA">
            <w:pPr>
              <w:pStyle w:val="Bodytext2"/>
              <w:rPr>
                <w:lang w:val="fi-FI" w:eastAsia="fi-FI"/>
              </w:rPr>
            </w:pPr>
            <w:r w:rsidRPr="00487577">
              <w:rPr>
                <w:lang w:val="fi-FI" w:eastAsia="fi-FI"/>
              </w:rPr>
              <w:t xml:space="preserve">Konsernin aktivoidut vuokrasopimukset </w:t>
            </w:r>
            <w:r w:rsidRPr="006573BA">
              <w:rPr>
                <w:lang w:val="fi-FI" w:eastAsia="fi-FI"/>
              </w:rPr>
              <w:t>koskevat lähinnä</w:t>
            </w:r>
            <w:r w:rsidRPr="006573BA" w:rsidR="007315D0">
              <w:rPr>
                <w:lang w:val="fi-FI" w:eastAsia="fi-FI"/>
              </w:rPr>
              <w:t xml:space="preserve"> maa-alueita, toimistokäytössä olevia</w:t>
            </w:r>
            <w:r w:rsidRPr="006573BA">
              <w:rPr>
                <w:lang w:val="fi-FI" w:eastAsia="fi-FI"/>
              </w:rPr>
              <w:t xml:space="preserve"> </w:t>
            </w:r>
            <w:r w:rsidRPr="006573BA" w:rsidR="007315D0">
              <w:rPr>
                <w:lang w:val="fi-FI" w:eastAsia="fi-FI"/>
              </w:rPr>
              <w:t>rakennuksia, tehtaita, työpajoja, ajoneuvoja sekä t</w:t>
            </w:r>
            <w:r w:rsidRPr="006573BA" w:rsidR="007263FF">
              <w:rPr>
                <w:lang w:val="fi-FI" w:eastAsia="fi-FI"/>
              </w:rPr>
              <w:t>uotannon ko</w:t>
            </w:r>
            <w:r w:rsidR="007263FF">
              <w:rPr>
                <w:lang w:val="fi-FI" w:eastAsia="fi-FI"/>
              </w:rPr>
              <w:t>neita ja laitteita.</w:t>
            </w:r>
            <w:r w:rsidRPr="00487577">
              <w:rPr>
                <w:lang w:val="fi-FI" w:eastAsia="fi-FI"/>
              </w:rPr>
              <w:t xml:space="preserve"> Rakennuksia koskevien vuokrasopimusten kesto on keskimäärin noin 8 vuotta ja koneita ja laitteita koskevien vuokrasopimusten keskimäärin noin 4 vuotta. Konserni kirjaa käyttöoikeusomaisuuserän ja vuokrasopimusvelan vuokrasopimuksen alkaessa. Sopimuksen mä</w:t>
            </w:r>
            <w:r w:rsidRPr="00487577">
              <w:rPr>
                <w:lang w:val="fi-FI" w:eastAsia="fi-FI"/>
              </w:rPr>
              <w:t>ärittely vuokrasopimukseksi riippuu siitä, onko Wärtsilällä oikeus kontrolloida vuokraamansa hyödykkeen käyttöä sopimuksen voimassaoloa</w:t>
            </w:r>
            <w:r w:rsidR="007263FF">
              <w:rPr>
                <w:lang w:val="fi-FI" w:eastAsia="fi-FI"/>
              </w:rPr>
              <w:t>ikana</w:t>
            </w:r>
            <w:r w:rsidRPr="00487577">
              <w:rPr>
                <w:lang w:val="fi-FI" w:eastAsia="fi-FI"/>
              </w:rPr>
              <w:t>.</w:t>
            </w:r>
          </w:p>
          <w:p w:rsidR="00487577" w:rsidRPr="00487577" w:rsidP="00487577" w14:paraId="1125AAE5" w14:textId="77777777">
            <w:pPr>
              <w:pStyle w:val="Bodytext2"/>
              <w:rPr>
                <w:lang w:val="fi-FI" w:eastAsia="fi-FI"/>
              </w:rPr>
            </w:pPr>
          </w:p>
          <w:p w:rsidR="00487577" w:rsidP="00487577" w14:paraId="13F692F8" w14:textId="1B20D59F">
            <w:pPr>
              <w:pStyle w:val="Bodytext2"/>
              <w:rPr>
                <w:lang w:val="fi-FI" w:eastAsia="fi-FI"/>
              </w:rPr>
            </w:pPr>
            <w:r w:rsidRPr="00487577">
              <w:rPr>
                <w:lang w:val="fi-FI" w:eastAsia="fi-FI"/>
              </w:rPr>
              <w:t>Standardin IFRS 16 mukaisesti määritelty käyttöoikeusomaisuuserä arvostetaan hankintamenoon sen alkamisajankohtan</w:t>
            </w:r>
            <w:r w:rsidRPr="00487577">
              <w:rPr>
                <w:lang w:val="fi-FI" w:eastAsia="fi-FI"/>
              </w:rPr>
              <w:t>a. Käyttöoikeusomaisuuserän hankintamenoon sisällytetään vuokrasopimusvelan alkuperäisen arvostuksen mukainen määrä, sopimuksen alkamisajankohtaan mennessä suoritetut vuokranmaksut (vähennettyinä mahdollisilla saaduilla vuokrasopimukseen liittyvillä kannus</w:t>
            </w:r>
            <w:r w:rsidRPr="00487577">
              <w:rPr>
                <w:lang w:val="fi-FI" w:eastAsia="fi-FI"/>
              </w:rPr>
              <w:t>timilla), mahdolliset vuokralle</w:t>
            </w:r>
            <w:r>
              <w:rPr>
                <w:lang w:val="fi-FI" w:eastAsia="fi-FI"/>
              </w:rPr>
              <w:t xml:space="preserve"> </w:t>
            </w:r>
            <w:r w:rsidRPr="00487577">
              <w:rPr>
                <w:lang w:val="fi-FI" w:eastAsia="fi-FI"/>
              </w:rPr>
              <w:t>ottajalle syntyneet alkuvaiheen välittömät menot sekä arvio menoista, jotka aiheutuvat kohdeomaisuuserän purkamisesta ja poistamisesta, sen sijaintipaikan ennallistamisesta tai kohdeomaisuuserän ennallistamisesta vuokrasopim</w:t>
            </w:r>
            <w:r w:rsidRPr="00487577">
              <w:rPr>
                <w:lang w:val="fi-FI" w:eastAsia="fi-FI"/>
              </w:rPr>
              <w:t>uksen ehtojen mukaiseen kuntoon, elleivät kyseiset kustannukset aiheudu vaihto-omaisuuden valmistamisesta.</w:t>
            </w:r>
          </w:p>
          <w:p w:rsidR="00487577" w:rsidRPr="00487577" w:rsidP="00487577" w14:paraId="131226D6" w14:textId="77777777">
            <w:pPr>
              <w:pStyle w:val="Bodytext2"/>
              <w:rPr>
                <w:lang w:val="fi-FI" w:eastAsia="fi-FI"/>
              </w:rPr>
            </w:pPr>
          </w:p>
          <w:p w:rsidR="00487577" w:rsidP="00487577" w14:paraId="7570E312" w14:textId="722B6832">
            <w:pPr>
              <w:pStyle w:val="Bodytext2"/>
              <w:rPr>
                <w:lang w:val="fi-FI" w:eastAsia="fi-FI"/>
              </w:rPr>
            </w:pPr>
            <w:r w:rsidRPr="00487577">
              <w:rPr>
                <w:lang w:val="fi-FI" w:eastAsia="fi-FI"/>
              </w:rPr>
              <w:t>Vuokrasopimusvelan alkuperäinen nimellisarvo on vuokrakautena suoritettavien maksujen nykyarvo. Vuokranmaksuihin sisältyvät kiinteät vuokrat, jäännö</w:t>
            </w:r>
            <w:r w:rsidRPr="00487577">
              <w:rPr>
                <w:lang w:val="fi-FI" w:eastAsia="fi-FI"/>
              </w:rPr>
              <w:t>sarvotakuiden perusteella todennäköisesti maksettavat määrät, kohtuullisen varmasti käytettävien jatkamisoptioiden hinta sekä vuokrasopimuksen irtisanomisesta johtuvat sanktiot, jos vuokrakaudessa on otettu huomioon, että vuokralle</w:t>
            </w:r>
            <w:r>
              <w:rPr>
                <w:lang w:val="fi-FI" w:eastAsia="fi-FI"/>
              </w:rPr>
              <w:t xml:space="preserve"> </w:t>
            </w:r>
            <w:r w:rsidRPr="00487577">
              <w:rPr>
                <w:lang w:val="fi-FI" w:eastAsia="fi-FI"/>
              </w:rPr>
              <w:t>ottaja käyttää vuokrasop</w:t>
            </w:r>
            <w:r w:rsidRPr="00487577">
              <w:rPr>
                <w:lang w:val="fi-FI" w:eastAsia="fi-FI"/>
              </w:rPr>
              <w:t>imuksen päättämisoption. Vuokranmaksut diskontataan vuokrasopimuksen sisäisellä korolla, jos kyseinen korko on määriteltävissä. Muussa tapauksessa käytetään vuokralle</w:t>
            </w:r>
            <w:r>
              <w:rPr>
                <w:lang w:val="fi-FI" w:eastAsia="fi-FI"/>
              </w:rPr>
              <w:t xml:space="preserve"> </w:t>
            </w:r>
            <w:r w:rsidRPr="00487577">
              <w:rPr>
                <w:lang w:val="fi-FI" w:eastAsia="fi-FI"/>
              </w:rPr>
              <w:t>ottajan lisäluoton korkoa. Lisäluoton korkoina käytetään asiaankuuluvien pankkienvälisten</w:t>
            </w:r>
            <w:r w:rsidRPr="00487577">
              <w:rPr>
                <w:lang w:val="fi-FI" w:eastAsia="fi-FI"/>
              </w:rPr>
              <w:t xml:space="preserve"> korkojen ja konsernin lainasalkun keskimarginaalin </w:t>
            </w:r>
            <w:r w:rsidRPr="00862617">
              <w:rPr>
                <w:lang w:val="fi-FI" w:eastAsia="fi-FI"/>
              </w:rPr>
              <w:t>summaa</w:t>
            </w:r>
            <w:r w:rsidRPr="00487577">
              <w:rPr>
                <w:lang w:val="fi-FI" w:eastAsia="fi-FI"/>
              </w:rPr>
              <w:t>, ja ne ovat valuuttakohtaisia.</w:t>
            </w:r>
          </w:p>
          <w:p w:rsidR="00487577" w:rsidRPr="00487577" w:rsidP="00487577" w14:paraId="5A600BF1" w14:textId="77777777">
            <w:pPr>
              <w:pStyle w:val="Bodytext2"/>
              <w:rPr>
                <w:lang w:val="fi-FI" w:eastAsia="fi-FI"/>
              </w:rPr>
            </w:pPr>
          </w:p>
          <w:p w:rsidR="00487577" w:rsidP="00487577" w14:paraId="06C42579" w14:textId="48851E26">
            <w:pPr>
              <w:pStyle w:val="Bodytext2"/>
              <w:rPr>
                <w:lang w:val="fi-FI" w:eastAsia="fi-FI"/>
              </w:rPr>
            </w:pPr>
            <w:r w:rsidRPr="00487577">
              <w:rPr>
                <w:lang w:val="fi-FI" w:eastAsia="fi-FI"/>
              </w:rPr>
              <w:t>Vuokranmaksut eivät sisällä mahdollisia muuttuvia vuokria. Muuttuvat vuokrat, joita ei sisällytetä vuokrasopimusvelan alkuperäiseen arvoon, kirjataan suoraan tulosla</w:t>
            </w:r>
            <w:r w:rsidRPr="00487577">
              <w:rPr>
                <w:lang w:val="fi-FI" w:eastAsia="fi-FI"/>
              </w:rPr>
              <w:t>skelma</w:t>
            </w:r>
            <w:r w:rsidR="00FF5825">
              <w:rPr>
                <w:lang w:val="fi-FI" w:eastAsia="fi-FI"/>
              </w:rPr>
              <w:t>lla liiketoiminnan muihin kuluihin.</w:t>
            </w:r>
          </w:p>
          <w:p w:rsidR="00487577" w:rsidRPr="007263FF" w:rsidP="00487577" w14:paraId="1F1301E0" w14:textId="77777777">
            <w:pPr>
              <w:pStyle w:val="Bodytext2"/>
              <w:rPr>
                <w:highlight w:val="yellow"/>
                <w:lang w:val="fi-FI"/>
              </w:rPr>
            </w:pPr>
          </w:p>
          <w:p w:rsidR="00487577" w:rsidP="00487577" w14:paraId="062FF4B3" w14:textId="12136C97">
            <w:pPr>
              <w:pStyle w:val="Bodytext2"/>
              <w:rPr>
                <w:lang w:val="fi-FI" w:eastAsia="fi-FI"/>
              </w:rPr>
            </w:pPr>
            <w:r w:rsidRPr="00487577">
              <w:rPr>
                <w:lang w:val="fi-FI" w:eastAsia="fi-FI"/>
              </w:rPr>
              <w:t>Vuokrakausi on vuokrasopimuksen ei-peruutettavissa oleva kausi sekä lisäksi jatk</w:t>
            </w:r>
            <w:r w:rsidR="000C2C06">
              <w:rPr>
                <w:lang w:val="fi-FI" w:eastAsia="fi-FI"/>
              </w:rPr>
              <w:t>amis</w:t>
            </w:r>
            <w:r w:rsidRPr="00487577">
              <w:rPr>
                <w:lang w:val="fi-FI" w:eastAsia="fi-FI"/>
              </w:rPr>
              <w:t>- tai irtisanomisoptio</w:t>
            </w:r>
            <w:r>
              <w:rPr>
                <w:lang w:val="fi-FI" w:eastAsia="fi-FI"/>
              </w:rPr>
              <w:t>n kattama kausi</w:t>
            </w:r>
            <w:r w:rsidRPr="00487577">
              <w:rPr>
                <w:lang w:val="fi-FI" w:eastAsia="fi-FI"/>
              </w:rPr>
              <w:t>, jos vuokralle</w:t>
            </w:r>
            <w:r>
              <w:rPr>
                <w:lang w:val="fi-FI" w:eastAsia="fi-FI"/>
              </w:rPr>
              <w:t xml:space="preserve"> </w:t>
            </w:r>
            <w:r w:rsidRPr="00487577">
              <w:rPr>
                <w:lang w:val="fi-FI" w:eastAsia="fi-FI"/>
              </w:rPr>
              <w:t>ottaja tulee kohtuullisen todennäköisesti käyttämään</w:t>
            </w:r>
            <w:r>
              <w:rPr>
                <w:lang w:val="fi-FI" w:eastAsia="fi-FI"/>
              </w:rPr>
              <w:t xml:space="preserve"> kyse</w:t>
            </w:r>
            <w:r w:rsidRPr="00DA5791">
              <w:rPr>
                <w:color w:val="auto"/>
                <w:lang w:val="fi-FI" w:eastAsia="fi-FI"/>
              </w:rPr>
              <w:t>istä</w:t>
            </w:r>
            <w:r w:rsidRPr="00DA5791">
              <w:rPr>
                <w:lang w:val="fi-FI" w:eastAsia="fi-FI"/>
              </w:rPr>
              <w:t xml:space="preserve"> optiota</w:t>
            </w:r>
            <w:r w:rsidRPr="00487577">
              <w:rPr>
                <w:lang w:val="fi-FI" w:eastAsia="fi-FI"/>
              </w:rPr>
              <w:t>.</w:t>
            </w:r>
          </w:p>
          <w:p w:rsidR="00487577" w:rsidP="00487577" w14:paraId="23643CF8" w14:textId="77777777">
            <w:pPr>
              <w:pStyle w:val="Bodytext2"/>
              <w:rPr>
                <w:lang w:val="fi-FI" w:eastAsia="fi-FI"/>
              </w:rPr>
            </w:pPr>
          </w:p>
          <w:p w:rsidR="00487577" w:rsidP="00487577" w14:paraId="3207B2DA" w14:textId="2E019E92">
            <w:pPr>
              <w:pStyle w:val="Bodytext2"/>
              <w:rPr>
                <w:lang w:val="fi-FI" w:eastAsia="fi-FI"/>
              </w:rPr>
            </w:pPr>
            <w:r w:rsidRPr="00487577">
              <w:rPr>
                <w:lang w:val="fi-FI" w:eastAsia="fi-FI"/>
              </w:rPr>
              <w:t>Alkuperäisen arvostuksen jälkeen käyttöoikeusomaisuuserät arvostetaan alkuperäiseen arvoon vähennettynä kertyneillä poistoilla ja arvonalentumis</w:t>
            </w:r>
            <w:r w:rsidR="000C2C06">
              <w:rPr>
                <w:lang w:val="fi-FI" w:eastAsia="fi-FI"/>
              </w:rPr>
              <w:t>tappioilla</w:t>
            </w:r>
            <w:r w:rsidRPr="00487577">
              <w:rPr>
                <w:lang w:val="fi-FI" w:eastAsia="fi-FI"/>
              </w:rPr>
              <w:t>. Käyttöoikeusomaisuuseristä tehdyt poistot kirjataan tuloslaskelmaan. Tuloslaskelman</w:t>
            </w:r>
            <w:r w:rsidR="000C2C06">
              <w:rPr>
                <w:lang w:val="fi-FI" w:eastAsia="fi-FI"/>
              </w:rPr>
              <w:t xml:space="preserve"> rahoituskuluihin</w:t>
            </w:r>
            <w:r w:rsidRPr="00487577">
              <w:rPr>
                <w:lang w:val="fi-FI" w:eastAsia="fi-FI"/>
              </w:rPr>
              <w:t xml:space="preserve"> kirjataan myös vuokrasopimusvelasta aiheutuvat korkokulut. Vuokrasopimusvelat arvostetaan alkuperäisiin arvoihin vähennettynä vuokranmaksujen pääoman osuudella.</w:t>
            </w:r>
          </w:p>
          <w:p w:rsidR="00487577" w:rsidRPr="00487577" w:rsidP="00487577" w14:paraId="76935814" w14:textId="77777777">
            <w:pPr>
              <w:pStyle w:val="Bodytext2"/>
              <w:rPr>
                <w:lang w:val="fi-FI" w:eastAsia="fi-FI"/>
              </w:rPr>
            </w:pPr>
          </w:p>
          <w:p w:rsidR="00487577" w:rsidP="00487577" w14:paraId="28C77489" w14:textId="7D54E5C5">
            <w:pPr>
              <w:pStyle w:val="Bodytext2"/>
              <w:rPr>
                <w:lang w:val="fi-FI" w:eastAsia="fi-FI"/>
              </w:rPr>
            </w:pPr>
            <w:r w:rsidRPr="00487577">
              <w:rPr>
                <w:lang w:val="fi-FI" w:eastAsia="fi-FI"/>
              </w:rPr>
              <w:t>Vuokranmaksut esitetään velkojen takaisinmaksuina ja niihin liittyvinä korkokuluina. Vuokranm</w:t>
            </w:r>
            <w:r w:rsidRPr="00487577">
              <w:rPr>
                <w:lang w:val="fi-FI" w:eastAsia="fi-FI"/>
              </w:rPr>
              <w:t>aksut esitetään rahoituksen rahavirrassa ja vuokriin liittyvät korot liiketoiminnan rahavirrassa. Lyhytaikaisiin ja arvoltaan vähäisiä omaisuuseriä koskeviin vuokrasopimuksiin liittyvät vuokranmaksut sekä muuttuvat vuokrat esitetään liiketoiminnan rahavirr</w:t>
            </w:r>
            <w:r w:rsidRPr="00487577">
              <w:rPr>
                <w:lang w:val="fi-FI" w:eastAsia="fi-FI"/>
              </w:rPr>
              <w:t>assa.</w:t>
            </w:r>
          </w:p>
          <w:p w:rsidR="00487577" w:rsidRPr="00487577" w:rsidP="00487577" w14:paraId="3CFFB9C4" w14:textId="77777777">
            <w:pPr>
              <w:pStyle w:val="Bodytext2"/>
              <w:rPr>
                <w:lang w:val="fi-FI" w:eastAsia="fi-FI"/>
              </w:rPr>
            </w:pPr>
          </w:p>
          <w:p w:rsidR="00487577" w:rsidP="00487577" w14:paraId="06CE8131" w14:textId="0A6C5CF6">
            <w:pPr>
              <w:pStyle w:val="Bodytext2"/>
              <w:rPr>
                <w:lang w:val="fi-FI" w:eastAsia="fi-FI"/>
              </w:rPr>
            </w:pPr>
            <w:r w:rsidRPr="00487577">
              <w:rPr>
                <w:lang w:val="fi-FI" w:eastAsia="fi-FI"/>
              </w:rPr>
              <w:t>Sopimuksissa voi yhdistyä toimittajaosapuolen erilaisia velvoitteita, jotka saattavat olla vuokrasopimuskomponenteista koostuva yhdistelmä tai vuokrasopimuskomponenteista ja muista kuin vuokrasopimuskomponenteista koostuva yhdistelmä. Vuokrasopimusk</w:t>
            </w:r>
            <w:r w:rsidRPr="00487577">
              <w:rPr>
                <w:lang w:val="fi-FI" w:eastAsia="fi-FI"/>
              </w:rPr>
              <w:t>omponentit ja muut komponentit kirjataan erikseen, ja vastike kohdistetaan eri komponenteille suhteellisten erillishintojen perusteella.</w:t>
            </w:r>
          </w:p>
          <w:p w:rsidR="00487577" w:rsidRPr="00487577" w:rsidP="00487577" w14:paraId="7588EA0B" w14:textId="77777777">
            <w:pPr>
              <w:pStyle w:val="Bodytext2"/>
              <w:rPr>
                <w:lang w:val="fi-FI" w:eastAsia="fi-FI"/>
              </w:rPr>
            </w:pPr>
          </w:p>
          <w:p w:rsidR="00487577" w:rsidP="00487577" w14:paraId="3B3EEAF9" w14:textId="407C6475">
            <w:pPr>
              <w:pStyle w:val="Bodytext2"/>
              <w:rPr>
                <w:lang w:val="fi-FI" w:eastAsia="fi-FI"/>
              </w:rPr>
            </w:pPr>
            <w:r w:rsidRPr="00487577">
              <w:rPr>
                <w:lang w:val="fi-FI" w:eastAsia="fi-FI"/>
              </w:rPr>
              <w:t>Vuokrasopimuskomponentit ja muut komponentit erotetaan. Jos komponenttien erottaminen ei ole mahdollista, vuokrasopimu</w:t>
            </w:r>
            <w:r w:rsidRPr="00487577">
              <w:rPr>
                <w:lang w:val="fi-FI" w:eastAsia="fi-FI"/>
              </w:rPr>
              <w:t>kseen kuulumattoman komponentin kirjanpidollisessa käsittelyssä käytetään harkintaa. Valintaa siitä, erotetaanko vuokrasopimukseen kuulumaton komponentti vai ei, sovelletaan koko omaisuuserään</w:t>
            </w:r>
            <w:r>
              <w:rPr>
                <w:lang w:val="fi-FI" w:eastAsia="fi-FI"/>
              </w:rPr>
              <w:t xml:space="preserve">, </w:t>
            </w:r>
            <w:r w:rsidR="006378B8">
              <w:rPr>
                <w:lang w:val="fi-FI" w:eastAsia="fi-FI"/>
              </w:rPr>
              <w:t>eli</w:t>
            </w:r>
            <w:r>
              <w:rPr>
                <w:lang w:val="fi-FI" w:eastAsia="fi-FI"/>
              </w:rPr>
              <w:t xml:space="preserve"> </w:t>
            </w:r>
            <w:r w:rsidRPr="000C2C06">
              <w:rPr>
                <w:color w:val="auto"/>
                <w:lang w:val="fi-FI" w:eastAsia="fi-FI"/>
              </w:rPr>
              <w:t>rakennu</w:t>
            </w:r>
            <w:r w:rsidR="006378B8">
              <w:rPr>
                <w:color w:val="auto"/>
                <w:lang w:val="fi-FI" w:eastAsia="fi-FI"/>
              </w:rPr>
              <w:t>k</w:t>
            </w:r>
            <w:r w:rsidRPr="000C2C06">
              <w:rPr>
                <w:color w:val="auto"/>
                <w:lang w:val="fi-FI" w:eastAsia="fi-FI"/>
              </w:rPr>
              <w:t>s</w:t>
            </w:r>
            <w:r w:rsidR="006378B8">
              <w:rPr>
                <w:color w:val="auto"/>
                <w:lang w:val="fi-FI" w:eastAsia="fi-FI"/>
              </w:rPr>
              <w:t>iin</w:t>
            </w:r>
            <w:r w:rsidRPr="000C2C06">
              <w:rPr>
                <w:color w:val="auto"/>
                <w:lang w:val="fi-FI" w:eastAsia="fi-FI"/>
              </w:rPr>
              <w:t xml:space="preserve"> </w:t>
            </w:r>
            <w:r w:rsidR="006378B8">
              <w:rPr>
                <w:color w:val="auto"/>
                <w:lang w:val="fi-FI" w:eastAsia="fi-FI"/>
              </w:rPr>
              <w:t>ja</w:t>
            </w:r>
            <w:r w:rsidRPr="000C2C06" w:rsidR="000C2C06">
              <w:rPr>
                <w:color w:val="auto"/>
                <w:lang w:val="fi-FI" w:eastAsia="fi-FI"/>
              </w:rPr>
              <w:t xml:space="preserve"> kone</w:t>
            </w:r>
            <w:r w:rsidR="006378B8">
              <w:rPr>
                <w:color w:val="auto"/>
                <w:lang w:val="fi-FI" w:eastAsia="fi-FI"/>
              </w:rPr>
              <w:t>isiin ja kalustoihin</w:t>
            </w:r>
            <w:r w:rsidRPr="000C2C06">
              <w:rPr>
                <w:color w:val="auto"/>
                <w:lang w:val="fi-FI" w:eastAsia="fi-FI"/>
              </w:rPr>
              <w:t>.</w:t>
            </w:r>
          </w:p>
          <w:p w:rsidR="00487577" w:rsidRPr="00487577" w:rsidP="00487577" w14:paraId="6CA50BD8" w14:textId="77777777">
            <w:pPr>
              <w:pStyle w:val="Bodytext2"/>
              <w:rPr>
                <w:lang w:val="fi-FI" w:eastAsia="fi-FI"/>
              </w:rPr>
            </w:pPr>
          </w:p>
          <w:p w:rsidR="00487577" w:rsidP="00487577" w14:paraId="77C938CE" w14:textId="12C45A87">
            <w:pPr>
              <w:pStyle w:val="Bodytext2"/>
              <w:rPr>
                <w:lang w:val="fi-FI" w:eastAsia="fi-FI"/>
              </w:rPr>
            </w:pPr>
            <w:r w:rsidRPr="00487577">
              <w:rPr>
                <w:lang w:val="fi-FI" w:eastAsia="fi-FI"/>
              </w:rPr>
              <w:t>Vuokrasopimuste</w:t>
            </w:r>
            <w:r w:rsidRPr="00487577">
              <w:rPr>
                <w:lang w:val="fi-FI" w:eastAsia="fi-FI"/>
              </w:rPr>
              <w:t>n muutokset voivat johtaa olemassa olevien käyttöoikeusomaisuuserien ja vuokrasopimusvelkojen oikaisuun. Vuokrasopimuksen muutoksesta tai irtisanomisesta syntyvät voitot tai tappiot sisältyvät liiketoiminnan muihin tuottoihin tai liiketoiminnan muihin kulu</w:t>
            </w:r>
            <w:r w:rsidRPr="00487577">
              <w:rPr>
                <w:lang w:val="fi-FI" w:eastAsia="fi-FI"/>
              </w:rPr>
              <w:t>ihin.</w:t>
            </w:r>
          </w:p>
          <w:p w:rsidR="00487577" w:rsidRPr="00487577" w:rsidP="00487577" w14:paraId="11D1A6AA" w14:textId="77777777">
            <w:pPr>
              <w:pStyle w:val="Bodytext2"/>
              <w:rPr>
                <w:lang w:val="fi-FI" w:eastAsia="fi-FI"/>
              </w:rPr>
            </w:pPr>
          </w:p>
          <w:p w:rsidR="00487577" w:rsidRPr="00A77F9D" w14:paraId="1F42F6D1" w14:textId="2F3894E3">
            <w:pPr>
              <w:pStyle w:val="Bodytext2"/>
              <w:rPr>
                <w:lang w:val="fi-FI" w:eastAsia="fi-FI"/>
              </w:rPr>
            </w:pPr>
            <w:r w:rsidRPr="00487577">
              <w:rPr>
                <w:lang w:val="fi-FI" w:eastAsia="fi-FI"/>
              </w:rPr>
              <w:t>Konserni soveltaa kahta käytettävissä olevaa</w:t>
            </w:r>
            <w:r w:rsidR="00CE4584">
              <w:rPr>
                <w:lang w:val="fi-FI" w:eastAsia="fi-FI"/>
              </w:rPr>
              <w:t xml:space="preserve"> helpotusta</w:t>
            </w:r>
            <w:r w:rsidRPr="00487577">
              <w:rPr>
                <w:lang w:val="fi-FI" w:eastAsia="fi-FI"/>
              </w:rPr>
              <w:t>. Nämä liittyvät joko lyhytaikaisiin vuokrasopimuksiin, joiden vuokrakausi on korkeintaan 12 kuukautta, tai vähäarvoisiin omaisuuseriin, jotka kirjataan kuluiksi muihin liiketoiminnan kuluihin.</w:t>
            </w:r>
          </w:p>
        </w:tc>
      </w:tr>
    </w:tbl>
    <w:p w:rsidR="00487577" w:rsidP="00487577" w14:paraId="08E0CE65" w14:textId="1D8D661D">
      <w:pPr>
        <w:spacing w:before="48" w:after="0"/>
        <w:rPr>
          <w:rFonts w:ascii="Arial" w:hAnsi="Arial" w:eastAsiaTheme="minorEastAsia" w:cs="Arial"/>
          <w:b/>
          <w:bCs/>
          <w:color w:val="0F172B"/>
          <w:sz w:val="15"/>
          <w:szCs w:val="15"/>
          <w:lang w:val="fi-FI" w:eastAsia="fi-FI"/>
        </w:rPr>
      </w:pPr>
    </w:p>
    <w:tbl>
      <w:tblPr>
        <w:tblStyle w:val="TableGrid"/>
        <w:tblW w:w="7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7DFE1"/>
        <w:tblLook w:val="04A0"/>
      </w:tblPr>
      <w:tblGrid>
        <w:gridCol w:w="7371"/>
      </w:tblGrid>
      <w:tr w14:paraId="6046E779" w14:textId="77777777" w:rsidTr="000F4B13">
        <w:tblPrEx>
          <w:tblW w:w="7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7DFE1"/>
          <w:tblLook w:val="04A0"/>
        </w:tblPrEx>
        <w:tc>
          <w:tcPr>
            <w:tcW w:w="7360" w:type="dxa"/>
            <w:shd w:val="clear" w:color="auto" w:fill="D7DFE1"/>
          </w:tcPr>
          <w:p w:rsidR="000F4B13" w:rsidRPr="00862617" w:rsidP="000F4B13" w14:paraId="1A5A1C9E" w14:textId="77777777">
            <w:pPr>
              <w:pStyle w:val="Heading13"/>
              <w:rPr>
                <w:rFonts w:eastAsiaTheme="minorEastAsia" w:cstheme="minorHAnsi"/>
                <w:lang w:val="fi-FI" w:eastAsia="fi-FI"/>
              </w:rPr>
            </w:pPr>
            <w:r w:rsidRPr="00862617">
              <w:rPr>
                <w:lang w:val="fi-FI"/>
              </w:rPr>
              <w:t>Kirjanpidolliset arviot ja harkinnat</w:t>
            </w:r>
          </w:p>
          <w:p w:rsidR="000F4B13" w:rsidP="000F4B13" w14:paraId="0FB650D0" w14:textId="69F14EB7">
            <w:pPr>
              <w:pStyle w:val="Bodytext2"/>
              <w:rPr>
                <w:rFonts w:eastAsiaTheme="minorEastAsia"/>
                <w:b/>
                <w:bCs/>
                <w:color w:val="0F172B"/>
                <w:szCs w:val="15"/>
                <w:lang w:val="fi-FI" w:eastAsia="fi-FI"/>
              </w:rPr>
            </w:pPr>
            <w:r w:rsidRPr="006573BA">
              <w:rPr>
                <w:lang w:val="fi-FI"/>
              </w:rPr>
              <w:t>Johdon pitää arvioida vuokra-aika, jos siihen liittyy jatkamis-, päättämis- tai osto-optio sekä määrittää vuokra-aika sopimuksille, joissa vuokra-aika on rajoittamaton. Option käyttämisen todennäköisyyttä sekä näin ollen myös vuokra-aikaa arvioitaessa johto ottaa huomioon kaikki tiedossa olevat seikat ja olosuhteet, esimerkiksi liiketoimintojen lyhyt- ja pitkäaikaiset strategiat, jotka luovat taloudellisia kannustimia optioiden käyttämiseen tai käyttämättä jättämiseen.</w:t>
            </w:r>
          </w:p>
        </w:tc>
      </w:tr>
    </w:tbl>
    <w:p w:rsidR="000F4B13" w:rsidP="00487577" w14:paraId="54932493" w14:textId="2BEF0487">
      <w:pPr>
        <w:spacing w:before="48" w:after="0"/>
        <w:rPr>
          <w:rFonts w:ascii="Arial" w:hAnsi="Arial" w:eastAsiaTheme="minorEastAsia" w:cs="Arial"/>
          <w:b/>
          <w:bCs/>
          <w:color w:val="0F172B"/>
          <w:sz w:val="15"/>
          <w:szCs w:val="15"/>
          <w:lang w:val="fi-FI" w:eastAsia="fi-FI"/>
        </w:rPr>
      </w:pPr>
    </w:p>
    <w:tbl>
      <w:tblPr>
        <w:tblStyle w:val="TableNormal"/>
        <w:tblCaption w:val="table_leases"/>
        <w:tblW w:w="7320" w:type="dxa"/>
        <w:tblLayout w:type="fixed"/>
        <w:tblLook w:val="0600"/>
      </w:tblPr>
      <w:tblGrid>
        <w:gridCol w:w="4830"/>
        <w:gridCol w:w="1245"/>
        <w:gridCol w:w="1245"/>
      </w:tblGrid>
      <w:tr>
        <w:tblPrEx>
          <w:tblW w:w="7320" w:type="dxa"/>
          <w:tblLayout w:type="fixed"/>
          <w:tblLook w:val="0600"/>
        </w:tblPrEx>
        <w:trPr>
          <w:trHeight w:hRule="exact" w:val="240"/>
        </w:trPr>
        <w:tc>
          <w:tcPr>
            <w:tcW w:w="48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Maa-alueet ja rakennukset, käyttöoikeusomaisuuserät</w:t>
            </w:r>
          </w:p>
        </w:tc>
        <w:tc>
          <w:tcPr>
            <w:tcW w:w="12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Kirjanpitoarvo 1.1.</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151</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Valuuttakurssimuutokset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Yrityshankinnat ja yritysmyynnit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Lisäykset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75</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29</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Poistot ja arvonalentumiset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-41</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Vähennykset ja uudelleenryhmittelyt</w:t>
            </w:r>
          </w:p>
        </w:tc>
        <w:tc>
          <w:tcPr>
            <w:tcW w:w="12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12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Kirjanpitoarvo 31.12.</w:t>
            </w:r>
          </w:p>
        </w:tc>
        <w:tc>
          <w:tcPr>
            <w:tcW w:w="12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181</w:t>
            </w:r>
          </w:p>
        </w:tc>
        <w:tc>
          <w:tcPr>
            <w:tcW w:w="12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Koneet ja kalusto, käyttöoikeusomaisuuserät</w:t>
            </w: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Kirjanpitoarvo 1.1.</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Lisäykset</w:t>
            </w:r>
          </w:p>
        </w:tc>
        <w:tc>
          <w:tcPr>
            <w:tcW w:w="12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1245"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Poistot ja arvonalentumiset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Vähennykset ja uudelleenryhmittelyt</w:t>
            </w:r>
          </w:p>
        </w:tc>
        <w:tc>
          <w:tcPr>
            <w:tcW w:w="12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12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Kirjanpitoarvo 31.12.</w:t>
            </w:r>
          </w:p>
        </w:tc>
        <w:tc>
          <w:tcPr>
            <w:tcW w:w="12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w:t>
            </w:r>
          </w:p>
        </w:tc>
        <w:tc>
          <w:tcPr>
            <w:tcW w:w="12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Vuokrasopimusvelat</w:t>
            </w: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Kirjanpitoarvo 1.1.</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166</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188</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Valuuttakurssimuutokset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Yrityshankinnat ja yritysmyynnit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Lisäykset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82</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37</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Maksut</w:t>
            </w:r>
          </w:p>
        </w:tc>
        <w:tc>
          <w:tcPr>
            <w:tcW w:w="12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-47</w:t>
            </w:r>
          </w:p>
        </w:tc>
        <w:tc>
          <w:tcPr>
            <w:tcW w:w="1245"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oikaisut</w:t>
            </w:r>
          </w:p>
        </w:tc>
        <w:tc>
          <w:tcPr>
            <w:tcW w:w="12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w:t>
            </w:r>
          </w:p>
        </w:tc>
        <w:tc>
          <w:tcPr>
            <w:tcW w:w="12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Kirjanpitoarvo 31.12.</w:t>
            </w:r>
          </w:p>
        </w:tc>
        <w:tc>
          <w:tcPr>
            <w:tcW w:w="12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197</w:t>
            </w:r>
          </w:p>
        </w:tc>
        <w:tc>
          <w:tcPr>
            <w:tcW w:w="12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166</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Vuokrasopimusvelat yhteensä</w:t>
            </w: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Pitkäaikaiset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157</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Lyhytaikaiset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39</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42</w:t>
            </w:r>
          </w:p>
        </w:tc>
      </w:tr>
    </w:tbl>
    <w:p w:rsidR="00487577" w:rsidP="00487577" w14:paraId="382723D2" w14:textId="77777777">
      <w:pPr>
        <w:spacing w:before="48" w:after="0"/>
        <w:rPr>
          <w:rFonts w:ascii="Arial" w:hAnsi="Arial" w:cs="Arial"/>
          <w:sz w:val="15"/>
          <w:szCs w:val="15"/>
          <w:lang w:val="en-GB"/>
        </w:rPr>
      </w:pPr>
    </w:p>
    <w:tbl>
      <w:tblPr>
        <w:tblStyle w:val="TableNormal"/>
        <w:tblCaption w:val="table_leases_2"/>
        <w:tblW w:w="7320" w:type="dxa"/>
        <w:tblLayout w:type="fixed"/>
        <w:tblLook w:val="0600"/>
      </w:tblPr>
      <w:tblGrid>
        <w:gridCol w:w="4830"/>
        <w:gridCol w:w="1245"/>
        <w:gridCol w:w="1245"/>
      </w:tblGrid>
      <w:tr>
        <w:tblPrEx>
          <w:tblW w:w="7320" w:type="dxa"/>
          <w:tblLayout w:type="fixed"/>
          <w:tblLook w:val="0600"/>
        </w:tblPrEx>
        <w:trPr>
          <w:trHeight w:hRule="exact" w:val="240"/>
        </w:trPr>
        <w:tc>
          <w:tcPr>
            <w:tcW w:w="48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Tuloslaskelmaan kirjatut määrät</w:t>
            </w:r>
          </w:p>
        </w:tc>
        <w:tc>
          <w:tcPr>
            <w:tcW w:w="12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Poistot ja arvonalentumiset, käyttöoikeusomaisuuserät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-47</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-47</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Korkokulut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Kulut - lyhytaikaiset vuokrasopimukset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-28</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Kulut - arvoltaan vähäisiä omaisuuseriä koskevat vuokrasopimukset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Muuttuvat vuokrakulut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r>
    </w:tbl>
    <w:p w:rsidR="008224C0" w:rsidP="00487577" w14:paraId="053A39BE" w14:textId="25C5E8FE">
      <w:pPr>
        <w:spacing w:before="48" w:after="0"/>
        <w:rPr>
          <w:rFonts w:ascii="Arial" w:hAnsi="Arial" w:cs="Arial"/>
          <w:sz w:val="15"/>
          <w:szCs w:val="15"/>
          <w:lang w:val="en-GB"/>
        </w:rPr>
      </w:pPr>
    </w:p>
    <w:p w:rsidR="008224C0" w:rsidRPr="008224C0" w:rsidP="00487577" w14:paraId="3488303E" w14:textId="74F9E925">
      <w:pPr>
        <w:spacing w:before="48" w:after="0"/>
        <w:rPr>
          <w:rFonts w:ascii="Arial" w:hAnsi="Arial" w:cs="Arial"/>
          <w:sz w:val="15"/>
          <w:szCs w:val="15"/>
          <w:lang w:val="fi-FI"/>
        </w:rPr>
      </w:pPr>
      <w:r w:rsidRPr="006573BA">
        <w:rPr>
          <w:rFonts w:ascii="Arial" w:hAnsi="Arial" w:cs="Arial"/>
          <w:sz w:val="15"/>
          <w:szCs w:val="15"/>
          <w:lang w:val="fi-FI"/>
        </w:rPr>
        <w:t>Vaasan Smart Technology Hubiin liittyv</w:t>
      </w:r>
      <w:r w:rsidRPr="006573BA" w:rsidR="00810E2F">
        <w:rPr>
          <w:rFonts w:ascii="Arial" w:hAnsi="Arial" w:cs="Arial"/>
          <w:sz w:val="15"/>
          <w:szCs w:val="15"/>
          <w:lang w:val="fi-FI"/>
        </w:rPr>
        <w:t>ät</w:t>
      </w:r>
      <w:r w:rsidRPr="006573BA">
        <w:rPr>
          <w:rFonts w:ascii="Arial" w:hAnsi="Arial" w:cs="Arial"/>
          <w:sz w:val="15"/>
          <w:szCs w:val="15"/>
          <w:lang w:val="fi-FI"/>
        </w:rPr>
        <w:t xml:space="preserve"> jäännösarvotaku</w:t>
      </w:r>
      <w:r w:rsidRPr="006573BA" w:rsidR="00810E2F">
        <w:rPr>
          <w:rFonts w:ascii="Arial" w:hAnsi="Arial" w:cs="Arial"/>
          <w:sz w:val="15"/>
          <w:szCs w:val="15"/>
          <w:lang w:val="fi-FI"/>
        </w:rPr>
        <w:t xml:space="preserve">ut, joita </w:t>
      </w:r>
      <w:r w:rsidRPr="006573BA">
        <w:rPr>
          <w:rFonts w:ascii="Arial" w:hAnsi="Arial" w:cs="Arial"/>
          <w:sz w:val="15"/>
          <w:szCs w:val="15"/>
          <w:lang w:val="fi-FI"/>
        </w:rPr>
        <w:t>ei huomio</w:t>
      </w:r>
      <w:r w:rsidRPr="006573BA" w:rsidR="00810E2F">
        <w:rPr>
          <w:rFonts w:ascii="Arial" w:hAnsi="Arial" w:cs="Arial"/>
          <w:sz w:val="15"/>
          <w:szCs w:val="15"/>
          <w:lang w:val="fi-FI"/>
        </w:rPr>
        <w:t>ida aktivoiduissa vuokrasopimusveloissa, esitetään liitteessä 7.1. Annetut valuudet, vastuusitoumukset ja muut vastuut.</w:t>
      </w:r>
    </w:p>
    <w:p/>
    <w:p w:rsidR="00D94F2F" w:rsidRPr="00981411" w:rsidP="00D94F2F" w14:paraId="19CE973D" w14:textId="08889C4C">
      <w:pPr>
        <w:pStyle w:val="Heading12"/>
        <w:rPr>
          <w:lang w:val="fi-FI"/>
        </w:rPr>
      </w:pPr>
      <w:bookmarkStart w:id="1463" w:name="RG_MARKER_7456"/>
      <w:r w:rsidRPr="00981411">
        <w:rPr>
          <w:lang w:val="fi-FI"/>
        </w:rPr>
        <w:t>3.5. POISTOT JA ARVONALENTUMISET</w:t>
      </w:r>
      <w:bookmarkEnd w:id="1463"/>
    </w:p>
    <w:p w:rsidR="00D94F2F" w:rsidRPr="00981411" w:rsidP="00D94F2F" w14:paraId="258CC43F" w14:textId="77777777">
      <w:pPr>
        <w:spacing w:before="48" w:after="0"/>
        <w:rPr>
          <w:rFonts w:ascii="Arial" w:hAnsi="Arial" w:cs="Arial"/>
          <w:sz w:val="15"/>
          <w:szCs w:val="15"/>
          <w:lang w:val="fi-FI"/>
        </w:rPr>
      </w:pPr>
    </w:p>
    <w:tbl>
      <w:tblPr>
        <w:tblStyle w:val="TableNormal"/>
        <w:tblCaption w:val="table_depreciation"/>
        <w:tblW w:w="7320" w:type="dxa"/>
        <w:tblLayout w:type="fixed"/>
        <w:tblLook w:val="0600"/>
      </w:tblPr>
      <w:tblGrid>
        <w:gridCol w:w="4830"/>
        <w:gridCol w:w="1245"/>
        <w:gridCol w:w="1245"/>
      </w:tblGrid>
      <w:tr>
        <w:tblPrEx>
          <w:tblW w:w="7320" w:type="dxa"/>
          <w:tblLayout w:type="fixed"/>
          <w:tblLook w:val="0600"/>
        </w:tblPrEx>
        <w:trPr>
          <w:trHeight w:hRule="exact" w:val="240"/>
        </w:trPr>
        <w:tc>
          <w:tcPr>
            <w:tcW w:w="48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Tuotekehityskulut</w:t>
            </w:r>
          </w:p>
        </w:tc>
        <w:tc>
          <w:tcPr>
            <w:tcW w:w="12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w:t>
            </w:r>
          </w:p>
        </w:tc>
        <w:tc>
          <w:tcPr>
            <w:tcW w:w="12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Hankintamenojen allokointeihin liittyvät poistot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33</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aineettomat hyödykkeet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Rakennukset ja rakennelmat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Maa-alueet ja rakennukset, käyttöoikeusomaisuuserät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41</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Koneet ja kalusto</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37</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38</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Koneet ja kalusto, käyttöoikeusomaisuuserät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aineelliset hyödykkeet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nil"/>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Arvonalentumiset</w:t>
            </w:r>
          </w:p>
        </w:tc>
        <w:tc>
          <w:tcPr>
            <w:tcW w:w="1245" w:type="dxa"/>
            <w:tcBorders>
              <w:top w:val="nil"/>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w:t>
            </w:r>
          </w:p>
        </w:tc>
        <w:tc>
          <w:tcPr>
            <w:tcW w:w="1245" w:type="dxa"/>
            <w:tcBorders>
              <w:top w:val="nil"/>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2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162</w:t>
            </w:r>
          </w:p>
        </w:tc>
        <w:tc>
          <w:tcPr>
            <w:tcW w:w="12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174</w:t>
            </w:r>
          </w:p>
        </w:tc>
      </w:tr>
    </w:tbl>
    <w:p w:rsidR="004A0DF2" w:rsidRPr="00981411" w:rsidP="00D94F2F" w14:textId="56704E76">
      <w:pPr>
        <w:pStyle w:val="Bodytext2"/>
        <w:rPr>
          <w:sz w:val="2"/>
          <w:szCs w:val="2"/>
          <w:lang w:val="fi-FI"/>
        </w:rPr>
      </w:pPr>
      <w:r w:rsidRPr="00981411">
        <w:rPr>
          <w:sz w:val="2"/>
          <w:szCs w:val="2"/>
          <w:lang w:val="fi-FI"/>
        </w:rPr>
        <w:br w:type="column"/>
      </w:r>
    </w:p>
    <w:p w:rsidR="00F00867" w:rsidP="00752E09" w14:paraId="79CA4479" w14:textId="77777777">
      <w:pPr>
        <w:pStyle w:val="Heading11"/>
        <w:rPr>
          <w:lang w:val="fi-FI"/>
        </w:rPr>
      </w:pPr>
      <w:bookmarkStart w:id="1464" w:name="RG_MARKER_7255"/>
      <w:bookmarkStart w:id="1465" w:name="RG_MARKER_7463"/>
      <w:r>
        <w:rPr>
          <w:noProof/>
          <w:lang w:val="fi-FI"/>
        </w:rPr>
        <w:drawing>
          <wp:anchor distT="0" distB="0" distL="114300" distR="114300" simplePos="0" relativeHeight="251704320" behindDoc="1" locked="0" layoutInCell="1" allowOverlap="1">
            <wp:simplePos x="0" y="0"/>
            <wp:positionH relativeFrom="page">
              <wp:posOffset>0</wp:posOffset>
            </wp:positionH>
            <wp:positionV relativeFrom="page">
              <wp:posOffset>1155700</wp:posOffset>
            </wp:positionV>
            <wp:extent cx="5115600" cy="5580000"/>
            <wp:effectExtent l="0" t="0" r="8890" b="1905"/>
            <wp:wrapNone/>
            <wp:docPr id="3328591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11699" name="Picture 4"/>
                    <pic:cNvPicPr>
                      <a:picLocks noChangeAspect="1" noChangeArrowheads="1"/>
                    </pic:cNvPicPr>
                  </pic:nvPicPr>
                  <pic:blipFill>
                    <a:blip xmlns:r="http://schemas.openxmlformats.org/officeDocument/2006/relationships" r:embed="rId61">
                      <a:extLst>
                        <a:ext xmlns:a="http://schemas.openxmlformats.org/drawingml/2006/main" uri="{28A0092B-C50C-407E-A947-70E740481C1C}">
                          <a14:useLocalDpi xmlns:a14="http://schemas.microsoft.com/office/drawing/2010/main" val="0"/>
                        </a:ext>
                      </a:extLst>
                    </a:blip>
                    <a:stretch>
                      <a:fillRect/>
                    </a:stretch>
                  </pic:blipFill>
                  <pic:spPr bwMode="auto">
                    <a:xfrm>
                      <a:off x="0" y="0"/>
                      <a:ext cx="5115600" cy="5580000"/>
                    </a:xfrm>
                    <a:prstGeom prst="rect">
                      <a:avLst/>
                    </a:prstGeom>
                    <a:noFill/>
                  </pic:spPr>
                </pic:pic>
              </a:graphicData>
            </a:graphic>
            <wp14:sizeRelH relativeFrom="margin">
              <wp14:pctWidth>0</wp14:pctWidth>
            </wp14:sizeRelH>
            <wp14:sizeRelV relativeFrom="margin">
              <wp14:pctHeight>0</wp14:pctHeight>
            </wp14:sizeRelV>
          </wp:anchor>
        </w:drawing>
      </w:r>
      <w:bookmarkEnd w:id="1465"/>
      <w:bookmarkEnd w:id="1464"/>
    </w:p>
    <w:p w:rsidR="00F00867" w:rsidP="00752E09" w14:paraId="5FB1C8D2" w14:textId="77777777">
      <w:pPr>
        <w:pStyle w:val="Heading11"/>
        <w:rPr>
          <w:lang w:val="fi-FI"/>
        </w:rPr>
      </w:pPr>
    </w:p>
    <w:p w:rsidR="00F00867" w:rsidP="00752E09" w14:paraId="42720BA9" w14:textId="77777777">
      <w:pPr>
        <w:pStyle w:val="Heading11"/>
        <w:rPr>
          <w:lang w:val="fi-FI"/>
        </w:rPr>
      </w:pPr>
    </w:p>
    <w:p w:rsidR="00F00867" w:rsidP="00752E09" w14:paraId="2C363766" w14:textId="77777777">
      <w:pPr>
        <w:pStyle w:val="Heading11"/>
        <w:rPr>
          <w:lang w:val="fi-FI"/>
        </w:rPr>
      </w:pPr>
    </w:p>
    <w:p w:rsidR="00F00867" w:rsidP="00752E09" w14:paraId="36F81833" w14:textId="77777777">
      <w:pPr>
        <w:pStyle w:val="Heading11"/>
        <w:rPr>
          <w:lang w:val="fi-FI"/>
        </w:rPr>
      </w:pPr>
    </w:p>
    <w:p w:rsidR="00F00867" w:rsidP="00752E09" w14:paraId="66C535B1" w14:textId="77777777">
      <w:pPr>
        <w:pStyle w:val="Heading11"/>
        <w:rPr>
          <w:lang w:val="fi-FI"/>
        </w:rPr>
      </w:pPr>
    </w:p>
    <w:p w:rsidR="00F00867" w:rsidP="00752E09" w14:paraId="36A9A6FC" w14:textId="77777777">
      <w:pPr>
        <w:pStyle w:val="Heading11"/>
        <w:rPr>
          <w:lang w:val="fi-FI"/>
        </w:rPr>
      </w:pPr>
    </w:p>
    <w:p w:rsidR="00F00867" w:rsidP="00752E09" w14:paraId="2577E9AA" w14:textId="77777777">
      <w:pPr>
        <w:pStyle w:val="Heading11"/>
        <w:rPr>
          <w:lang w:val="fi-FI"/>
        </w:rPr>
      </w:pPr>
    </w:p>
    <w:p w:rsidR="00F00867" w:rsidP="00752E09" w14:paraId="044BE99D" w14:textId="77777777">
      <w:pPr>
        <w:pStyle w:val="Heading11"/>
        <w:rPr>
          <w:lang w:val="fi-FI"/>
        </w:rPr>
      </w:pPr>
    </w:p>
    <w:p w:rsidR="00F00867" w:rsidP="00752E09" w14:paraId="6F4DF11E" w14:textId="77777777">
      <w:pPr>
        <w:pStyle w:val="Heading11"/>
        <w:rPr>
          <w:lang w:val="fi-FI"/>
        </w:rPr>
      </w:pPr>
    </w:p>
    <w:p w:rsidR="00F00867" w:rsidP="00752E09" w14:paraId="1C27F7DF" w14:textId="77777777">
      <w:pPr>
        <w:pStyle w:val="Heading11"/>
        <w:rPr>
          <w:lang w:val="fi-FI"/>
        </w:rPr>
      </w:pPr>
    </w:p>
    <w:p w:rsidR="00F00867" w:rsidP="00752E09" w14:paraId="445CF61C" w14:textId="77777777">
      <w:pPr>
        <w:pStyle w:val="Heading11"/>
        <w:rPr>
          <w:lang w:val="fi-FI"/>
        </w:rPr>
      </w:pPr>
    </w:p>
    <w:p w:rsidR="00F00867" w:rsidP="00752E09" w14:paraId="3D5A70AE" w14:textId="77777777">
      <w:pPr>
        <w:pStyle w:val="Heading11"/>
        <w:rPr>
          <w:lang w:val="fi-FI"/>
        </w:rPr>
      </w:pPr>
    </w:p>
    <w:p w:rsidR="00F00867" w:rsidP="00752E09" w14:paraId="51A19B40" w14:textId="77777777">
      <w:pPr>
        <w:pStyle w:val="Heading11"/>
        <w:rPr>
          <w:lang w:val="fi-FI"/>
        </w:rPr>
      </w:pPr>
    </w:p>
    <w:p w:rsidR="00F00867" w:rsidP="00752E09" w14:paraId="3FCDD080" w14:textId="77777777">
      <w:pPr>
        <w:pStyle w:val="Heading11"/>
        <w:rPr>
          <w:lang w:val="fi-FI"/>
        </w:rPr>
      </w:pPr>
    </w:p>
    <w:p w:rsidR="00F00867" w:rsidP="00752E09" w14:paraId="55C487B4" w14:textId="77777777">
      <w:pPr>
        <w:pStyle w:val="Heading11"/>
        <w:rPr>
          <w:lang w:val="fi-FI"/>
        </w:rPr>
      </w:pPr>
    </w:p>
    <w:p w:rsidR="00F00867" w:rsidP="00752E09" w14:paraId="6F96EFFC" w14:textId="77777777">
      <w:pPr>
        <w:pStyle w:val="Heading11"/>
        <w:rPr>
          <w:lang w:val="fi-FI"/>
        </w:rPr>
      </w:pPr>
    </w:p>
    <w:p w:rsidR="00F00867" w:rsidRPr="0031731B" w:rsidP="00F00867" w14:paraId="0C819075" w14:textId="77777777">
      <w:pPr>
        <w:pStyle w:val="Heading11"/>
        <w:rPr>
          <w:lang w:val="fi-FI"/>
        </w:rPr>
      </w:pPr>
      <w:r w:rsidRPr="00752E09">
        <w:rPr>
          <w:lang w:val="fi-FI"/>
        </w:rPr>
        <w:t>4. NETTOKÄYTTÖPÄÄOMA JA MUUT TASE-ERÄT</w:t>
      </w:r>
    </w:p>
    <w:p w:rsidR="00F00867" w:rsidRPr="0031731B" w:rsidP="00F00867" w14:paraId="618FA05C" w14:textId="77777777">
      <w:pPr>
        <w:pStyle w:val="Heading12"/>
        <w:rPr>
          <w:b w:val="0"/>
          <w:lang w:val="fi-FI"/>
        </w:rPr>
      </w:pPr>
      <w:r>
        <w:rPr>
          <w:noProof/>
        </w:rPr>
        <mc:AlternateContent>
          <mc:Choice Requires="wps">
            <w:drawing>
              <wp:anchor distT="0" distB="0" distL="114300" distR="114300" simplePos="0" relativeHeight="251673600" behindDoc="0" locked="0" layoutInCell="1" allowOverlap="1">
                <wp:simplePos x="0" y="0"/>
                <wp:positionH relativeFrom="column">
                  <wp:posOffset>0</wp:posOffset>
                </wp:positionH>
                <wp:positionV relativeFrom="paragraph">
                  <wp:posOffset>53975</wp:posOffset>
                </wp:positionV>
                <wp:extent cx="4679950" cy="0"/>
                <wp:effectExtent l="19050" t="19050" r="25400" b="19050"/>
                <wp:wrapNone/>
                <wp:docPr id="1335524253" name="Straight Connector 3"/>
                <wp:cNvGraphicFramePr/>
                <a:graphic xmlns:a="http://schemas.openxmlformats.org/drawingml/2006/main">
                  <a:graphicData uri="http://schemas.microsoft.com/office/word/2010/wordprocessingShape">
                    <wps:wsp xmlns:wps="http://schemas.microsoft.com/office/word/2010/wordprocessingShape">
                      <wps:cNvCnPr/>
                      <wps:spPr>
                        <a:xfrm>
                          <a:off x="0" y="0"/>
                          <a:ext cx="4679950" cy="0"/>
                        </a:xfrm>
                        <a:prstGeom prst="line">
                          <a:avLst/>
                        </a:prstGeom>
                        <a:ln w="28575" cap="rnd">
                          <a:solidFill>
                            <a:srgbClr val="99B7C4"/>
                          </a:solidFill>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id="Straight Connector 3" o:spid="_x0000_s1037" style="mso-height-percent:0;mso-height-relative:page;mso-width-percent:0;mso-width-relative:margin;mso-wrap-distance-bottom:0;mso-wrap-distance-left:9pt;mso-wrap-distance-right:9pt;mso-wrap-distance-top:0;position:absolute;v-text-anchor:top;z-index:251672576" from="0,4.25pt" to="368.5pt,4.25pt" fillcolor="this" stroked="t" strokecolor="#99b7c4" strokeweight="2.25pt">
                <v:stroke endcap="round"/>
              </v:line>
            </w:pict>
          </mc:Fallback>
        </mc:AlternateContent>
      </w:r>
    </w:p>
    <w:p w:rsidR="00F00867" w:rsidRPr="0031731B" w:rsidP="00F00867" w14:paraId="5E07CAAD" w14:textId="77777777">
      <w:pPr>
        <w:pStyle w:val="Heading12"/>
        <w:rPr>
          <w:b w:val="0"/>
          <w:bCs/>
          <w:color w:val="99B7C4"/>
          <w:lang w:val="fi-FI"/>
        </w:rPr>
      </w:pPr>
      <w:r w:rsidRPr="0031731B">
        <w:rPr>
          <w:b w:val="0"/>
          <w:bCs/>
          <w:color w:val="99B7C4"/>
          <w:lang w:val="fi-FI"/>
        </w:rPr>
        <w:t>Osion sisältö:</w:t>
      </w:r>
    </w:p>
    <w:p w:rsidR="00F00867" w:rsidRPr="0031731B" w:rsidP="00F00867" w14:paraId="6BF74635" w14:textId="77777777">
      <w:pPr>
        <w:pStyle w:val="Heading12"/>
        <w:ind w:left="284"/>
        <w:rPr>
          <w:color w:val="99B7C4"/>
          <w:sz w:val="12"/>
          <w:szCs w:val="12"/>
          <w:lang w:val="fi-FI"/>
        </w:rPr>
      </w:pPr>
    </w:p>
    <w:p w:rsidR="00F00867" w:rsidRPr="00F00867" w:rsidP="00F00867" w14:paraId="084D46A9" w14:textId="77777777">
      <w:pPr>
        <w:pStyle w:val="Heading12"/>
        <w:ind w:left="284"/>
        <w:rPr>
          <w:color w:val="99B7C4"/>
          <w:lang w:val="fi-FI"/>
        </w:rPr>
      </w:pPr>
      <w:r w:rsidRPr="00F00867">
        <w:rPr>
          <w:color w:val="99B7C4"/>
          <w:lang w:val="fi-FI"/>
        </w:rPr>
        <w:t>4.1. VAIHTO-OMAISUUS</w:t>
      </w:r>
    </w:p>
    <w:p w:rsidR="00F00867" w:rsidRPr="00F00867" w:rsidP="00F00867" w14:paraId="179C67FC" w14:textId="77777777">
      <w:pPr>
        <w:pStyle w:val="Heading12"/>
        <w:ind w:left="284"/>
        <w:rPr>
          <w:color w:val="99B7C4"/>
          <w:lang w:val="fi-FI"/>
        </w:rPr>
      </w:pPr>
      <w:r w:rsidRPr="00F00867">
        <w:rPr>
          <w:color w:val="99B7C4"/>
          <w:lang w:val="fi-FI"/>
        </w:rPr>
        <w:t xml:space="preserve">4.2. </w:t>
      </w:r>
      <w:r>
        <w:rPr>
          <w:color w:val="99B7C4"/>
          <w:lang w:val="fi-FI"/>
        </w:rPr>
        <w:t>MYYNTISAAMISET JA SOPIMUKSEEN PERUSTUVAT VARAT JA VELAT</w:t>
      </w:r>
    </w:p>
    <w:p w:rsidR="00F00867" w:rsidRPr="00F00867" w:rsidP="00F00867" w14:paraId="664DF6ED" w14:textId="77777777">
      <w:pPr>
        <w:pStyle w:val="Heading12"/>
        <w:ind w:left="284"/>
        <w:rPr>
          <w:color w:val="99B7C4"/>
          <w:lang w:val="fi-FI"/>
        </w:rPr>
      </w:pPr>
      <w:r w:rsidRPr="00F00867">
        <w:rPr>
          <w:color w:val="99B7C4"/>
          <w:lang w:val="fi-FI"/>
        </w:rPr>
        <w:t>4.3. MU</w:t>
      </w:r>
      <w:r>
        <w:rPr>
          <w:color w:val="99B7C4"/>
          <w:lang w:val="fi-FI"/>
        </w:rPr>
        <w:t>UT SAAMISET</w:t>
      </w:r>
    </w:p>
    <w:p w:rsidR="00F00867" w:rsidRPr="00F00867" w:rsidP="00F00867" w14:paraId="5806CDC5" w14:textId="77777777">
      <w:pPr>
        <w:pStyle w:val="Heading12"/>
        <w:ind w:left="284"/>
        <w:rPr>
          <w:color w:val="99B7C4"/>
          <w:lang w:val="fi-FI"/>
        </w:rPr>
      </w:pPr>
      <w:r w:rsidRPr="00F00867">
        <w:rPr>
          <w:color w:val="99B7C4"/>
          <w:lang w:val="fi-FI"/>
        </w:rPr>
        <w:t>4.4. OS</w:t>
      </w:r>
      <w:r>
        <w:rPr>
          <w:color w:val="99B7C4"/>
          <w:lang w:val="fi-FI"/>
        </w:rPr>
        <w:t>TOVELAT JA MUUT VELAT</w:t>
      </w:r>
    </w:p>
    <w:p w:rsidR="00F00867" w:rsidRPr="00F00867" w:rsidP="00F00867" w14:paraId="1810D915" w14:textId="77777777">
      <w:pPr>
        <w:pStyle w:val="Heading12"/>
        <w:ind w:left="284"/>
        <w:rPr>
          <w:color w:val="99B7C4"/>
          <w:lang w:val="fi-FI"/>
        </w:rPr>
      </w:pPr>
      <w:r w:rsidRPr="00F00867">
        <w:rPr>
          <w:color w:val="99B7C4"/>
          <w:lang w:val="fi-FI"/>
        </w:rPr>
        <w:t>4.5. VARAUKSET</w:t>
      </w:r>
    </w:p>
    <w:p w:rsidR="00F00867" w:rsidRPr="00F00867" w:rsidP="00F00867" w14:paraId="5964BE4A" w14:textId="77777777">
      <w:pPr>
        <w:pStyle w:val="Heading12"/>
        <w:ind w:left="284"/>
        <w:rPr>
          <w:color w:val="99B7C4"/>
          <w:lang w:val="fi-FI"/>
        </w:rPr>
      </w:pPr>
      <w:r w:rsidRPr="00F00867">
        <w:rPr>
          <w:color w:val="99B7C4"/>
          <w:lang w:val="fi-FI"/>
        </w:rPr>
        <w:t>4.6. LASKENNALLISET VEROT</w:t>
      </w:r>
    </w:p>
    <w:p w:rsidR="00F00867" w:rsidRPr="00F00867" w:rsidP="00F00867" w14:paraId="08E4F78D" w14:textId="77777777">
      <w:pPr>
        <w:pStyle w:val="Heading12"/>
        <w:ind w:left="284"/>
        <w:rPr>
          <w:color w:val="99B7C4"/>
          <w:lang w:val="fi-FI"/>
        </w:rPr>
      </w:pPr>
      <w:r w:rsidRPr="00F00867">
        <w:rPr>
          <w:color w:val="99B7C4"/>
          <w:lang w:val="fi-FI"/>
        </w:rPr>
        <w:t>4.7. ELÄKEVELVOITTEET</w:t>
      </w:r>
    </w:p>
    <w:p w:rsidR="00F00867" w:rsidRPr="00F00867" w:rsidP="00F00867" w14:paraId="52F98775" w14:textId="77777777">
      <w:pPr>
        <w:pStyle w:val="Bodytext2"/>
        <w:rPr>
          <w:lang w:val="fi-FI"/>
        </w:rPr>
      </w:pPr>
      <w:r>
        <w:rPr>
          <w:noProof/>
        </w:rPr>
        <mc:AlternateContent>
          <mc:Choice Requires="wps">
            <w:drawing>
              <wp:anchor distT="0" distB="0" distL="114300" distR="114300" simplePos="0" relativeHeight="251694080" behindDoc="0" locked="0" layoutInCell="1" allowOverlap="1">
                <wp:simplePos x="0" y="0"/>
                <wp:positionH relativeFrom="column">
                  <wp:posOffset>0</wp:posOffset>
                </wp:positionH>
                <wp:positionV relativeFrom="paragraph">
                  <wp:posOffset>71755</wp:posOffset>
                </wp:positionV>
                <wp:extent cx="4679950" cy="0"/>
                <wp:effectExtent l="19050" t="19050" r="25400" b="19050"/>
                <wp:wrapNone/>
                <wp:docPr id="1293964502" name="Straight Connector 2"/>
                <wp:cNvGraphicFramePr/>
                <a:graphic xmlns:a="http://schemas.openxmlformats.org/drawingml/2006/main">
                  <a:graphicData uri="http://schemas.microsoft.com/office/word/2010/wordprocessingShape">
                    <wps:wsp xmlns:wps="http://schemas.microsoft.com/office/word/2010/wordprocessingShape">
                      <wps:cNvCnPr/>
                      <wps:spPr>
                        <a:xfrm>
                          <a:off x="0" y="0"/>
                          <a:ext cx="4679950" cy="0"/>
                        </a:xfrm>
                        <a:prstGeom prst="line">
                          <a:avLst/>
                        </a:prstGeom>
                        <a:ln w="28575" cap="rnd">
                          <a:solidFill>
                            <a:srgbClr val="99B7C4"/>
                          </a:solidFill>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id="Straight Connector 2" o:spid="_x0000_s1038" style="mso-height-percent:0;mso-height-relative:page;mso-width-percent:0;mso-width-relative:margin;mso-wrap-distance-bottom:0;mso-wrap-distance-left:9pt;mso-wrap-distance-right:9pt;mso-wrap-distance-top:0;position:absolute;v-text-anchor:top;z-index:251693056" from="0,5.65pt" to="368.5pt,5.65pt" fillcolor="this" stroked="t" strokecolor="#99b7c4" strokeweight="2.25pt">
                <v:stroke endcap="round"/>
              </v:line>
            </w:pict>
          </mc:Fallback>
        </mc:AlternateContent>
      </w:r>
    </w:p>
    <w:p w:rsidR="00F00867" w:rsidRPr="00F00867" w:rsidP="00F00867" w14:paraId="49CE65ED" w14:textId="77777777">
      <w:pPr>
        <w:pStyle w:val="Bodytext2"/>
        <w:rPr>
          <w:szCs w:val="15"/>
          <w:lang w:val="fi-FI"/>
        </w:rPr>
      </w:pPr>
    </w:p>
    <w:p w:rsidR="00F00867" w:rsidRPr="00F00867" w:rsidP="00F00867" w14:paraId="0E290772" w14:textId="77777777">
      <w:pPr>
        <w:pStyle w:val="Bodytext2"/>
        <w:rPr>
          <w:lang w:val="fi-FI"/>
        </w:rPr>
      </w:pPr>
    </w:p>
    <w:p w:rsidR="00752E09" w:rsidRPr="0031731B" w:rsidP="00752E09" w14:paraId="570F6BCA" w14:textId="77777777">
      <w:pPr>
        <w:pStyle w:val="Heading12"/>
        <w:rPr>
          <w:lang w:val="fi-FI"/>
        </w:rPr>
      </w:pPr>
      <w:r w:rsidRPr="0031731B">
        <w:rPr>
          <w:lang w:val="fi-FI"/>
        </w:rPr>
        <w:t>4.1. VAIHTO-OMAISUUS</w:t>
      </w:r>
    </w:p>
    <w:tbl>
      <w:tblPr>
        <w:tblStyle w:val="TableGrid"/>
        <w:tblW w:w="7371" w:type="dxa"/>
        <w:tblLook w:val="04A0"/>
      </w:tblPr>
      <w:tblGrid>
        <w:gridCol w:w="7371"/>
      </w:tblGrid>
      <w:tr w14:paraId="6F84E69F" w14:textId="77777777" w:rsidTr="00752E09">
        <w:tblPrEx>
          <w:tblW w:w="7371" w:type="dxa"/>
          <w:tblLook w:val="04A0"/>
        </w:tblPrEx>
        <w:tc>
          <w:tcPr>
            <w:tcW w:w="6683" w:type="dxa"/>
            <w:tcBorders>
              <w:top w:val="nil"/>
              <w:left w:val="nil"/>
              <w:bottom w:val="nil"/>
              <w:right w:val="nil"/>
            </w:tcBorders>
            <w:shd w:val="clear" w:color="auto" w:fill="B6C8D1"/>
          </w:tcPr>
          <w:p w:rsidR="00752E09" w:rsidRPr="00CF0773" w14:paraId="05A71A40" w14:textId="77777777">
            <w:pPr>
              <w:pStyle w:val="Heading13"/>
              <w:rPr>
                <w:rFonts w:eastAsiaTheme="minorEastAsia" w:cstheme="minorHAnsi"/>
                <w:lang w:val="fi-FI" w:eastAsia="fi-FI"/>
              </w:rPr>
            </w:pPr>
            <w:r w:rsidRPr="00CF0773">
              <w:rPr>
                <w:lang w:val="fi-FI"/>
              </w:rPr>
              <w:t>Laadintaperiaatteet</w:t>
            </w:r>
          </w:p>
          <w:p w:rsidR="008E2412" w:rsidRPr="005335AD" w:rsidP="00752E09" w14:paraId="76A6B202" w14:textId="77777777">
            <w:pPr>
              <w:pStyle w:val="Bodytext2"/>
              <w:rPr>
                <w:rFonts w:eastAsiaTheme="minorEastAsia"/>
                <w:color w:val="0F172B"/>
                <w:lang w:val="fi-FI" w:eastAsia="fi-FI"/>
              </w:rPr>
            </w:pPr>
            <w:r w:rsidRPr="00752E09">
              <w:rPr>
                <w:rFonts w:eastAsiaTheme="minorEastAsia"/>
                <w:color w:val="0F172B"/>
                <w:lang w:val="fi-FI" w:eastAsia="fi-FI"/>
              </w:rPr>
              <w:t>Vaihto-omaisuus arvostetaan hankintamenoon tai nettorealisointiarvoon sen mukaan, kumpi näistä on alempi</w:t>
            </w:r>
            <w:r w:rsidRPr="005335AD">
              <w:rPr>
                <w:rFonts w:eastAsiaTheme="minorEastAsia"/>
                <w:color w:val="0F172B"/>
                <w:lang w:val="fi-FI" w:eastAsia="fi-FI"/>
              </w:rPr>
              <w:t>. Nettorealisointiarvo on</w:t>
            </w:r>
            <w:r w:rsidRPr="005335AD">
              <w:rPr>
                <w:rFonts w:eastAsiaTheme="minorEastAsia"/>
                <w:color w:val="0F172B"/>
                <w:lang w:val="fi-FI" w:eastAsia="fi-FI"/>
              </w:rPr>
              <w:t xml:space="preserve"> liiketoiminnan tavanomainen arvioitu myyntihinta, josta vähennetään myynnin välttämättömät kustannukset sekä myynnin toteuttamiseen liittyvät kustannukset.</w:t>
            </w:r>
          </w:p>
          <w:p w:rsidR="00752E09" w:rsidRPr="00752E09" w14:paraId="7407EFBC" w14:textId="77777777">
            <w:pPr>
              <w:pStyle w:val="Bodytext2"/>
              <w:rPr>
                <w:rFonts w:eastAsiaTheme="minorEastAsia"/>
                <w:color w:val="0F172B"/>
                <w:lang w:val="fi-FI" w:eastAsia="fi-FI"/>
              </w:rPr>
            </w:pPr>
            <w:r w:rsidRPr="005335AD">
              <w:rPr>
                <w:rFonts w:eastAsiaTheme="minorEastAsia"/>
                <w:color w:val="0F172B"/>
                <w:lang w:val="fi-FI" w:eastAsia="fi-FI"/>
              </w:rPr>
              <w:t xml:space="preserve">Aineet ja tarvikkeet arvostetaan painotettua keskihintaa </w:t>
            </w:r>
            <w:r w:rsidRPr="005335AD">
              <w:rPr>
                <w:rFonts w:eastAsiaTheme="minorEastAsia"/>
                <w:color w:val="auto"/>
                <w:lang w:val="fi-FI" w:eastAsia="fi-FI"/>
              </w:rPr>
              <w:t xml:space="preserve">tai liukuvaa keskihintaa </w:t>
            </w:r>
            <w:r w:rsidRPr="005335AD">
              <w:rPr>
                <w:rFonts w:eastAsiaTheme="minorEastAsia"/>
                <w:color w:val="0F172B"/>
                <w:lang w:val="fi-FI" w:eastAsia="fi-FI"/>
              </w:rPr>
              <w:t>käyttäen. Valmiid</w:t>
            </w:r>
            <w:r w:rsidRPr="005335AD">
              <w:rPr>
                <w:rFonts w:eastAsiaTheme="minorEastAsia"/>
                <w:color w:val="0F172B"/>
                <w:lang w:val="fi-FI" w:eastAsia="fi-FI"/>
              </w:rPr>
              <w:t>en</w:t>
            </w:r>
            <w:r w:rsidRPr="00752E09">
              <w:rPr>
                <w:rFonts w:eastAsiaTheme="minorEastAsia"/>
                <w:color w:val="0F172B"/>
                <w:lang w:val="fi-FI" w:eastAsia="fi-FI"/>
              </w:rPr>
              <w:t xml:space="preserve"> tuotteiden hankintamenoon sisältyy välittömien hankinta- ja valmistuskustannusten lisäksi osuus hankinnan ja valmistuksen yleiskustannuksista. Keskeneräisten tuotteiden hankintamenoon sisältyvät välittömät työvoima- ja materiaalikustannukset sekä osuus </w:t>
            </w:r>
            <w:r w:rsidRPr="00752E09">
              <w:rPr>
                <w:rFonts w:eastAsiaTheme="minorEastAsia"/>
                <w:color w:val="0F172B"/>
                <w:lang w:val="fi-FI" w:eastAsia="fi-FI"/>
              </w:rPr>
              <w:t>valmistuksen ja hankinnan yleiskustannuksista, kun tuotteiden hallinta ei ole vielä siirtynyt asiakkaalle.</w:t>
            </w:r>
            <w:r w:rsidR="008E2412">
              <w:rPr>
                <w:rFonts w:eastAsiaTheme="minorEastAsia"/>
                <w:color w:val="0F172B"/>
                <w:lang w:val="fi-FI" w:eastAsia="fi-FI"/>
              </w:rPr>
              <w:t xml:space="preserve"> </w:t>
            </w:r>
            <w:r w:rsidRPr="005335AD" w:rsidR="005335AD">
              <w:rPr>
                <w:rFonts w:eastAsiaTheme="minorEastAsia"/>
                <w:color w:val="0F172B"/>
                <w:lang w:val="fi-FI" w:eastAsia="fi-FI"/>
              </w:rPr>
              <w:t>Vaihto-omaisuuden arvosta on vähennetty arvonalentumisvaraus</w:t>
            </w:r>
            <w:r w:rsidRPr="00752E09">
              <w:rPr>
                <w:rFonts w:eastAsiaTheme="minorEastAsia"/>
                <w:color w:val="0F172B"/>
                <w:lang w:val="fi-FI" w:eastAsia="fi-FI"/>
              </w:rPr>
              <w:t>.</w:t>
            </w:r>
          </w:p>
        </w:tc>
      </w:tr>
    </w:tbl>
    <w:p w:rsidR="00752E09" w:rsidP="00752E09" w14:paraId="58904E2F" w14:textId="77777777">
      <w:pPr>
        <w:pStyle w:val="Bodytext2"/>
        <w:rPr>
          <w:color w:val="0F172B"/>
          <w:lang w:val="fi-FI"/>
        </w:rPr>
      </w:pPr>
    </w:p>
    <w:tbl>
      <w:tblPr>
        <w:tblStyle w:val="TableGrid"/>
        <w:tblW w:w="7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7DFE1"/>
        <w:tblLook w:val="04A0"/>
      </w:tblPr>
      <w:tblGrid>
        <w:gridCol w:w="7371"/>
      </w:tblGrid>
      <w:tr w14:paraId="37B0D1C9" w14:textId="77777777" w:rsidTr="00F00867">
        <w:tblPrEx>
          <w:tblW w:w="7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7DFE1"/>
          <w:tblLook w:val="04A0"/>
        </w:tblPrEx>
        <w:tc>
          <w:tcPr>
            <w:tcW w:w="7360" w:type="dxa"/>
            <w:shd w:val="clear" w:color="auto" w:fill="D7DFE1"/>
          </w:tcPr>
          <w:p w:rsidR="00F00867" w:rsidP="00F00867" w14:paraId="3314349F" w14:textId="77777777">
            <w:pPr>
              <w:pStyle w:val="Heading13"/>
              <w:rPr>
                <w:rFonts w:eastAsiaTheme="minorEastAsia" w:cstheme="minorHAnsi"/>
                <w:lang w:val="fi-FI" w:eastAsia="fi-FI"/>
              </w:rPr>
            </w:pPr>
            <w:r>
              <w:rPr>
                <w:lang w:val="fi-FI"/>
              </w:rPr>
              <w:t>Kirjanpidolliset arviot ja harkinnat</w:t>
            </w:r>
          </w:p>
          <w:p w:rsidR="00F00867" w:rsidP="00F00867" w14:paraId="29337F8B" w14:textId="77777777">
            <w:pPr>
              <w:pStyle w:val="Bodytext2"/>
              <w:rPr>
                <w:color w:val="0F172B"/>
                <w:lang w:val="fi-FI"/>
              </w:rPr>
            </w:pPr>
            <w:r w:rsidRPr="00752E09">
              <w:rPr>
                <w:rFonts w:eastAsiaTheme="minorEastAsia"/>
                <w:color w:val="0F172B"/>
                <w:lang w:val="fi-FI" w:eastAsia="fi-FI"/>
              </w:rPr>
              <w:t>Epäkurantista ja liiallisesta varastosta johtuva</w:t>
            </w:r>
            <w:r w:rsidRPr="00752E09">
              <w:rPr>
                <w:rFonts w:eastAsiaTheme="minorEastAsia"/>
                <w:color w:val="0F172B"/>
                <w:lang w:val="fi-FI" w:eastAsia="fi-FI"/>
              </w:rPr>
              <w:t xml:space="preserve"> vaihto-omaisuuden arvonalen</w:t>
            </w:r>
            <w:r>
              <w:rPr>
                <w:rFonts w:eastAsiaTheme="minorEastAsia"/>
                <w:color w:val="0F172B"/>
                <w:lang w:val="fi-FI" w:eastAsia="fi-FI"/>
              </w:rPr>
              <w:t>tumise</w:t>
            </w:r>
            <w:r w:rsidRPr="00752E09">
              <w:rPr>
                <w:rFonts w:eastAsiaTheme="minorEastAsia"/>
                <w:color w:val="0F172B"/>
                <w:lang w:val="fi-FI" w:eastAsia="fi-FI"/>
              </w:rPr>
              <w:t xml:space="preserve">n määrä perustuu johdon parhaaseen arvioon tilinpäätöspäivänä. </w:t>
            </w:r>
            <w:r w:rsidRPr="005335AD">
              <w:rPr>
                <w:rFonts w:eastAsiaTheme="minorEastAsia"/>
                <w:color w:val="0F172B"/>
                <w:lang w:val="fi-FI" w:eastAsia="fi-FI"/>
              </w:rPr>
              <w:t>Arvio pohjautuu järjestelmälliseen ja jatkuvaan analyysiin</w:t>
            </w:r>
            <w:r w:rsidRPr="00752E09">
              <w:rPr>
                <w:rFonts w:eastAsiaTheme="minorEastAsia"/>
                <w:color w:val="0F172B"/>
                <w:lang w:val="fi-FI" w:eastAsia="fi-FI"/>
              </w:rPr>
              <w:t xml:space="preserve"> vaihto-omaisuuden vanhentumisesta, kiertonopeudesta ja rakenteesta verrattuna ennakoituun tulevaan k</w:t>
            </w:r>
            <w:r w:rsidRPr="00752E09">
              <w:rPr>
                <w:rFonts w:eastAsiaTheme="minorEastAsia"/>
                <w:color w:val="0F172B"/>
                <w:lang w:val="fi-FI" w:eastAsia="fi-FI"/>
              </w:rPr>
              <w:t>äyttöön.</w:t>
            </w:r>
          </w:p>
        </w:tc>
      </w:tr>
    </w:tbl>
    <w:p w:rsidR="00F00867" w:rsidRPr="00CF0773" w:rsidP="00752E09" w14:paraId="156CE124" w14:textId="77777777">
      <w:pPr>
        <w:pStyle w:val="Bodytext2"/>
        <w:rPr>
          <w:color w:val="0F172B"/>
          <w:lang w:val="fi-FI"/>
        </w:rPr>
      </w:pPr>
    </w:p>
    <w:tbl>
      <w:tblPr>
        <w:tblStyle w:val="TableNormal"/>
        <w:tblCaption w:val="table_inventories"/>
        <w:tblW w:w="7320" w:type="dxa"/>
        <w:tblLayout w:type="fixed"/>
        <w:tblLook w:val="0600"/>
      </w:tblPr>
      <w:tblGrid>
        <w:gridCol w:w="4830"/>
        <w:gridCol w:w="1245"/>
        <w:gridCol w:w="1245"/>
      </w:tblGrid>
      <w:tr>
        <w:tblPrEx>
          <w:tblW w:w="7320" w:type="dxa"/>
          <w:tblLayout w:type="fixed"/>
          <w:tblLook w:val="0600"/>
        </w:tblPrEx>
        <w:trPr>
          <w:trHeight w:hRule="exact" w:val="240"/>
        </w:trPr>
        <w:tc>
          <w:tcPr>
            <w:tcW w:w="48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Aineet ja tarvikkeet</w:t>
            </w:r>
          </w:p>
        </w:tc>
        <w:tc>
          <w:tcPr>
            <w:tcW w:w="12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453</w:t>
            </w:r>
          </w:p>
        </w:tc>
        <w:tc>
          <w:tcPr>
            <w:tcW w:w="124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453</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Keskeneräiset tuotteet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626</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632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Valmiit tuotteet ja tavarat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49</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Maksetut ennakot</w:t>
            </w:r>
          </w:p>
        </w:tc>
        <w:tc>
          <w:tcPr>
            <w:tcW w:w="12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58</w:t>
            </w:r>
          </w:p>
        </w:tc>
        <w:tc>
          <w:tcPr>
            <w:tcW w:w="124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2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1 185</w:t>
            </w:r>
          </w:p>
        </w:tc>
        <w:tc>
          <w:tcPr>
            <w:tcW w:w="124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1 192</w:t>
            </w:r>
          </w:p>
        </w:tc>
      </w:tr>
    </w:tbl>
    <w:p w:rsidR="00752E09" w:rsidP="00752E09" w14:paraId="496DDC1F" w14:textId="77777777">
      <w:pPr>
        <w:pStyle w:val="Bodytext2"/>
        <w:rPr>
          <w:color w:val="0F172B"/>
          <w:lang w:val="fi-FI"/>
        </w:rPr>
      </w:pPr>
      <w:r w:rsidRPr="00752E09">
        <w:rPr>
          <w:color w:val="0F172B"/>
          <w:lang w:val="fi-FI"/>
        </w:rPr>
        <w:t>Konsernin tuloslaskelmaan on 20</w:t>
      </w:r>
      <w:r>
        <w:rPr>
          <w:color w:val="0F172B"/>
          <w:lang w:val="fi-FI"/>
        </w:rPr>
        <w:t>2</w:t>
      </w:r>
      <w:r w:rsidR="008E2412">
        <w:rPr>
          <w:color w:val="0F172B"/>
          <w:lang w:val="fi-FI"/>
        </w:rPr>
        <w:t>1</w:t>
      </w:r>
      <w:r w:rsidRPr="00752E09">
        <w:rPr>
          <w:color w:val="0F172B"/>
          <w:lang w:val="fi-FI"/>
        </w:rPr>
        <w:t xml:space="preserve"> kirjattu </w:t>
      </w:r>
      <w:r w:rsidR="008E2412">
        <w:rPr>
          <w:color w:val="0F172B"/>
          <w:lang w:val="fi-FI"/>
        </w:rPr>
        <w:t>13</w:t>
      </w:r>
      <w:r w:rsidRPr="00752E09">
        <w:rPr>
          <w:color w:val="0F172B"/>
          <w:lang w:val="fi-FI"/>
        </w:rPr>
        <w:t xml:space="preserve"> milj</w:t>
      </w:r>
      <w:r>
        <w:rPr>
          <w:color w:val="0F172B"/>
          <w:lang w:val="fi-FI"/>
        </w:rPr>
        <w:t>oonan</w:t>
      </w:r>
      <w:r w:rsidRPr="00752E09">
        <w:rPr>
          <w:color w:val="0F172B"/>
          <w:lang w:val="fi-FI"/>
        </w:rPr>
        <w:t xml:space="preserve"> euron (</w:t>
      </w:r>
      <w:r w:rsidR="008E2412">
        <w:rPr>
          <w:color w:val="0F172B"/>
          <w:lang w:val="fi-FI"/>
        </w:rPr>
        <w:t>2</w:t>
      </w:r>
      <w:r>
        <w:rPr>
          <w:color w:val="0F172B"/>
          <w:lang w:val="fi-FI"/>
        </w:rPr>
        <w:t>4</w:t>
      </w:r>
      <w:r w:rsidRPr="00752E09">
        <w:rPr>
          <w:color w:val="0F172B"/>
          <w:lang w:val="fi-FI"/>
        </w:rPr>
        <w:t xml:space="preserve">) alaskirjaus liittyen vanhentuneeseen vaihto-omaisuuteen. </w:t>
      </w:r>
      <w:r w:rsidRPr="008D481A">
        <w:rPr>
          <w:color w:val="0F172B"/>
          <w:lang w:val="fi-FI"/>
        </w:rPr>
        <w:t xml:space="preserve">Myytävissä oleviin omaisuuseriin liittyvän vaihto-omaisuuden arvo on </w:t>
      </w:r>
      <w:r w:rsidR="008E2412">
        <w:rPr>
          <w:color w:val="0F172B"/>
          <w:lang w:val="fi-FI"/>
        </w:rPr>
        <w:t>4</w:t>
      </w:r>
      <w:r>
        <w:rPr>
          <w:color w:val="0F172B"/>
          <w:lang w:val="fi-FI"/>
        </w:rPr>
        <w:t xml:space="preserve"> </w:t>
      </w:r>
      <w:r w:rsidRPr="008D481A">
        <w:rPr>
          <w:color w:val="0F172B"/>
          <w:lang w:val="fi-FI"/>
        </w:rPr>
        <w:t>milj</w:t>
      </w:r>
      <w:r>
        <w:rPr>
          <w:color w:val="0F172B"/>
          <w:lang w:val="fi-FI"/>
        </w:rPr>
        <w:t>oonaa</w:t>
      </w:r>
      <w:r w:rsidRPr="008D481A">
        <w:rPr>
          <w:color w:val="0F172B"/>
          <w:lang w:val="fi-FI"/>
        </w:rPr>
        <w:t xml:space="preserve"> euroa (</w:t>
      </w:r>
      <w:r w:rsidR="008E2412">
        <w:rPr>
          <w:color w:val="0F172B"/>
          <w:lang w:val="fi-FI"/>
        </w:rPr>
        <w:t>23</w:t>
      </w:r>
      <w:r w:rsidRPr="008D481A">
        <w:rPr>
          <w:color w:val="0F172B"/>
          <w:lang w:val="fi-FI"/>
        </w:rPr>
        <w:t>)</w:t>
      </w:r>
      <w:r>
        <w:rPr>
          <w:color w:val="0F172B"/>
          <w:lang w:val="fi-FI"/>
        </w:rPr>
        <w:t>.</w:t>
      </w:r>
    </w:p>
    <w:p/>
    <w:p w:rsidR="00734592" w:rsidRPr="00734592" w:rsidP="00734592" w14:paraId="08AAA1A7" w14:textId="57F70A8A">
      <w:pPr>
        <w:pStyle w:val="Heading12"/>
        <w:rPr>
          <w:lang w:val="fi-FI"/>
        </w:rPr>
      </w:pPr>
      <w:bookmarkStart w:id="1466" w:name="RG_MARKER_7462"/>
      <w:r w:rsidRPr="00734592">
        <w:rPr>
          <w:lang w:val="fi-FI"/>
        </w:rPr>
        <w:t xml:space="preserve">4.2. MYYNTISAAMISET JA SOPIMUKSEEN PERUSTUVAT VARAT JA </w:t>
      </w:r>
      <w:bookmarkEnd w:id="1466"/>
      <w:r>
        <w:rPr>
          <w:lang w:val="fi-FI"/>
        </w:rPr>
        <w:t>VELAT</w:t>
      </w:r>
    </w:p>
    <w:tbl>
      <w:tblPr>
        <w:tblStyle w:val="TableGrid"/>
        <w:tblW w:w="7371" w:type="dxa"/>
        <w:tblLook w:val="04A0"/>
      </w:tblPr>
      <w:tblGrid>
        <w:gridCol w:w="7371"/>
      </w:tblGrid>
      <w:tr w14:paraId="216DE6A8" w14:textId="77777777" w:rsidTr="00734592">
        <w:tblPrEx>
          <w:tblW w:w="7371" w:type="dxa"/>
          <w:tblLook w:val="04A0"/>
        </w:tblPrEx>
        <w:tc>
          <w:tcPr>
            <w:tcW w:w="6683" w:type="dxa"/>
            <w:tcBorders>
              <w:top w:val="nil"/>
              <w:left w:val="nil"/>
              <w:bottom w:val="nil"/>
              <w:right w:val="nil"/>
            </w:tcBorders>
            <w:shd w:val="clear" w:color="auto" w:fill="B6C8D1"/>
          </w:tcPr>
          <w:p w:rsidR="00734592" w:rsidRPr="004977E7" w:rsidP="00734592" w14:paraId="150843F6" w14:textId="653F49AF">
            <w:pPr>
              <w:pStyle w:val="Heading13"/>
              <w:rPr>
                <w:lang w:val="fi-FI" w:eastAsia="fi-FI"/>
              </w:rPr>
            </w:pPr>
            <w:r w:rsidRPr="004977E7">
              <w:rPr>
                <w:lang w:val="fi-FI" w:eastAsia="fi-FI"/>
              </w:rPr>
              <w:t>Laadintaperiaatteet</w:t>
            </w:r>
          </w:p>
          <w:p w:rsidR="00585537" w:rsidP="00585537" w14:paraId="39527C9F" w14:textId="112DA8AF">
            <w:pPr>
              <w:pStyle w:val="Bodytext2"/>
              <w:rPr>
                <w:rFonts w:eastAsiaTheme="minorEastAsia"/>
                <w:lang w:val="fi-FI" w:eastAsia="fi-FI"/>
              </w:rPr>
            </w:pPr>
            <w:r w:rsidRPr="00E44F77">
              <w:rPr>
                <w:lang w:val="fi-FI" w:eastAsia="fi-FI"/>
              </w:rPr>
              <w:t>Myyntisaami</w:t>
            </w:r>
            <w:r w:rsidRPr="00E44F77" w:rsidR="007A2759">
              <w:rPr>
                <w:lang w:val="fi-FI" w:eastAsia="fi-FI"/>
              </w:rPr>
              <w:t>nen</w:t>
            </w:r>
            <w:r w:rsidRPr="00E44F77">
              <w:rPr>
                <w:lang w:val="fi-FI" w:eastAsia="fi-FI"/>
              </w:rPr>
              <w:t xml:space="preserve"> kirjataan, kun oikeus vastikkeeseen on </w:t>
            </w:r>
            <w:r w:rsidRPr="00E44F77" w:rsidR="007A2759">
              <w:rPr>
                <w:lang w:val="fi-FI" w:eastAsia="fi-FI"/>
              </w:rPr>
              <w:t xml:space="preserve">ehdoton. Konsernin myyntisaamiset kirjataan jaksotettuun hankintamenoon, joka on alkuperäinen laskutusarvo vähennettynä arvon alentumisesta johtuvalla vähennyserällä. </w:t>
            </w:r>
            <w:r w:rsidRPr="00E44F77" w:rsidR="007A2759">
              <w:rPr>
                <w:rFonts w:eastAsiaTheme="minorEastAsia"/>
                <w:lang w:val="fi-FI" w:eastAsia="fi-FI"/>
              </w:rPr>
              <w:t>Luottoriskin kohoamista arvioidaan jaksotettuun hankintamenoon kirjattavien sijoitusten ja muiden saamisten osalta tilinpäätöspäivänä. Sovellettava menetelmä määritetään luottoriskin mahdollisen kohoamisen perusteella</w:t>
            </w:r>
            <w:r w:rsidRPr="00624596" w:rsidR="007A2759">
              <w:rPr>
                <w:rFonts w:eastAsiaTheme="minorEastAsia"/>
                <w:lang w:val="fi-FI" w:eastAsia="fi-FI"/>
              </w:rPr>
              <w:t xml:space="preserve">. </w:t>
            </w:r>
            <w:r w:rsidRPr="00624596">
              <w:rPr>
                <w:rFonts w:eastAsiaTheme="minorEastAsia"/>
                <w:lang w:val="fi-FI" w:eastAsia="fi-FI"/>
              </w:rPr>
              <w:t>Kun merkittävää luottoriskin kohoamista ei ole</w:t>
            </w:r>
            <w:r>
              <w:rPr>
                <w:rFonts w:eastAsiaTheme="minorEastAsia"/>
                <w:lang w:val="fi-FI" w:eastAsia="fi-FI"/>
              </w:rPr>
              <w:t xml:space="preserve">, arvioidaan </w:t>
            </w:r>
            <w:r w:rsidRPr="00585537">
              <w:rPr>
                <w:rFonts w:eastAsiaTheme="minorEastAsia"/>
                <w:lang w:val="fi-FI" w:eastAsia="fi-FI"/>
              </w:rPr>
              <w:t xml:space="preserve">tappiota koskeva vähennyserä </w:t>
            </w:r>
            <w:r>
              <w:rPr>
                <w:rFonts w:eastAsiaTheme="minorEastAsia"/>
                <w:lang w:val="fi-FI" w:eastAsia="fi-FI"/>
              </w:rPr>
              <w:t xml:space="preserve">raportointipäivänä siihen </w:t>
            </w:r>
            <w:r w:rsidRPr="00585537">
              <w:rPr>
                <w:rFonts w:eastAsiaTheme="minorEastAsia"/>
                <w:lang w:val="fi-FI" w:eastAsia="fi-FI"/>
              </w:rPr>
              <w:t>määrään,</w:t>
            </w:r>
            <w:r>
              <w:rPr>
                <w:rFonts w:eastAsiaTheme="minorEastAsia"/>
                <w:lang w:val="fi-FI" w:eastAsia="fi-FI"/>
              </w:rPr>
              <w:t xml:space="preserve"> </w:t>
            </w:r>
            <w:r w:rsidRPr="00585537">
              <w:rPr>
                <w:rFonts w:eastAsiaTheme="minorEastAsia"/>
                <w:lang w:val="fi-FI" w:eastAsia="fi-FI"/>
              </w:rPr>
              <w:t>jok</w:t>
            </w:r>
            <w:r w:rsidRPr="00585537">
              <w:rPr>
                <w:rFonts w:eastAsiaTheme="minorEastAsia"/>
                <w:lang w:val="fi-FI" w:eastAsia="fi-FI"/>
              </w:rPr>
              <w:t>a vastaa koko voimassaoloajalta odotettavissa olevia luottotappioita</w:t>
            </w:r>
            <w:r>
              <w:rPr>
                <w:rFonts w:eastAsiaTheme="minorEastAsia"/>
                <w:lang w:val="fi-FI" w:eastAsia="fi-FI"/>
              </w:rPr>
              <w:t>.</w:t>
            </w:r>
          </w:p>
          <w:p w:rsidR="00585537" w:rsidP="007A2759" w14:paraId="1EA883E7" w14:textId="77777777">
            <w:pPr>
              <w:pStyle w:val="Bodytext2"/>
              <w:rPr>
                <w:rFonts w:eastAsiaTheme="minorEastAsia"/>
                <w:lang w:val="fi-FI" w:eastAsia="fi-FI"/>
              </w:rPr>
            </w:pPr>
          </w:p>
          <w:p w:rsidR="00624596" w:rsidRPr="0012573E" w:rsidP="00624596" w14:paraId="54C34A92" w14:textId="50466648">
            <w:pPr>
              <w:pStyle w:val="Bodytext2"/>
              <w:rPr>
                <w:rFonts w:eastAsiaTheme="minorEastAsia"/>
                <w:lang w:val="fi-FI" w:eastAsia="fi-FI"/>
              </w:rPr>
            </w:pPr>
            <w:r w:rsidRPr="00624596">
              <w:rPr>
                <w:rFonts w:eastAsiaTheme="minorEastAsia"/>
                <w:lang w:val="fi-FI" w:eastAsia="fi-FI"/>
              </w:rPr>
              <w:t>Myyntisaamisten ja</w:t>
            </w:r>
            <w:r>
              <w:rPr>
                <w:rFonts w:eastAsiaTheme="minorEastAsia"/>
                <w:lang w:val="fi-FI" w:eastAsia="fi-FI"/>
              </w:rPr>
              <w:t xml:space="preserve"> sopimukseen perustuvien varojen </w:t>
            </w:r>
            <w:r w:rsidRPr="00624596">
              <w:rPr>
                <w:rFonts w:eastAsiaTheme="minorEastAsia"/>
                <w:lang w:val="fi-FI" w:eastAsia="fi-FI"/>
              </w:rPr>
              <w:t>osalta käytetään yksinkertaistettua mallia, jossa luottotappioiden arvioitu määrä perustuu saamis</w:t>
            </w:r>
            <w:r w:rsidR="00A67995">
              <w:rPr>
                <w:rFonts w:eastAsiaTheme="minorEastAsia"/>
                <w:lang w:val="fi-FI" w:eastAsia="fi-FI"/>
              </w:rPr>
              <w:t>ista niide</w:t>
            </w:r>
            <w:r w:rsidRPr="00624596">
              <w:rPr>
                <w:rFonts w:eastAsiaTheme="minorEastAsia"/>
                <w:lang w:val="fi-FI" w:eastAsia="fi-FI"/>
              </w:rPr>
              <w:t xml:space="preserve">n </w:t>
            </w:r>
            <w:r>
              <w:rPr>
                <w:rFonts w:eastAsiaTheme="minorEastAsia"/>
                <w:lang w:val="fi-FI" w:eastAsia="fi-FI"/>
              </w:rPr>
              <w:t>voimassaoloaikana</w:t>
            </w:r>
            <w:r w:rsidRPr="00624596">
              <w:rPr>
                <w:rFonts w:eastAsiaTheme="minorEastAsia"/>
                <w:lang w:val="fi-FI" w:eastAsia="fi-FI"/>
              </w:rPr>
              <w:t xml:space="preserve"> odotett</w:t>
            </w:r>
            <w:r>
              <w:rPr>
                <w:rFonts w:eastAsiaTheme="minorEastAsia"/>
                <w:lang w:val="fi-FI" w:eastAsia="fi-FI"/>
              </w:rPr>
              <w:t>uihin</w:t>
            </w:r>
            <w:r w:rsidRPr="00624596">
              <w:rPr>
                <w:rFonts w:eastAsiaTheme="minorEastAsia"/>
                <w:lang w:val="fi-FI" w:eastAsia="fi-FI"/>
              </w:rPr>
              <w:t xml:space="preserve"> luottotappioihin. </w:t>
            </w:r>
            <w:r>
              <w:rPr>
                <w:rFonts w:eastAsiaTheme="minorEastAsia"/>
                <w:lang w:val="fi-FI" w:eastAsia="fi-FI"/>
              </w:rPr>
              <w:t xml:space="preserve">Odotettujen luottotappioiden määrittelyyn konserni käyttää varausmatriisia, jossa saatavat on eroteltu ikäjakauman ja alkuperän perusteella. Konsernilla on tehokas perintäprosessi, mikä alentaa mahdollisten luottotappioiden riskiä. </w:t>
            </w:r>
            <w:r>
              <w:rPr>
                <w:rFonts w:eastAsiaTheme="minorEastAsia"/>
                <w:lang w:val="fi-FI" w:eastAsia="fi-FI"/>
              </w:rPr>
              <w:t>Riskiä pienentävät myös käytössä olevat ennakkomaksut ja maksusitoumukset. Luottotappioasteen määrää arvioitaessa konserni huomioi</w:t>
            </w:r>
            <w:r w:rsidR="00A67995">
              <w:rPr>
                <w:rFonts w:eastAsiaTheme="minorEastAsia"/>
                <w:lang w:val="fi-FI" w:eastAsia="fi-FI"/>
              </w:rPr>
              <w:t xml:space="preserve"> kunkin kategorian osalta kokemuksensa aikaisemmin t</w:t>
            </w:r>
            <w:r>
              <w:rPr>
                <w:rFonts w:eastAsiaTheme="minorEastAsia"/>
                <w:lang w:val="fi-FI" w:eastAsia="fi-FI"/>
              </w:rPr>
              <w:t>oteutunei</w:t>
            </w:r>
            <w:r w:rsidR="00A67995">
              <w:rPr>
                <w:rFonts w:eastAsiaTheme="minorEastAsia"/>
                <w:lang w:val="fi-FI" w:eastAsia="fi-FI"/>
              </w:rPr>
              <w:t>sta</w:t>
            </w:r>
            <w:r>
              <w:rPr>
                <w:rFonts w:eastAsiaTheme="minorEastAsia"/>
                <w:lang w:val="fi-FI" w:eastAsia="fi-FI"/>
              </w:rPr>
              <w:t xml:space="preserve"> luottotappioi</w:t>
            </w:r>
            <w:r w:rsidR="00A67995">
              <w:rPr>
                <w:rFonts w:eastAsiaTheme="minorEastAsia"/>
                <w:lang w:val="fi-FI" w:eastAsia="fi-FI"/>
              </w:rPr>
              <w:t>sta</w:t>
            </w:r>
            <w:r>
              <w:rPr>
                <w:rFonts w:eastAsiaTheme="minorEastAsia"/>
                <w:lang w:val="fi-FI" w:eastAsia="fi-FI"/>
              </w:rPr>
              <w:t xml:space="preserve"> </w:t>
            </w:r>
            <w:r w:rsidR="00A67995">
              <w:rPr>
                <w:rFonts w:eastAsiaTheme="minorEastAsia"/>
                <w:lang w:val="fi-FI" w:eastAsia="fi-FI"/>
              </w:rPr>
              <w:t>sekä oikaisee niitä tulevaisuuteen suuntautuvan makrotaloudellisen datan perusteella.Tämän analyysin pohjalta erääntymättömi</w:t>
            </w:r>
            <w:r w:rsidR="0012573E">
              <w:rPr>
                <w:rFonts w:eastAsiaTheme="minorEastAsia"/>
                <w:lang w:val="fi-FI" w:eastAsia="fi-FI"/>
              </w:rPr>
              <w:t>lle</w:t>
            </w:r>
            <w:r w:rsidR="00A67995">
              <w:rPr>
                <w:rFonts w:eastAsiaTheme="minorEastAsia"/>
                <w:lang w:val="fi-FI" w:eastAsia="fi-FI"/>
              </w:rPr>
              <w:t xml:space="preserve"> </w:t>
            </w:r>
            <w:r w:rsidR="0012573E">
              <w:rPr>
                <w:rFonts w:eastAsiaTheme="minorEastAsia"/>
                <w:lang w:val="fi-FI" w:eastAsia="fi-FI"/>
              </w:rPr>
              <w:t xml:space="preserve">ja enintään 359 päivää erääntyneille myyntisaataville tehdään 0,1%–2,0%:n arvonalentuminen. Lisäksi yli 360 päivää erääntyneiden myyntisaatavien arvonalentuminen arvioidaan saatavakohtaisesti. </w:t>
            </w:r>
            <w:r w:rsidRPr="0012573E">
              <w:rPr>
                <w:rFonts w:eastAsiaTheme="minorEastAsia"/>
                <w:lang w:val="fi-FI" w:eastAsia="fi-FI"/>
              </w:rPr>
              <w:t>Esimerkkejä arvonalentumiseen johtavista tapahtumista ovat vela</w:t>
            </w:r>
            <w:r w:rsidRPr="0012573E">
              <w:rPr>
                <w:rFonts w:eastAsiaTheme="minorEastAsia"/>
                <w:lang w:val="fi-FI" w:eastAsia="fi-FI"/>
              </w:rPr>
              <w:t>llisen vakavat taloudelliset ongelmat ja velallisen todennäköinen konkurssi tai muu taloudellinen järjestely.</w:t>
            </w:r>
          </w:p>
          <w:p w:rsidR="00734592" w14:paraId="76C91313" w14:textId="11C7F916">
            <w:pPr>
              <w:pStyle w:val="Bodytext2"/>
              <w:rPr>
                <w:rFonts w:eastAsiaTheme="minorEastAsia"/>
                <w:lang w:val="fi-FI" w:eastAsia="fi-FI"/>
              </w:rPr>
            </w:pPr>
          </w:p>
          <w:p w:rsidR="00734592" w14:paraId="1AEDBF22" w14:textId="26AA2211">
            <w:pPr>
              <w:pStyle w:val="Bodytext2"/>
              <w:rPr>
                <w:rFonts w:eastAsiaTheme="minorEastAsia"/>
                <w:lang w:val="fi-FI" w:eastAsia="fi-FI"/>
              </w:rPr>
            </w:pPr>
            <w:r>
              <w:rPr>
                <w:rFonts w:eastAsiaTheme="minorEastAsia"/>
                <w:lang w:val="fi-FI" w:eastAsia="fi-FI"/>
              </w:rPr>
              <w:t>Myyntisaatavat alaskirjataan pysyvästi, kun niitä ei kohtuudella odoteta saatavan.</w:t>
            </w:r>
          </w:p>
          <w:p w:rsidR="0012573E" w14:paraId="67E9B440" w14:textId="0BB4DF6F">
            <w:pPr>
              <w:pStyle w:val="Bodytext2"/>
              <w:rPr>
                <w:rFonts w:eastAsiaTheme="minorEastAsia"/>
                <w:lang w:val="fi-FI" w:eastAsia="fi-FI"/>
              </w:rPr>
            </w:pPr>
          </w:p>
          <w:p w:rsidR="0012573E" w:rsidRPr="0012573E" w14:paraId="34EC532E" w14:textId="00466D59">
            <w:pPr>
              <w:pStyle w:val="Bodytext2"/>
              <w:rPr>
                <w:rFonts w:eastAsiaTheme="minorEastAsia"/>
                <w:lang w:val="fi-FI" w:eastAsia="fi-FI"/>
              </w:rPr>
            </w:pPr>
            <w:r w:rsidRPr="0012573E">
              <w:rPr>
                <w:rFonts w:eastAsiaTheme="minorEastAsia"/>
                <w:lang w:val="fi-FI" w:eastAsia="fi-FI"/>
              </w:rPr>
              <w:t>Konserni voi myydä myyntisaamisten jakamattomia osuuksia sekä</w:t>
            </w:r>
            <w:r w:rsidRPr="0012573E">
              <w:rPr>
                <w:rFonts w:eastAsiaTheme="minorEastAsia"/>
                <w:lang w:val="fi-FI" w:eastAsia="fi-FI"/>
              </w:rPr>
              <w:t xml:space="preserve"> jatkuvasti että kertaluonteisesti rahoitusyhtiöille. Myydyt myyntisaamiset kirjataan pois taseesta, kun ostaja on suorittanut maksun myyntisaamisista ja kun kaikki omistamiseen liittyvät olennaiset riskit ja edut ovat siirtyneet ostajalle. Jos myyntisaami</w:t>
            </w:r>
            <w:r w:rsidRPr="0012573E">
              <w:rPr>
                <w:rFonts w:eastAsiaTheme="minorEastAsia"/>
                <w:lang w:val="fi-FI" w:eastAsia="fi-FI"/>
              </w:rPr>
              <w:t>seen liittyvä omistajuus, riski ja hallintaoikeus eivät ole siirtyneet, kirjataan tällaiset saamiset takaisin taseeseen kauden lopussa.</w:t>
            </w:r>
          </w:p>
          <w:p w:rsidR="00734592" w:rsidRPr="007B744F" w14:paraId="66D4D545" w14:textId="77777777">
            <w:pPr>
              <w:pStyle w:val="Bodytext2"/>
              <w:rPr>
                <w:rFonts w:eastAsiaTheme="minorEastAsia"/>
                <w:lang w:val="fi-FI" w:eastAsia="fi-FI"/>
              </w:rPr>
            </w:pPr>
          </w:p>
          <w:p w:rsidR="004977E7" w:rsidRPr="007B744F" w:rsidP="004977E7" w14:paraId="5AF59782" w14:textId="0C461C5E">
            <w:pPr>
              <w:pStyle w:val="Bodytext2"/>
              <w:rPr>
                <w:color w:val="auto"/>
                <w:lang w:val="fi-FI"/>
              </w:rPr>
            </w:pPr>
            <w:r w:rsidRPr="007B744F">
              <w:rPr>
                <w:color w:val="auto"/>
                <w:lang w:val="fi-FI"/>
              </w:rPr>
              <w:t xml:space="preserve">Sopimukseen perustuvat varat ja velat </w:t>
            </w:r>
            <w:r w:rsidRPr="007B744F" w:rsidR="007B744F">
              <w:rPr>
                <w:color w:val="auto"/>
                <w:lang w:val="fi-FI"/>
              </w:rPr>
              <w:t>liittyvät asiakassopimuksiin</w:t>
            </w:r>
            <w:r w:rsidRPr="007B744F">
              <w:rPr>
                <w:color w:val="auto"/>
                <w:lang w:val="fi-FI"/>
              </w:rPr>
              <w:t>.</w:t>
            </w:r>
          </w:p>
          <w:p w:rsidR="004977E7" w:rsidRPr="004977E7" w:rsidP="004977E7" w14:paraId="3A3267C9" w14:textId="77777777">
            <w:pPr>
              <w:pStyle w:val="Bodytext2"/>
              <w:rPr>
                <w:lang w:val="fi-FI"/>
              </w:rPr>
            </w:pPr>
          </w:p>
          <w:p w:rsidR="004977E7" w:rsidP="004977E7" w14:paraId="1AC2317E" w14:textId="40BC89EE">
            <w:pPr>
              <w:pStyle w:val="Bodytext2"/>
              <w:rPr>
                <w:lang w:val="fi-FI"/>
              </w:rPr>
            </w:pPr>
            <w:r w:rsidRPr="004977E7">
              <w:rPr>
                <w:lang w:val="fi-FI"/>
              </w:rPr>
              <w:t>Kun tavaroiden tai palveluiden hallinta siirretään</w:t>
            </w:r>
            <w:r w:rsidRPr="004977E7">
              <w:rPr>
                <w:lang w:val="fi-FI"/>
              </w:rPr>
              <w:t xml:space="preserve"> asiakkaalle ennen kuin asiakas maksaa vastikkeen, saaminen kirjataan sopimukseen </w:t>
            </w:r>
            <w:r w:rsidR="007B744F">
              <w:rPr>
                <w:lang w:val="fi-FI"/>
              </w:rPr>
              <w:t>perustuvaksi</w:t>
            </w:r>
            <w:r w:rsidRPr="004977E7">
              <w:rPr>
                <w:lang w:val="fi-FI"/>
              </w:rPr>
              <w:t xml:space="preserve"> </w:t>
            </w:r>
            <w:r>
              <w:rPr>
                <w:lang w:val="fi-FI"/>
              </w:rPr>
              <w:t>varak</w:t>
            </w:r>
            <w:r w:rsidRPr="004977E7">
              <w:rPr>
                <w:lang w:val="fi-FI"/>
              </w:rPr>
              <w:t>si</w:t>
            </w:r>
            <w:r w:rsidR="007B744F">
              <w:rPr>
                <w:lang w:val="fi-FI"/>
              </w:rPr>
              <w:t>, joka</w:t>
            </w:r>
            <w:r w:rsidRPr="004977E7">
              <w:rPr>
                <w:lang w:val="fi-FI"/>
              </w:rPr>
              <w:t xml:space="preserve"> käsittää oikeuden tulevaisuudessa saatavaan vastikkeeseen.</w:t>
            </w:r>
            <w:r>
              <w:rPr>
                <w:lang w:val="fi-FI"/>
              </w:rPr>
              <w:t xml:space="preserve"> Sopimukseen perustuvat varat liittyvät ensisijaisesti konsernin oikeuteen saada vastike </w:t>
            </w:r>
            <w:r>
              <w:rPr>
                <w:lang w:val="fi-FI"/>
              </w:rPr>
              <w:t xml:space="preserve">jo luovutetuista tavaroista ja palveluista, joita ei kuitenkaan ole vielä raportointipäivänä laskutettu. Sopimukseen perustuvat varat siirretään </w:t>
            </w:r>
            <w:r w:rsidR="007B744F">
              <w:rPr>
                <w:lang w:val="fi-FI"/>
              </w:rPr>
              <w:t>myynti</w:t>
            </w:r>
            <w:r>
              <w:rPr>
                <w:lang w:val="fi-FI"/>
              </w:rPr>
              <w:t>saamisiin</w:t>
            </w:r>
            <w:r w:rsidR="00E44F77">
              <w:rPr>
                <w:lang w:val="fi-FI"/>
              </w:rPr>
              <w:t xml:space="preserve">, kun oikeus vastikkeeseen on ehdoton. </w:t>
            </w:r>
          </w:p>
          <w:p w:rsidR="004977E7" w:rsidRPr="004977E7" w:rsidP="004977E7" w14:paraId="1A93E7F8" w14:textId="77777777">
            <w:pPr>
              <w:pStyle w:val="Bodytext2"/>
              <w:rPr>
                <w:lang w:val="fi-FI"/>
              </w:rPr>
            </w:pPr>
          </w:p>
          <w:p w:rsidR="00734592" w:rsidRPr="006D4DC4" w:rsidP="00E44F77" w14:paraId="6FB22CCF" w14:textId="053DD7C2">
            <w:pPr>
              <w:pStyle w:val="Bodytext2"/>
              <w:rPr>
                <w:lang w:val="fi-FI"/>
              </w:rPr>
            </w:pPr>
            <w:r w:rsidRPr="004977E7">
              <w:rPr>
                <w:lang w:val="fi-FI"/>
              </w:rPr>
              <w:t xml:space="preserve">Kun asiakas maksaa vastikkeen etukäteen tai </w:t>
            </w:r>
            <w:r w:rsidRPr="004977E7">
              <w:rPr>
                <w:lang w:val="fi-FI"/>
              </w:rPr>
              <w:t>vastike erääntyy maksettavaksi ennen kuin sopimuksen mukainen suorit</w:t>
            </w:r>
            <w:r>
              <w:rPr>
                <w:lang w:val="fi-FI"/>
              </w:rPr>
              <w:t xml:space="preserve">evelvoite </w:t>
            </w:r>
            <w:r w:rsidRPr="004977E7">
              <w:rPr>
                <w:lang w:val="fi-FI"/>
              </w:rPr>
              <w:t>täytetään, etukäteen saatu määrä esitetään sopimu</w:t>
            </w:r>
            <w:r w:rsidR="003C1CF2">
              <w:rPr>
                <w:lang w:val="fi-FI"/>
              </w:rPr>
              <w:t xml:space="preserve">kseen perustuvana </w:t>
            </w:r>
            <w:r w:rsidRPr="004977E7">
              <w:rPr>
                <w:lang w:val="fi-FI"/>
              </w:rPr>
              <w:t>velkana</w:t>
            </w:r>
            <w:r w:rsidR="003C1CF2">
              <w:rPr>
                <w:lang w:val="fi-FI"/>
              </w:rPr>
              <w:t xml:space="preserve">, </w:t>
            </w:r>
            <w:r w:rsidR="003C1CF2">
              <w:rPr>
                <w:lang w:val="fi-FI"/>
              </w:rPr>
              <w:t xml:space="preserve">jotka </w:t>
            </w:r>
            <w:r w:rsidRPr="00E44F77">
              <w:rPr>
                <w:lang w:val="fi-FI"/>
              </w:rPr>
              <w:t>kirjataan tuotoiksi, kun konserni suorittaa sopimuksen mukaisen suoritteen.</w:t>
            </w:r>
            <w:r w:rsidRPr="00E44F77" w:rsidR="00E44F77">
              <w:rPr>
                <w:lang w:val="fi-FI"/>
              </w:rPr>
              <w:t xml:space="preserve"> Saadut ennakot ja tuloennakot liittyvät saatuihin maksuihin tai kirjattuja m</w:t>
            </w:r>
            <w:r w:rsidR="00E44F77">
              <w:rPr>
                <w:lang w:val="fi-FI"/>
              </w:rPr>
              <w:t>yyntituloja suurempiin laskutusmääriin.</w:t>
            </w:r>
          </w:p>
        </w:tc>
      </w:tr>
    </w:tbl>
    <w:p w:rsidR="00734592" w:rsidP="00734592" w14:paraId="10366C6A" w14:textId="237E2A12">
      <w:pPr>
        <w:pStyle w:val="Bodytext2"/>
        <w:rPr>
          <w:lang w:val="fi-FI"/>
        </w:rPr>
      </w:pPr>
    </w:p>
    <w:tbl>
      <w:tblPr>
        <w:tblStyle w:val="TableGrid"/>
        <w:tblW w:w="7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7DFE1"/>
        <w:tblLook w:val="04A0"/>
      </w:tblPr>
      <w:tblGrid>
        <w:gridCol w:w="7371"/>
      </w:tblGrid>
      <w:tr w14:paraId="040C8FE7" w14:textId="77777777" w:rsidTr="006D4DC4">
        <w:tblPrEx>
          <w:tblW w:w="7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7DFE1"/>
          <w:tblLook w:val="04A0"/>
        </w:tblPrEx>
        <w:tc>
          <w:tcPr>
            <w:tcW w:w="7360" w:type="dxa"/>
            <w:shd w:val="clear" w:color="auto" w:fill="D7DFE1"/>
          </w:tcPr>
          <w:p w:rsidR="006D4DC4" w:rsidP="006D4DC4" w14:paraId="2EFEFA5D" w14:textId="77777777">
            <w:pPr>
              <w:pStyle w:val="Heading13"/>
              <w:rPr>
                <w:rFonts w:eastAsiaTheme="minorEastAsia" w:cstheme="minorHAnsi"/>
                <w:lang w:val="fi-FI" w:eastAsia="fi-FI"/>
              </w:rPr>
            </w:pPr>
            <w:r>
              <w:rPr>
                <w:lang w:val="fi-FI"/>
              </w:rPr>
              <w:t>Kirjanpidolliset arviot ja harkinnat</w:t>
            </w:r>
          </w:p>
          <w:p w:rsidR="006D4DC4" w:rsidRPr="00E44F77" w:rsidP="006D4DC4" w14:paraId="06D78839" w14:textId="77777777">
            <w:pPr>
              <w:pStyle w:val="Bodytext2"/>
              <w:rPr>
                <w:lang w:val="fi-FI"/>
              </w:rPr>
            </w:pPr>
            <w:r w:rsidRPr="00E44F77">
              <w:rPr>
                <w:lang w:val="fi-FI"/>
              </w:rPr>
              <w:t>Arvioidut luottotappiovaraukset perustuvat johdon parhaaseen näkemykseen</w:t>
            </w:r>
            <w:r>
              <w:rPr>
                <w:lang w:val="fi-FI"/>
              </w:rPr>
              <w:t xml:space="preserve">, mikä kattaa kokemuksen menneestä sekä </w:t>
            </w:r>
            <w:r>
              <w:rPr>
                <w:lang w:val="fi-FI"/>
              </w:rPr>
              <w:t>tulevaisuuteen suuntautuvan ymmärryksen asiakkaiden maksukäyttäytymisestä ja taloudellisesta tilanteesta.</w:t>
            </w:r>
          </w:p>
          <w:p w:rsidR="006D4DC4" w:rsidRPr="00E44F77" w:rsidP="006D4DC4" w14:paraId="15919C4C" w14:textId="77777777">
            <w:pPr>
              <w:pStyle w:val="Bodytext2"/>
              <w:rPr>
                <w:rFonts w:eastAsiaTheme="minorEastAsia"/>
                <w:lang w:val="fi-FI" w:eastAsia="fi-FI"/>
              </w:rPr>
            </w:pPr>
          </w:p>
          <w:p w:rsidR="006D4DC4" w:rsidP="006D4DC4" w14:paraId="4591C3AD" w14:textId="0E25BBD2">
            <w:pPr>
              <w:pStyle w:val="Bodytext2"/>
              <w:rPr>
                <w:lang w:val="fi-FI"/>
              </w:rPr>
            </w:pPr>
            <w:r w:rsidRPr="00E44F77">
              <w:rPr>
                <w:lang w:val="fi-FI"/>
              </w:rPr>
              <w:t>Asiakassopimuksiin liittyvien maksujen saamisen todennäköisyyden arvioiminen edellyttää harkintaa, ja se voi vaikuttaa tulojen kirjaamisen ajankohtaa</w:t>
            </w:r>
            <w:r w:rsidRPr="00E44F77">
              <w:rPr>
                <w:lang w:val="fi-FI"/>
              </w:rPr>
              <w:t>n ja määrään.</w:t>
            </w:r>
          </w:p>
        </w:tc>
      </w:tr>
    </w:tbl>
    <w:p w:rsidR="006D4DC4" w:rsidP="00734592" w14:paraId="73D2EE38" w14:textId="77777777">
      <w:pPr>
        <w:pStyle w:val="Bodytext2"/>
        <w:rPr>
          <w:lang w:val="fi-FI"/>
        </w:rPr>
      </w:pPr>
    </w:p>
    <w:p w:rsidR="00734592" w:rsidRPr="00734592" w:rsidP="00734592" w14:paraId="12E9C686" w14:textId="3F499671">
      <w:pPr>
        <w:pStyle w:val="Heading13"/>
        <w:rPr>
          <w:lang w:val="fi-FI"/>
        </w:rPr>
      </w:pPr>
      <w:r w:rsidRPr="00734592">
        <w:rPr>
          <w:lang w:val="fi-FI"/>
        </w:rPr>
        <w:t>Sopimukseen perustuvat varat ja ve</w:t>
      </w:r>
      <w:r>
        <w:rPr>
          <w:lang w:val="fi-FI"/>
        </w:rPr>
        <w:t>lat</w:t>
      </w:r>
    </w:p>
    <w:p w:rsidR="00734592" w:rsidRPr="00734592" w:rsidP="00734592" w14:paraId="2D71B602" w14:textId="77777777">
      <w:pPr>
        <w:pStyle w:val="Bodytext2"/>
        <w:rPr>
          <w:lang w:val="fi-FI"/>
        </w:rPr>
      </w:pPr>
    </w:p>
    <w:tbl>
      <w:tblPr>
        <w:tblStyle w:val="TableNormal"/>
        <w:tblCaption w:val="table_contract_balances"/>
        <w:tblW w:w="7320" w:type="dxa"/>
        <w:tblLayout w:type="fixed"/>
        <w:tblLook w:val="0600"/>
      </w:tblPr>
      <w:tblGrid>
        <w:gridCol w:w="4830"/>
        <w:gridCol w:w="1245"/>
        <w:gridCol w:w="1245"/>
      </w:tblGrid>
      <w:tr>
        <w:tblPrEx>
          <w:tblW w:w="7320" w:type="dxa"/>
          <w:tblLayout w:type="fixed"/>
          <w:tblLook w:val="0600"/>
        </w:tblPrEx>
        <w:trPr>
          <w:trHeight w:hRule="exact" w:val="240"/>
        </w:trPr>
        <w:tc>
          <w:tcPr>
            <w:tcW w:w="48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Myyntisaamiset</w:t>
            </w:r>
          </w:p>
        </w:tc>
        <w:tc>
          <w:tcPr>
            <w:tcW w:w="12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896</w:t>
            </w:r>
          </w:p>
        </w:tc>
        <w:tc>
          <w:tcPr>
            <w:tcW w:w="124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953</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Sopimukseen perustuvat varat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684</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389</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Sopimukseen perustuvat velat</w:t>
            </w: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Saadut ennakot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498</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452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Jaksotetut tuotot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770</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524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Myyntisaamiset ja sopimukseen perustuvat varat</w:t>
            </w: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Pitkäaikaiset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26</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Lyhytaikaiset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1 554</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1 311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Sopimukseen perustuvat velat</w:t>
            </w: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Pitkäaikaiset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37</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Lyhytaikaiset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1 231</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926</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Tilikauden aikana tuloutetut myyntituotot, jotka olivat mukana sopimukseen perustuvissa veloissa 1.1.</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926</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880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Täyttämättömät suoritevelvoitteet, kaikki tulotyypit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7 599</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6 748</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FFFFFF" w:fill="FFFFFF"/>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josta keskeneräisiin projekteihin ja sopimuksiin liittyvät jäljellä olevat suoritevelvoitteet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4 763</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3 898</w:t>
            </w:r>
          </w:p>
        </w:tc>
      </w:tr>
    </w:tbl>
    <w:p w:rsidR="00734592" w:rsidRPr="00CC2C82" w:rsidP="002968CD" w14:paraId="06354E7E" w14:textId="4E6FF360">
      <w:pPr>
        <w:pStyle w:val="Bodytext2"/>
        <w:rPr>
          <w:lang w:val="fi-FI"/>
        </w:rPr>
      </w:pPr>
      <w:r w:rsidRPr="00CC2C82">
        <w:rPr>
          <w:lang w:val="fi-FI"/>
        </w:rPr>
        <w:t>Sopimuks</w:t>
      </w:r>
      <w:r>
        <w:rPr>
          <w:lang w:val="fi-FI"/>
        </w:rPr>
        <w:t>ee</w:t>
      </w:r>
      <w:r w:rsidRPr="00CC2C82">
        <w:rPr>
          <w:lang w:val="fi-FI"/>
        </w:rPr>
        <w:t xml:space="preserve">n perustuvat varat ja velat liittyvät pitkäaikaisiin huoltosopimuksiin ja ajan kuluessa tuloutettaviin projekteihin, kuten kaasuratkaisujen toimitussopimuksiin, integroituihin ratkaisuihin, laivan suunnitteluun sekä voimalaratkaisuihin. </w:t>
      </w:r>
      <w:r w:rsidRPr="00CC2C82" w:rsidR="00DD0BA3">
        <w:rPr>
          <w:lang w:val="fi-FI"/>
        </w:rPr>
        <w:t>Sopimuks</w:t>
      </w:r>
      <w:r>
        <w:rPr>
          <w:lang w:val="fi-FI"/>
        </w:rPr>
        <w:t>ee</w:t>
      </w:r>
      <w:r w:rsidRPr="00CC2C82" w:rsidR="00DD0BA3">
        <w:rPr>
          <w:lang w:val="fi-FI"/>
        </w:rPr>
        <w:t xml:space="preserve">n perustuvien varojen </w:t>
      </w:r>
      <w:r>
        <w:rPr>
          <w:lang w:val="fi-FI"/>
        </w:rPr>
        <w:t>lisäys sekä jaksotettujen tuottojen lisäys</w:t>
      </w:r>
      <w:r w:rsidRPr="00CC2C82" w:rsidR="00DD0BA3">
        <w:rPr>
          <w:lang w:val="fi-FI"/>
        </w:rPr>
        <w:t xml:space="preserve"> liitty</w:t>
      </w:r>
      <w:r>
        <w:rPr>
          <w:lang w:val="fi-FI"/>
        </w:rPr>
        <w:t>vät</w:t>
      </w:r>
      <w:r w:rsidRPr="00CC2C82" w:rsidR="00DD0BA3">
        <w:rPr>
          <w:lang w:val="fi-FI"/>
        </w:rPr>
        <w:t xml:space="preserve"> tavanomaiseen liiketoiminnan vaihteluun etenkin Energy-liiketoiminnan projekteissa. </w:t>
      </w:r>
    </w:p>
    <w:p w:rsidR="002968CD" w:rsidRPr="00734592" w:rsidP="00734592" w14:paraId="12C62B88" w14:textId="77777777">
      <w:pPr>
        <w:pStyle w:val="Bodytext2"/>
        <w:rPr>
          <w:lang w:val="fi-FI"/>
        </w:rPr>
      </w:pPr>
    </w:p>
    <w:p w:rsidR="00734592" w:rsidRPr="00624596" w:rsidP="00734592" w14:paraId="4610DC1D" w14:textId="37980A36">
      <w:pPr>
        <w:pStyle w:val="Heading13"/>
        <w:rPr>
          <w:lang w:val="fi-FI"/>
        </w:rPr>
      </w:pPr>
      <w:r w:rsidRPr="00624596">
        <w:rPr>
          <w:lang w:val="fi-FI"/>
        </w:rPr>
        <w:t>Myyntisaamisten ikäjakauma</w:t>
      </w:r>
    </w:p>
    <w:p w:rsidR="00734592" w:rsidRPr="00624596" w:rsidP="00734592" w14:paraId="0FD9220D" w14:textId="77777777">
      <w:pPr>
        <w:pStyle w:val="Bodytext2"/>
        <w:rPr>
          <w:lang w:val="fi-FI"/>
        </w:rPr>
      </w:pPr>
    </w:p>
    <w:tbl>
      <w:tblPr>
        <w:tblStyle w:val="TableNormal"/>
        <w:tblCaption w:val="table_aging_trade_receivables"/>
        <w:tblW w:w="7230" w:type="dxa"/>
        <w:tblLayout w:type="fixed"/>
        <w:tblLook w:val="0600"/>
      </w:tblPr>
      <w:tblGrid>
        <w:gridCol w:w="3030"/>
        <w:gridCol w:w="1050"/>
        <w:gridCol w:w="1050"/>
        <w:gridCol w:w="1050"/>
        <w:gridCol w:w="1050"/>
      </w:tblGrid>
      <w:tr>
        <w:tblPrEx>
          <w:tblW w:w="7230" w:type="dxa"/>
          <w:tblLayout w:type="fixed"/>
          <w:tblLook w:val="0600"/>
        </w:tblPrEx>
        <w:trPr>
          <w:trHeight w:hRule="exact" w:val="240"/>
        </w:trPr>
        <w:tc>
          <w:tcPr>
            <w:tcW w:w="3030"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50"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50" w:type="dxa"/>
            <w:tcBorders>
              <w:top w:val="nil"/>
              <w:left w:val="nil"/>
              <w:bottom w:val="nil"/>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050"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50" w:type="dxa"/>
            <w:tcBorders>
              <w:top w:val="nil"/>
              <w:left w:val="nil"/>
              <w:bottom w:val="nil"/>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0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05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Myynti-</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saamiset</w:t>
            </w:r>
          </w:p>
        </w:tc>
        <w:tc>
          <w:tcPr>
            <w:tcW w:w="105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joista</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alaskirjattu</w:t>
            </w:r>
          </w:p>
        </w:tc>
        <w:tc>
          <w:tcPr>
            <w:tcW w:w="105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Myynti-</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saamiset</w:t>
            </w:r>
          </w:p>
        </w:tc>
        <w:tc>
          <w:tcPr>
            <w:tcW w:w="105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joista</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alaskirjattu</w:t>
            </w:r>
          </w:p>
        </w:tc>
      </w:tr>
      <w:tr>
        <w:tblPrEx>
          <w:tblW w:w="7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 xml:space="preserve">Erääntymättömät saamiset </w:t>
            </w:r>
          </w:p>
        </w:tc>
        <w:tc>
          <w:tcPr>
            <w:tcW w:w="105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692</w:t>
            </w:r>
          </w:p>
        </w:tc>
        <w:tc>
          <w:tcPr>
            <w:tcW w:w="105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105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657</w:t>
            </w:r>
          </w:p>
        </w:tc>
        <w:tc>
          <w:tcPr>
            <w:tcW w:w="105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 xml:space="preserve">1–30 päivää erääntyneet </w:t>
            </w:r>
          </w:p>
        </w:tc>
        <w:tc>
          <w:tcPr>
            <w:tcW w:w="105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93</w:t>
            </w:r>
          </w:p>
        </w:tc>
        <w:tc>
          <w:tcPr>
            <w:tcW w:w="105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105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112</w:t>
            </w:r>
          </w:p>
        </w:tc>
        <w:tc>
          <w:tcPr>
            <w:tcW w:w="10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 xml:space="preserve">31–180 päivää erääntyneet </w:t>
            </w:r>
          </w:p>
        </w:tc>
        <w:tc>
          <w:tcPr>
            <w:tcW w:w="105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89</w:t>
            </w:r>
          </w:p>
        </w:tc>
        <w:tc>
          <w:tcPr>
            <w:tcW w:w="105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05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123</w:t>
            </w:r>
          </w:p>
        </w:tc>
        <w:tc>
          <w:tcPr>
            <w:tcW w:w="105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 xml:space="preserve">181–360 päivää erääntyneet </w:t>
            </w:r>
          </w:p>
        </w:tc>
        <w:tc>
          <w:tcPr>
            <w:tcW w:w="105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w:t>
            </w:r>
          </w:p>
        </w:tc>
        <w:tc>
          <w:tcPr>
            <w:tcW w:w="105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105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29</w:t>
            </w:r>
          </w:p>
        </w:tc>
        <w:tc>
          <w:tcPr>
            <w:tcW w:w="105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r>
        <w:tblPrEx>
          <w:tblW w:w="7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Yli vuoden erääntyneet</w:t>
            </w:r>
          </w:p>
        </w:tc>
        <w:tc>
          <w:tcPr>
            <w:tcW w:w="105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85</w:t>
            </w:r>
          </w:p>
        </w:tc>
        <w:tc>
          <w:tcPr>
            <w:tcW w:w="105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75</w:t>
            </w:r>
          </w:p>
        </w:tc>
        <w:tc>
          <w:tcPr>
            <w:tcW w:w="105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93</w:t>
            </w:r>
          </w:p>
        </w:tc>
        <w:tc>
          <w:tcPr>
            <w:tcW w:w="105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56</w:t>
            </w:r>
          </w:p>
        </w:tc>
      </w:tr>
      <w:tr>
        <w:tblPrEx>
          <w:tblW w:w="7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05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975</w:t>
            </w:r>
          </w:p>
        </w:tc>
        <w:tc>
          <w:tcPr>
            <w:tcW w:w="105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79</w:t>
            </w:r>
          </w:p>
        </w:tc>
        <w:tc>
          <w:tcPr>
            <w:tcW w:w="1050"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1 014</w:t>
            </w:r>
          </w:p>
        </w:tc>
        <w:tc>
          <w:tcPr>
            <w:tcW w:w="1050"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61</w:t>
            </w:r>
          </w:p>
        </w:tc>
      </w:tr>
    </w:tbl>
    <w:p w:rsidR="00734592" w:rsidRPr="00350191" w:rsidP="00734592" w14:paraId="37D48AE4" w14:textId="77777777">
      <w:pPr>
        <w:pStyle w:val="Bodytext2"/>
        <w:rPr>
          <w:lang w:val="fi-FI"/>
        </w:rPr>
      </w:pPr>
    </w:p>
    <w:p w:rsidR="00734592" w:rsidRPr="00734592" w:rsidP="00734592" w14:paraId="6FE12D68" w14:textId="5FFE8563">
      <w:pPr>
        <w:pStyle w:val="Bodytext2"/>
        <w:rPr>
          <w:lang w:val="fi-FI"/>
        </w:rPr>
      </w:pPr>
      <w:r w:rsidRPr="00734592">
        <w:rPr>
          <w:lang w:val="fi-FI"/>
        </w:rPr>
        <w:t>Vuonna 20</w:t>
      </w:r>
      <w:r>
        <w:rPr>
          <w:lang w:val="fi-FI"/>
        </w:rPr>
        <w:t>21 tappioksi kirjattuj</w:t>
      </w:r>
      <w:r>
        <w:rPr>
          <w:lang w:val="fi-FI"/>
        </w:rPr>
        <w:t>en</w:t>
      </w:r>
      <w:r w:rsidRPr="00734592">
        <w:rPr>
          <w:lang w:val="fi-FI"/>
        </w:rPr>
        <w:t xml:space="preserve"> alaskirjausten tulosvaikutus oli </w:t>
      </w:r>
      <w:r>
        <w:rPr>
          <w:lang w:val="fi-FI"/>
        </w:rPr>
        <w:t>-6</w:t>
      </w:r>
      <w:r w:rsidRPr="00734592">
        <w:rPr>
          <w:lang w:val="fi-FI"/>
        </w:rPr>
        <w:t xml:space="preserve"> milj</w:t>
      </w:r>
      <w:r>
        <w:rPr>
          <w:lang w:val="fi-FI"/>
        </w:rPr>
        <w:t>oonaa</w:t>
      </w:r>
      <w:r w:rsidRPr="00734592">
        <w:rPr>
          <w:lang w:val="fi-FI"/>
        </w:rPr>
        <w:t xml:space="preserve"> euroa (</w:t>
      </w:r>
      <w:r>
        <w:rPr>
          <w:lang w:val="fi-FI"/>
        </w:rPr>
        <w:t>-5</w:t>
      </w:r>
      <w:r w:rsidRPr="00734592">
        <w:rPr>
          <w:lang w:val="fi-FI"/>
        </w:rPr>
        <w:t>).</w:t>
      </w:r>
    </w:p>
    <w:p w:rsidR="00734592" w:rsidRPr="00734592" w:rsidP="00734592" w14:paraId="2C97F428" w14:textId="77777777">
      <w:pPr>
        <w:pStyle w:val="Bodytext2"/>
        <w:rPr>
          <w:lang w:val="fi-FI"/>
        </w:rPr>
      </w:pPr>
    </w:p>
    <w:p w:rsidR="00734592" w:rsidRPr="00624596" w:rsidP="00734592" w14:paraId="5C7E624B" w14:textId="4D9F1839">
      <w:pPr>
        <w:pStyle w:val="Heading13"/>
        <w:rPr>
          <w:lang w:val="fi-FI"/>
        </w:rPr>
      </w:pPr>
      <w:r w:rsidRPr="00624596">
        <w:rPr>
          <w:lang w:val="fi-FI"/>
        </w:rPr>
        <w:t>Arvonalentumiset</w:t>
      </w:r>
    </w:p>
    <w:p w:rsidR="00734592" w:rsidRPr="00624596" w:rsidP="00734592" w14:paraId="778DC730" w14:textId="77777777">
      <w:pPr>
        <w:pStyle w:val="Bodytext2"/>
        <w:rPr>
          <w:lang w:val="fi-FI"/>
        </w:rPr>
      </w:pPr>
    </w:p>
    <w:tbl>
      <w:tblPr>
        <w:tblStyle w:val="TableNormal"/>
        <w:tblCaption w:val="table_impairment"/>
        <w:tblW w:w="7230" w:type="dxa"/>
        <w:tblLayout w:type="fixed"/>
        <w:tblLook w:val="0600"/>
      </w:tblPr>
      <w:tblGrid>
        <w:gridCol w:w="3030"/>
        <w:gridCol w:w="1050"/>
        <w:gridCol w:w="1050"/>
        <w:gridCol w:w="1050"/>
        <w:gridCol w:w="1050"/>
      </w:tblGrid>
      <w:tr>
        <w:tblPrEx>
          <w:tblW w:w="7230" w:type="dxa"/>
          <w:tblLayout w:type="fixed"/>
          <w:tblLook w:val="0600"/>
        </w:tblPrEx>
        <w:trPr>
          <w:trHeight w:hRule="exact" w:val="240"/>
        </w:trPr>
        <w:tc>
          <w:tcPr>
            <w:tcW w:w="30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050"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050"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05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05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130" w:type="dxa"/>
            <w:gridSpan w:val="3"/>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Arvonalentumiset 1.1.</w:t>
            </w:r>
          </w:p>
        </w:tc>
        <w:tc>
          <w:tcPr>
            <w:tcW w:w="105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61</w:t>
            </w:r>
          </w:p>
        </w:tc>
        <w:tc>
          <w:tcPr>
            <w:tcW w:w="105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61</w:t>
            </w:r>
          </w:p>
        </w:tc>
      </w:tr>
      <w:tr>
        <w:tblPrEx>
          <w:tblW w:w="7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130" w:type="dxa"/>
            <w:gridSpan w:val="3"/>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Saadut maksut</w:t>
            </w:r>
          </w:p>
        </w:tc>
        <w:tc>
          <w:tcPr>
            <w:tcW w:w="105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w:t>
            </w:r>
          </w:p>
        </w:tc>
        <w:tc>
          <w:tcPr>
            <w:tcW w:w="105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w:t>
            </w:r>
          </w:p>
        </w:tc>
      </w:tr>
      <w:tr>
        <w:tblPrEx>
          <w:tblW w:w="7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130" w:type="dxa"/>
            <w:gridSpan w:val="3"/>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Arvonalentumiset kauden aikana</w:t>
            </w:r>
          </w:p>
        </w:tc>
        <w:tc>
          <w:tcPr>
            <w:tcW w:w="105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38</w:t>
            </w:r>
          </w:p>
        </w:tc>
        <w:tc>
          <w:tcPr>
            <w:tcW w:w="105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34</w:t>
            </w:r>
          </w:p>
        </w:tc>
      </w:tr>
      <w:tr>
        <w:tblPrEx>
          <w:tblW w:w="7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130" w:type="dxa"/>
            <w:gridSpan w:val="3"/>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Tappioksi kirjatut alaskirjaukset</w:t>
            </w:r>
          </w:p>
        </w:tc>
        <w:tc>
          <w:tcPr>
            <w:tcW w:w="105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105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w:t>
            </w:r>
          </w:p>
        </w:tc>
      </w:tr>
      <w:tr>
        <w:tblPrEx>
          <w:tblW w:w="7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130" w:type="dxa"/>
            <w:gridSpan w:val="3"/>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Arvonalentumiset 31.12.</w:t>
            </w:r>
          </w:p>
        </w:tc>
        <w:tc>
          <w:tcPr>
            <w:tcW w:w="105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79</w:t>
            </w:r>
          </w:p>
        </w:tc>
        <w:tc>
          <w:tcPr>
            <w:tcW w:w="1050"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61</w:t>
            </w:r>
          </w:p>
        </w:tc>
      </w:tr>
    </w:tbl>
    <w:p w:rsidR="00734592" w:rsidRPr="00624596" w:rsidP="00734592" w14:paraId="705FDAF7" w14:textId="77777777">
      <w:pPr>
        <w:pStyle w:val="Bodytext2"/>
        <w:rPr>
          <w:lang w:val="fi-FI"/>
        </w:rPr>
      </w:pPr>
    </w:p>
    <w:p w:rsidR="004A0DF2" w:rsidRPr="00A44D6A" w:rsidP="00734592" w14:textId="563CC927">
      <w:pPr>
        <w:pStyle w:val="Bodytext2"/>
        <w:rPr>
          <w:sz w:val="2"/>
          <w:szCs w:val="2"/>
        </w:rPr>
      </w:pPr>
      <w:r w:rsidRPr="00734592">
        <w:rPr>
          <w:lang w:val="fi-FI"/>
        </w:rPr>
        <w:t xml:space="preserve">Konsernin myymien myyntisaamisten määrä on tällä hetkellä myyntisaamisten kokonaismäärään verrattuna merkityksetön. </w:t>
      </w:r>
      <w:r w:rsidRPr="00734592">
        <w:t>Myydyt myyntisaamiset on kirjattu poi</w:t>
      </w:r>
      <w:r w:rsidRPr="00734592">
        <w:t>s taseesta</w:t>
      </w:r>
      <w:r>
        <w:t>.</w:t>
      </w:r>
    </w:p>
    <w:p/>
    <w:p w:rsidR="009C64BD" w:rsidP="009C64BD" w14:paraId="623C782C" w14:textId="2BF5AC03">
      <w:pPr>
        <w:pStyle w:val="Heading12"/>
      </w:pPr>
      <w:bookmarkStart w:id="1467" w:name="RG_MARKER_7461"/>
      <w:r>
        <w:t>4.3. MUUT SAAMISET</w:t>
      </w:r>
      <w:bookmarkEnd w:id="1467"/>
    </w:p>
    <w:tbl>
      <w:tblPr>
        <w:tblStyle w:val="TableGrid"/>
        <w:tblW w:w="7371" w:type="dxa"/>
        <w:tblLook w:val="04A0"/>
      </w:tblPr>
      <w:tblGrid>
        <w:gridCol w:w="7371"/>
      </w:tblGrid>
      <w:tr w14:paraId="5A312B1B" w14:textId="77777777" w:rsidTr="009C64BD">
        <w:tblPrEx>
          <w:tblW w:w="7371" w:type="dxa"/>
          <w:tblLook w:val="04A0"/>
        </w:tblPrEx>
        <w:tc>
          <w:tcPr>
            <w:tcW w:w="6683" w:type="dxa"/>
            <w:tcBorders>
              <w:top w:val="nil"/>
              <w:left w:val="nil"/>
              <w:bottom w:val="nil"/>
              <w:right w:val="nil"/>
            </w:tcBorders>
            <w:shd w:val="clear" w:color="auto" w:fill="B6C8D1"/>
            <w:hideMark/>
          </w:tcPr>
          <w:p w:rsidR="009C64BD" w:rsidRPr="00F20384" w14:paraId="44DB0EEB" w14:textId="0208D261">
            <w:pPr>
              <w:pStyle w:val="Heading13"/>
              <w:rPr>
                <w:rFonts w:eastAsiaTheme="minorEastAsia" w:cstheme="minorHAnsi"/>
                <w:lang w:val="fi-FI" w:eastAsia="fi-FI"/>
              </w:rPr>
            </w:pPr>
            <w:r w:rsidRPr="00F20384">
              <w:rPr>
                <w:rFonts w:eastAsiaTheme="minorEastAsia"/>
                <w:lang w:val="fi-FI" w:eastAsia="fi-FI"/>
              </w:rPr>
              <w:t>Laadintaperiaatteet</w:t>
            </w:r>
          </w:p>
          <w:p w:rsidR="009C64BD" w:rsidRPr="009C64BD" w14:paraId="22D82C88" w14:textId="139E295E">
            <w:pPr>
              <w:pStyle w:val="Bodytext2"/>
              <w:rPr>
                <w:rFonts w:eastAsiaTheme="minorEastAsia"/>
                <w:lang w:val="fi-FI" w:eastAsia="fi-FI"/>
              </w:rPr>
            </w:pPr>
            <w:r w:rsidRPr="009C64BD">
              <w:rPr>
                <w:lang w:val="fi-FI"/>
              </w:rPr>
              <w:t>Muut saamiset arvostetaan jaksotettuun hankintamenoon.</w:t>
            </w:r>
          </w:p>
        </w:tc>
      </w:tr>
    </w:tbl>
    <w:p w:rsidR="009C64BD" w:rsidRPr="009C64BD" w:rsidP="009C64BD" w14:paraId="2B4F9283" w14:textId="77777777">
      <w:pPr>
        <w:pStyle w:val="Bodytext2"/>
        <w:rPr>
          <w:lang w:val="fi-FI"/>
        </w:rPr>
      </w:pPr>
    </w:p>
    <w:tbl>
      <w:tblPr>
        <w:tblStyle w:val="TableNormal"/>
        <w:tblCaption w:val="table_other_receivables"/>
        <w:tblW w:w="7320" w:type="dxa"/>
        <w:tblLayout w:type="fixed"/>
        <w:tblLook w:val="0600"/>
      </w:tblPr>
      <w:tblGrid>
        <w:gridCol w:w="4830"/>
        <w:gridCol w:w="1245"/>
        <w:gridCol w:w="1245"/>
      </w:tblGrid>
      <w:tr>
        <w:tblPrEx>
          <w:tblW w:w="7320" w:type="dxa"/>
          <w:tblLayout w:type="fixed"/>
          <w:tblLook w:val="0600"/>
        </w:tblPrEx>
        <w:trPr>
          <w:trHeight w:hRule="exact" w:val="240"/>
        </w:trPr>
        <w:tc>
          <w:tcPr>
            <w:tcW w:w="48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Johdannaiset</w:t>
            </w:r>
          </w:p>
        </w:tc>
        <w:tc>
          <w:tcPr>
            <w:tcW w:w="12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w:t>
            </w:r>
          </w:p>
        </w:tc>
        <w:tc>
          <w:tcPr>
            <w:tcW w:w="124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37</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Korot ja muut rahoituserät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Vakuutusmaksut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Vuokrajaksotukset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Jaksotetut kustannukset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nil"/>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 xml:space="preserve">Muut siirtosaamiset </w:t>
            </w:r>
          </w:p>
        </w:tc>
        <w:tc>
          <w:tcPr>
            <w:tcW w:w="12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34</w:t>
            </w:r>
          </w:p>
        </w:tc>
        <w:tc>
          <w:tcPr>
            <w:tcW w:w="1245" w:type="dxa"/>
            <w:tcBorders>
              <w:top w:val="nil"/>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Lainasaamiset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Etuuspohjaiset eläkejärjestelyt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Arvonlisäverosaamiset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134</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w:t>
            </w:r>
          </w:p>
        </w:tc>
        <w:tc>
          <w:tcPr>
            <w:tcW w:w="12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57</w:t>
            </w:r>
          </w:p>
        </w:tc>
        <w:tc>
          <w:tcPr>
            <w:tcW w:w="124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56</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2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263</w:t>
            </w:r>
          </w:p>
        </w:tc>
        <w:tc>
          <w:tcPr>
            <w:tcW w:w="124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269</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Pitkäaikaiset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Lyhytaikaiset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246</w:t>
            </w:r>
          </w:p>
        </w:tc>
        <w:tc>
          <w:tcPr>
            <w:tcW w:w="124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258</w:t>
            </w:r>
          </w:p>
        </w:tc>
      </w:tr>
    </w:tbl>
    <w:p w:rsidR="004A0DF2" w:rsidP="009C64BD" w14:textId="2C6BB624">
      <w:pPr>
        <w:pStyle w:val="Bodytext2"/>
        <w:rPr>
          <w:lang w:val="fi-FI"/>
        </w:rPr>
      </w:pPr>
    </w:p>
    <w:p w:rsidR="0001627E" w:rsidRPr="009C64BD" w:rsidP="009C64BD" w14:paraId="75BCF41D" w14:textId="1A5F8C6C">
      <w:pPr>
        <w:pStyle w:val="Bodytext2"/>
        <w:rPr>
          <w:lang w:val="fi-FI"/>
        </w:rPr>
      </w:pPr>
      <w:r w:rsidRPr="0001627E">
        <w:rPr>
          <w:lang w:val="fi-FI"/>
        </w:rPr>
        <w:t>* Sisältää henkilöstökustannuksiin liittyviä verosaamisia Brasiliassa 7 milj</w:t>
      </w:r>
      <w:r>
        <w:rPr>
          <w:lang w:val="fi-FI"/>
        </w:rPr>
        <w:t>oonaa</w:t>
      </w:r>
      <w:r w:rsidRPr="0001627E">
        <w:rPr>
          <w:lang w:val="fi-FI"/>
        </w:rPr>
        <w:t xml:space="preserve"> euroa (</w:t>
      </w:r>
      <w:r>
        <w:rPr>
          <w:lang w:val="fi-FI"/>
        </w:rPr>
        <w:t>7</w:t>
      </w:r>
      <w:r w:rsidRPr="0001627E">
        <w:rPr>
          <w:lang w:val="fi-FI"/>
        </w:rPr>
        <w:t xml:space="preserve">), joita ei välttämättä pystytä hyödyntämään vuoden kuluessa. </w:t>
      </w:r>
    </w:p>
    <w:p/>
    <w:p w:rsidR="005E7747" w:rsidP="005E7747" w14:paraId="50D5AA4D" w14:textId="74FD453E">
      <w:pPr>
        <w:pStyle w:val="Heading12"/>
      </w:pPr>
      <w:bookmarkStart w:id="1468" w:name="RG_MARKER_7460"/>
      <w:r>
        <w:t>4.4. OSTOVELAT JA MUUT VELAT</w:t>
      </w:r>
      <w:bookmarkEnd w:id="1468"/>
    </w:p>
    <w:tbl>
      <w:tblPr>
        <w:tblStyle w:val="TableGrid"/>
        <w:tblW w:w="7371" w:type="dxa"/>
        <w:tblLook w:val="04A0"/>
      </w:tblPr>
      <w:tblGrid>
        <w:gridCol w:w="7371"/>
      </w:tblGrid>
      <w:tr w14:paraId="3B171EA7" w14:textId="77777777" w:rsidTr="005E7747">
        <w:tblPrEx>
          <w:tblW w:w="7371" w:type="dxa"/>
          <w:tblLook w:val="04A0"/>
        </w:tblPrEx>
        <w:tc>
          <w:tcPr>
            <w:tcW w:w="6683" w:type="dxa"/>
            <w:tcBorders>
              <w:top w:val="nil"/>
              <w:left w:val="nil"/>
              <w:bottom w:val="nil"/>
              <w:right w:val="nil"/>
            </w:tcBorders>
            <w:shd w:val="clear" w:color="auto" w:fill="B6C8D1"/>
            <w:hideMark/>
          </w:tcPr>
          <w:p w:rsidR="005E7747" w:rsidRPr="000A0EFF" w14:paraId="2FF32211" w14:textId="02B6393D">
            <w:pPr>
              <w:pStyle w:val="Heading13"/>
              <w:rPr>
                <w:rFonts w:eastAsiaTheme="minorEastAsia" w:cstheme="minorHAnsi"/>
                <w:lang w:val="fi-FI" w:eastAsia="fi-FI"/>
              </w:rPr>
            </w:pPr>
            <w:r w:rsidRPr="000A0EFF">
              <w:rPr>
                <w:rFonts w:eastAsiaTheme="minorEastAsia"/>
                <w:lang w:val="fi-FI" w:eastAsia="fi-FI"/>
              </w:rPr>
              <w:t>Laadintaperiaatteet</w:t>
            </w:r>
          </w:p>
          <w:p w:rsidR="005E7747" w:rsidRPr="005E7747" w14:paraId="1D6EB4B4" w14:textId="006BD825">
            <w:pPr>
              <w:pStyle w:val="Bodytext2"/>
              <w:rPr>
                <w:rFonts w:eastAsiaTheme="minorEastAsia"/>
                <w:lang w:val="fi-FI" w:eastAsia="fi-FI"/>
              </w:rPr>
            </w:pPr>
            <w:r>
              <w:rPr>
                <w:rFonts w:eastAsiaTheme="minorEastAsia"/>
                <w:lang w:val="fi-FI" w:eastAsia="fi-FI"/>
              </w:rPr>
              <w:t xml:space="preserve">Ostovelat ja muut velat </w:t>
            </w:r>
            <w:r w:rsidRPr="005E7747">
              <w:rPr>
                <w:rFonts w:eastAsiaTheme="minorEastAsia"/>
                <w:lang w:val="fi-FI" w:eastAsia="fi-FI"/>
              </w:rPr>
              <w:t xml:space="preserve">arvostetaan alun perin käypään arvoon </w:t>
            </w:r>
            <w:r>
              <w:rPr>
                <w:rFonts w:eastAsiaTheme="minorEastAsia"/>
                <w:lang w:val="fi-FI" w:eastAsia="fi-FI"/>
              </w:rPr>
              <w:t>ja myöhemmin</w:t>
            </w:r>
            <w:r w:rsidRPr="005E7747">
              <w:rPr>
                <w:rFonts w:eastAsiaTheme="minorEastAsia"/>
                <w:lang w:val="fi-FI" w:eastAsia="fi-FI"/>
              </w:rPr>
              <w:t xml:space="preserve"> jaksotettuun hankintamenoon.</w:t>
            </w:r>
          </w:p>
        </w:tc>
      </w:tr>
    </w:tbl>
    <w:p w:rsidR="005E7747" w:rsidRPr="005E7747" w:rsidP="005E7747" w14:paraId="00FFCE87" w14:textId="77777777">
      <w:pPr>
        <w:pStyle w:val="Bodytext2"/>
        <w:rPr>
          <w:lang w:val="fi-FI"/>
        </w:rPr>
      </w:pPr>
    </w:p>
    <w:tbl>
      <w:tblPr>
        <w:tblStyle w:val="TableNormal"/>
        <w:tblCaption w:val="table_other_payables"/>
        <w:tblW w:w="7320" w:type="dxa"/>
        <w:tblLayout w:type="fixed"/>
        <w:tblLook w:val="0600"/>
      </w:tblPr>
      <w:tblGrid>
        <w:gridCol w:w="4830"/>
        <w:gridCol w:w="1245"/>
        <w:gridCol w:w="1245"/>
      </w:tblGrid>
      <w:tr>
        <w:tblPrEx>
          <w:tblW w:w="7320" w:type="dxa"/>
          <w:tblLayout w:type="fixed"/>
          <w:tblLook w:val="0600"/>
        </w:tblPrEx>
        <w:trPr>
          <w:trHeight w:hRule="exact" w:val="240"/>
        </w:trPr>
        <w:tc>
          <w:tcPr>
            <w:tcW w:w="48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Ostovelat*</w:t>
            </w:r>
          </w:p>
        </w:tc>
        <w:tc>
          <w:tcPr>
            <w:tcW w:w="12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714</w:t>
            </w:r>
          </w:p>
        </w:tc>
        <w:tc>
          <w:tcPr>
            <w:tcW w:w="12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411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Jaksotetut kulut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313</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315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Henkilöstökulut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179</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Johdannaiset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23</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Korot ja muut rahoituserät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siirtovelat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34</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43</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Arvonlisäverovelat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54</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w:t>
            </w:r>
          </w:p>
        </w:tc>
        <w:tc>
          <w:tcPr>
            <w:tcW w:w="12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68</w:t>
            </w:r>
          </w:p>
        </w:tc>
        <w:tc>
          <w:tcPr>
            <w:tcW w:w="12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2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1 390</w:t>
            </w:r>
          </w:p>
        </w:tc>
        <w:tc>
          <w:tcPr>
            <w:tcW w:w="12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1 076</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Pitkäaikaiset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Lyhytaikaiset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1 390</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1 075</w:t>
            </w:r>
          </w:p>
        </w:tc>
      </w:tr>
    </w:tbl>
    <w:p w:rsidR="00532BF9" w:rsidP="005E7747" w14:paraId="6CEFEA1A" w14:textId="4AF4EA46">
      <w:pPr>
        <w:pStyle w:val="Bodytext2"/>
      </w:pPr>
    </w:p>
    <w:p w:rsidR="00532BF9" w:rsidRPr="004E4C7A" w:rsidP="00532BF9" w14:paraId="30CC4F87" w14:textId="7B76DDA4">
      <w:pPr>
        <w:pStyle w:val="Bodytext2"/>
        <w:rPr>
          <w:highlight w:val="yellow"/>
          <w:lang w:val="fi-FI"/>
        </w:rPr>
      </w:pPr>
      <w:r w:rsidRPr="004E4C7A">
        <w:rPr>
          <w:lang w:val="fi-FI"/>
        </w:rPr>
        <w:t xml:space="preserve">* </w:t>
      </w:r>
      <w:r w:rsidRPr="004E4C7A">
        <w:rPr>
          <w:lang w:val="fi-FI"/>
        </w:rPr>
        <w:t xml:space="preserve">299 </w:t>
      </w:r>
      <w:r w:rsidRPr="004E4C7A" w:rsidR="004E4C7A">
        <w:rPr>
          <w:lang w:val="fi-FI"/>
        </w:rPr>
        <w:t>miljoonaa euroa</w:t>
      </w:r>
      <w:r w:rsidRPr="004E4C7A">
        <w:rPr>
          <w:lang w:val="fi-FI"/>
        </w:rPr>
        <w:t xml:space="preserve"> (86) </w:t>
      </w:r>
      <w:r w:rsidRPr="004E4C7A" w:rsidR="004E4C7A">
        <w:rPr>
          <w:lang w:val="fi-FI"/>
        </w:rPr>
        <w:t>ostoveloista</w:t>
      </w:r>
      <w:r w:rsidR="004E4C7A">
        <w:rPr>
          <w:lang w:val="fi-FI"/>
        </w:rPr>
        <w:t xml:space="preserve"> </w:t>
      </w:r>
      <w:r>
        <w:rPr>
          <w:lang w:val="fi-FI"/>
        </w:rPr>
        <w:t>täyttää edellytykset</w:t>
      </w:r>
      <w:r w:rsidRPr="004E4C7A" w:rsidR="004E4C7A">
        <w:rPr>
          <w:lang w:val="fi-FI"/>
        </w:rPr>
        <w:t xml:space="preserve"> pankkien</w:t>
      </w:r>
      <w:r w:rsidR="004E4C7A">
        <w:rPr>
          <w:lang w:val="fi-FI"/>
        </w:rPr>
        <w:t xml:space="preserve"> Wärtsilän toimittajille</w:t>
      </w:r>
      <w:r w:rsidRPr="004E4C7A" w:rsidR="004E4C7A">
        <w:rPr>
          <w:lang w:val="fi-FI"/>
        </w:rPr>
        <w:t xml:space="preserve"> t</w:t>
      </w:r>
      <w:r w:rsidR="004E4C7A">
        <w:rPr>
          <w:lang w:val="fi-FI"/>
        </w:rPr>
        <w:t>arjoamiin toimitusketjujen rahoit</w:t>
      </w:r>
      <w:r>
        <w:rPr>
          <w:lang w:val="fi-FI"/>
        </w:rPr>
        <w:t>uksiin.</w:t>
      </w:r>
    </w:p>
    <w:p/>
    <w:p w:rsidR="00BC2721" w:rsidP="00BC2721" w14:paraId="18276143" w14:textId="4A1F0A0E">
      <w:pPr>
        <w:pStyle w:val="Heading12"/>
      </w:pPr>
      <w:bookmarkStart w:id="1469" w:name="RG_MARKER_7459"/>
      <w:r>
        <w:t>4.5. VARAUKSET</w:t>
      </w:r>
      <w:bookmarkEnd w:id="1469"/>
    </w:p>
    <w:tbl>
      <w:tblPr>
        <w:tblStyle w:val="TableGrid"/>
        <w:tblW w:w="7371" w:type="dxa"/>
        <w:tblLook w:val="04A0"/>
      </w:tblPr>
      <w:tblGrid>
        <w:gridCol w:w="7371"/>
      </w:tblGrid>
      <w:tr w14:paraId="2DB9BF57" w14:textId="77777777" w:rsidTr="00BC2721">
        <w:tblPrEx>
          <w:tblW w:w="7371" w:type="dxa"/>
          <w:tblLook w:val="04A0"/>
        </w:tblPrEx>
        <w:tc>
          <w:tcPr>
            <w:tcW w:w="7371" w:type="dxa"/>
            <w:tcBorders>
              <w:top w:val="nil"/>
              <w:left w:val="nil"/>
              <w:bottom w:val="nil"/>
              <w:right w:val="nil"/>
            </w:tcBorders>
            <w:shd w:val="clear" w:color="auto" w:fill="B6C8D1"/>
          </w:tcPr>
          <w:p w:rsidR="00BC2721" w:rsidRPr="00BC2721" w14:paraId="39CB0AC7" w14:textId="26D3EDFF">
            <w:pPr>
              <w:pStyle w:val="Heading13"/>
              <w:rPr>
                <w:rFonts w:eastAsiaTheme="minorEastAsia" w:cstheme="minorHAnsi"/>
                <w:lang w:val="fi-FI" w:eastAsia="fi-FI"/>
              </w:rPr>
            </w:pPr>
            <w:r w:rsidRPr="00BC2721">
              <w:rPr>
                <w:lang w:val="fi-FI"/>
              </w:rPr>
              <w:t>Laadintaperiaatteet</w:t>
            </w:r>
          </w:p>
          <w:p w:rsidR="00BC2721" w:rsidP="00BC2721" w14:paraId="02C4FAEF" w14:textId="740FB378">
            <w:pPr>
              <w:pStyle w:val="Bodytext2"/>
              <w:rPr>
                <w:lang w:val="fi-FI"/>
              </w:rPr>
            </w:pPr>
            <w:r w:rsidRPr="00BC2721">
              <w:rPr>
                <w:lang w:val="fi-FI"/>
              </w:rPr>
              <w:t xml:space="preserve">Varaus merkitään taseeseen silloin, kun konsernilla on jonkin aikaisemman tapahtuman seurauksena oikeudellinen tai tosiasiallinen olemassa oleva velvoite ja on todennäköistä, että velvoitteen täyttäminen </w:t>
            </w:r>
            <w:r w:rsidRPr="00BC2721">
              <w:rPr>
                <w:lang w:val="fi-FI"/>
              </w:rPr>
              <w:t xml:space="preserve">edellyttää taloudellista suoritusta tai aiheuttaa taloudellisen menetyksen, ja velvoitteen määrä on luotettavasti arvioitavissa. </w:t>
            </w:r>
            <w:r>
              <w:rPr>
                <w:lang w:val="fi-FI"/>
              </w:rPr>
              <w:t>V</w:t>
            </w:r>
            <w:r w:rsidRPr="00BC2721">
              <w:rPr>
                <w:lang w:val="fi-FI"/>
              </w:rPr>
              <w:t>araukset voivat liittyä m</w:t>
            </w:r>
            <w:r>
              <w:rPr>
                <w:lang w:val="fi-FI"/>
              </w:rPr>
              <w:t>uun muassa</w:t>
            </w:r>
            <w:r w:rsidRPr="00BC2721">
              <w:rPr>
                <w:lang w:val="fi-FI"/>
              </w:rPr>
              <w:t xml:space="preserve"> takuukustannuksiin, ympäristövelvoitteisiin, oikeudenkäynteihin, projektien ennakoituihin </w:t>
            </w:r>
            <w:r w:rsidRPr="00BC2721">
              <w:rPr>
                <w:lang w:val="fi-FI"/>
              </w:rPr>
              <w:t>tappioihin ja uudelleenjärjestelyihin. Varauksena kirjattava määrä vastaa johdon parasta arviota menoista, joita olemassa olevan velvoitteen täyttäminen edellyttää raportointikauden päättymispäivänä.</w:t>
            </w:r>
          </w:p>
          <w:p w:rsidR="00BC2721" w:rsidRPr="00BC2721" w:rsidP="00BC2721" w14:paraId="2076A96E" w14:textId="77777777">
            <w:pPr>
              <w:pStyle w:val="Bodytext2"/>
              <w:rPr>
                <w:lang w:val="fi-FI"/>
              </w:rPr>
            </w:pPr>
          </w:p>
          <w:p w:rsidR="00BC2721" w:rsidRPr="008850A0" w:rsidP="00BC2721" w14:paraId="59DB674F" w14:textId="736263D7">
            <w:pPr>
              <w:pStyle w:val="Bodytext2"/>
              <w:rPr>
                <w:lang w:val="fi-FI"/>
              </w:rPr>
            </w:pPr>
            <w:r w:rsidRPr="00BC2721">
              <w:rPr>
                <w:lang w:val="fi-FI"/>
              </w:rPr>
              <w:t>Toimitettuihin tuotteisiin liittyvät arvioidut takuukus</w:t>
            </w:r>
            <w:r w:rsidRPr="00BC2721">
              <w:rPr>
                <w:lang w:val="fi-FI"/>
              </w:rPr>
              <w:t>tannukset käsitellään varauksena, jonka suuruus perustuu kokemusperäiseen tietoon aiemmin toteutuneista takuukustannuksista.</w:t>
            </w:r>
            <w:r>
              <w:rPr>
                <w:lang w:val="fi-FI"/>
              </w:rPr>
              <w:t xml:space="preserve"> </w:t>
            </w:r>
            <w:r w:rsidRPr="008850A0">
              <w:rPr>
                <w:lang w:val="fi-FI"/>
              </w:rPr>
              <w:t>Takuukausi kattaa yleensä vuoden toimituksesta eteenpäin.</w:t>
            </w:r>
          </w:p>
          <w:p w:rsidR="00BC2721" w:rsidRPr="00BC2721" w:rsidP="00BC2721" w14:paraId="7D58A80A" w14:textId="77777777">
            <w:pPr>
              <w:pStyle w:val="Bodytext2"/>
              <w:rPr>
                <w:lang w:val="fi-FI"/>
              </w:rPr>
            </w:pPr>
          </w:p>
          <w:p w:rsidR="00BC2721" w:rsidP="00BC2721" w14:paraId="54E8D052" w14:textId="4BF7434F">
            <w:pPr>
              <w:pStyle w:val="Bodytext2"/>
              <w:rPr>
                <w:lang w:val="fi-FI"/>
              </w:rPr>
            </w:pPr>
            <w:r w:rsidRPr="00BC2721">
              <w:rPr>
                <w:lang w:val="fi-FI"/>
              </w:rPr>
              <w:t xml:space="preserve">Uudelleenjärjestelyvaraus kirjataan, kun uudelleenjärjestelysuunnitelma </w:t>
            </w:r>
            <w:r w:rsidRPr="00BC2721">
              <w:rPr>
                <w:lang w:val="fi-FI"/>
              </w:rPr>
              <w:t>on hyväksytty ja toimeenpano aloitettu tai asianosaiselle henkilöstölle on kerrottu järjestelyn ehdoista. Suunnitelmassa tulee olla yksilöity mitä toimintoja ja henkilöstöä se koskee</w:t>
            </w:r>
            <w:r>
              <w:rPr>
                <w:lang w:val="fi-FI"/>
              </w:rPr>
              <w:t xml:space="preserve"> sekä</w:t>
            </w:r>
            <w:r w:rsidRPr="00BC2721">
              <w:rPr>
                <w:lang w:val="fi-FI"/>
              </w:rPr>
              <w:t xml:space="preserve"> mikä on sen toteuttamisaikataulu ja -kustannukset.</w:t>
            </w:r>
          </w:p>
          <w:p w:rsidR="00BC2721" w:rsidRPr="00BC2721" w:rsidP="00BC2721" w14:paraId="4C314DF4" w14:textId="77777777">
            <w:pPr>
              <w:pStyle w:val="Bodytext2"/>
              <w:rPr>
                <w:lang w:val="fi-FI"/>
              </w:rPr>
            </w:pPr>
          </w:p>
          <w:p w:rsidR="008850A0" w:rsidRPr="00F718B9" w:rsidP="008850A0" w14:paraId="1C1005C3" w14:textId="6210B816">
            <w:pPr>
              <w:pStyle w:val="Bodytext2"/>
              <w:rPr>
                <w:rFonts w:eastAsiaTheme="minorEastAsia"/>
                <w:lang w:val="fi-FI" w:eastAsia="fi-FI"/>
              </w:rPr>
            </w:pPr>
            <w:r w:rsidRPr="00BC2721">
              <w:rPr>
                <w:rFonts w:eastAsiaTheme="minorEastAsia"/>
                <w:lang w:val="fi-FI" w:eastAsia="fi-FI"/>
              </w:rPr>
              <w:t>Konserniyhtiöt o</w:t>
            </w:r>
            <w:r w:rsidRPr="00BC2721">
              <w:rPr>
                <w:rFonts w:eastAsiaTheme="minorEastAsia"/>
                <w:lang w:val="fi-FI" w:eastAsia="fi-FI"/>
              </w:rPr>
              <w:t>vat vastaajina eräissä oikeusjutuissa, jotka liittyvät konsernin normaaliin liiketoimintaan. Kyseiset oikeusjutut koskevat m</w:t>
            </w:r>
            <w:r>
              <w:rPr>
                <w:rFonts w:eastAsiaTheme="minorEastAsia"/>
                <w:lang w:val="fi-FI" w:eastAsia="fi-FI"/>
              </w:rPr>
              <w:t>uun muassa</w:t>
            </w:r>
            <w:r w:rsidRPr="00BC2721">
              <w:rPr>
                <w:rFonts w:eastAsiaTheme="minorEastAsia"/>
                <w:lang w:val="fi-FI" w:eastAsia="fi-FI"/>
              </w:rPr>
              <w:t xml:space="preserve"> sopimus- ja muita vastuita, työsuhdeasioita, omaisuusvahinkoja sekä hallintoasioita. Konserni saa ajoittain erisuuruisia </w:t>
            </w:r>
            <w:r w:rsidRPr="00BC2721">
              <w:rPr>
                <w:rFonts w:eastAsiaTheme="minorEastAsia"/>
                <w:lang w:val="fi-FI" w:eastAsia="fi-FI"/>
              </w:rPr>
              <w:t xml:space="preserve">ja vaihtelevassa määrin perusteltuja korvausvaatimuksia. </w:t>
            </w:r>
            <w:r>
              <w:rPr>
                <w:rFonts w:eastAsiaTheme="minorEastAsia"/>
                <w:lang w:val="fi-FI" w:eastAsia="fi-FI"/>
              </w:rPr>
              <w:t>K</w:t>
            </w:r>
            <w:r w:rsidRPr="00BC2721">
              <w:rPr>
                <w:rFonts w:eastAsiaTheme="minorEastAsia"/>
                <w:lang w:val="fi-FI" w:eastAsia="fi-FI"/>
              </w:rPr>
              <w:t>onsernin periaatteisiin kuuluu varausten tekeminen vaatimusten sekä oikeudenkäyntien ja välimiesmenettelyjen varalta silloin kun epäsuotuisa lopputulos on todennäköinen ja kulujen suuruus voidaan ko</w:t>
            </w:r>
            <w:r w:rsidRPr="00BC2721">
              <w:rPr>
                <w:rFonts w:eastAsiaTheme="minorEastAsia"/>
                <w:lang w:val="fi-FI" w:eastAsia="fi-FI"/>
              </w:rPr>
              <w:t>htuullisella varmuudella arvioida.</w:t>
            </w:r>
          </w:p>
        </w:tc>
      </w:tr>
    </w:tbl>
    <w:p w:rsidR="00F718B9" w:rsidP="00BC2721" w14:paraId="1434D532" w14:textId="300770D8">
      <w:pPr>
        <w:pStyle w:val="Heading13"/>
        <w:rPr>
          <w:lang w:val="fi-FI"/>
        </w:rPr>
      </w:pPr>
    </w:p>
    <w:tbl>
      <w:tblPr>
        <w:tblStyle w:val="TableGrid"/>
        <w:tblW w:w="7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7DFE1"/>
        <w:tblLook w:val="04A0"/>
      </w:tblPr>
      <w:tblGrid>
        <w:gridCol w:w="7371"/>
      </w:tblGrid>
      <w:tr w14:paraId="48DEAC14" w14:textId="77777777" w:rsidTr="00F718B9">
        <w:tblPrEx>
          <w:tblW w:w="7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7DFE1"/>
          <w:tblLook w:val="04A0"/>
        </w:tblPrEx>
        <w:tc>
          <w:tcPr>
            <w:tcW w:w="7360" w:type="dxa"/>
            <w:shd w:val="clear" w:color="auto" w:fill="D7DFE1"/>
          </w:tcPr>
          <w:p w:rsidR="00F718B9" w:rsidP="00F718B9" w14:paraId="47088713" w14:textId="77777777">
            <w:pPr>
              <w:pStyle w:val="Heading13"/>
              <w:rPr>
                <w:rFonts w:eastAsiaTheme="minorEastAsia" w:cstheme="minorHAnsi"/>
                <w:lang w:val="fi-FI" w:eastAsia="fi-FI"/>
              </w:rPr>
            </w:pPr>
            <w:r>
              <w:rPr>
                <w:lang w:val="fi-FI"/>
              </w:rPr>
              <w:t>Kirjanpidolliset arviot ja harkinnat</w:t>
            </w:r>
          </w:p>
          <w:p w:rsidR="00F718B9" w:rsidP="00F718B9" w14:paraId="0BFECBD7" w14:textId="2D32C3E3">
            <w:pPr>
              <w:pStyle w:val="Bodytext2"/>
              <w:rPr>
                <w:lang w:val="fi-FI"/>
              </w:rPr>
            </w:pPr>
            <w:r w:rsidRPr="007E1656">
              <w:rPr>
                <w:lang w:val="fi-FI"/>
              </w:rPr>
              <w:t>Konserni on vastaajana eräissä oikeudenkäynneissä</w:t>
            </w:r>
            <w:r>
              <w:rPr>
                <w:lang w:val="fi-FI"/>
              </w:rPr>
              <w:t>, jotka liittyvät sen liiketoimintaan.</w:t>
            </w:r>
            <w:r w:rsidRPr="007E1656">
              <w:rPr>
                <w:lang w:val="fi-FI"/>
              </w:rPr>
              <w:t xml:space="preserve"> </w:t>
            </w:r>
            <w:r>
              <w:rPr>
                <w:lang w:val="fi-FI"/>
              </w:rPr>
              <w:t>Oikeudenkäyntiin liittyvä</w:t>
            </w:r>
            <w:r w:rsidRPr="007E1656">
              <w:rPr>
                <w:lang w:val="fi-FI"/>
              </w:rPr>
              <w:t xml:space="preserve"> varaus kirjataan, mikäli epäsuotuisa tulos on todennäköinen ja tappi</w:t>
            </w:r>
            <w:r w:rsidRPr="007E1656">
              <w:rPr>
                <w:lang w:val="fi-FI"/>
              </w:rPr>
              <w:t>o voidaan määrittää kohtuullisella varmuudella. Lopullinen tulos voi poiketa näistä arvioista.</w:t>
            </w:r>
          </w:p>
        </w:tc>
      </w:tr>
    </w:tbl>
    <w:p w:rsidR="00F718B9" w:rsidP="00F718B9" w14:paraId="2880DC65" w14:textId="7293E4EE">
      <w:pPr>
        <w:pStyle w:val="Bodytext2"/>
        <w:rPr>
          <w:lang w:val="fi-FI"/>
        </w:rPr>
      </w:pPr>
    </w:p>
    <w:p w:rsidR="00BC2721" w:rsidRPr="009C255F" w:rsidP="00BC2721" w14:paraId="534B2985" w14:textId="2C2AD539">
      <w:pPr>
        <w:pStyle w:val="Heading13"/>
        <w:rPr>
          <w:lang w:val="fi-FI"/>
        </w:rPr>
      </w:pPr>
      <w:r w:rsidRPr="009C255F">
        <w:rPr>
          <w:lang w:val="fi-FI"/>
        </w:rPr>
        <w:t>202</w:t>
      </w:r>
      <w:r>
        <w:rPr>
          <w:lang w:val="fi-FI"/>
        </w:rPr>
        <w:t>1</w:t>
      </w:r>
    </w:p>
    <w:tbl>
      <w:tblPr>
        <w:tblStyle w:val="TableNormal"/>
        <w:tblCaption w:val="table_45_provisions_cur"/>
        <w:tblW w:w="7350" w:type="dxa"/>
        <w:tblLayout w:type="fixed"/>
        <w:tblLook w:val="0600"/>
      </w:tblPr>
      <w:tblGrid>
        <w:gridCol w:w="2130"/>
        <w:gridCol w:w="870"/>
        <w:gridCol w:w="870"/>
        <w:gridCol w:w="870"/>
        <w:gridCol w:w="870"/>
        <w:gridCol w:w="870"/>
        <w:gridCol w:w="870"/>
      </w:tblGrid>
      <w:tr>
        <w:tblPrEx>
          <w:tblW w:w="7350" w:type="dxa"/>
          <w:tblLayout w:type="fixed"/>
          <w:tblLook w:val="0600"/>
        </w:tblPrEx>
        <w:trPr>
          <w:trHeight w:val="240"/>
        </w:trPr>
        <w:tc>
          <w:tcPr>
            <w:tcW w:w="21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Oikeuden-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käynnit</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Takuu-</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varaukset</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Tappio-</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varaukset</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Uudelleen-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järjestely-</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varaukset</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Muut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varaukset</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Varaukset 1.1.2021</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174</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80</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50</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324</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Kurssierot</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nil"/>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Lisäykset</w:t>
            </w:r>
          </w:p>
        </w:tc>
        <w:tc>
          <w:tcPr>
            <w:tcW w:w="870"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870"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43</w:t>
            </w:r>
          </w:p>
        </w:tc>
        <w:tc>
          <w:tcPr>
            <w:tcW w:w="870"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76</w:t>
            </w:r>
          </w:p>
        </w:tc>
        <w:tc>
          <w:tcPr>
            <w:tcW w:w="870"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c>
          <w:tcPr>
            <w:tcW w:w="870"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41</w:t>
            </w:r>
          </w:p>
        </w:tc>
        <w:tc>
          <w:tcPr>
            <w:tcW w:w="870"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176</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Käytetyt varaukset</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-58</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-85</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-169</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Käyttämättömien varausten peruutukset</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Varaukset 31.12.2021</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162</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65</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70</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314</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Pitkäaikainen</w:t>
            </w: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73</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Lyhytaikainen</w:t>
            </w: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241</w:t>
            </w:r>
          </w:p>
        </w:tc>
      </w:tr>
    </w:tbl>
    <w:p w:rsidR="00BC2721" w:rsidRPr="009C255F" w:rsidP="00BC2721" w14:paraId="7A2EC377" w14:textId="77777777">
      <w:pPr>
        <w:pStyle w:val="Bodytext2"/>
        <w:rPr>
          <w:lang w:val="fi-FI"/>
        </w:rPr>
      </w:pPr>
    </w:p>
    <w:p w:rsidR="00BC2721" w:rsidRPr="008850A0" w:rsidP="00BC2721" w14:paraId="77BFF0F9" w14:textId="65103867">
      <w:pPr>
        <w:pStyle w:val="Bodytext2"/>
        <w:rPr>
          <w:lang w:val="fi-FI"/>
        </w:rPr>
      </w:pPr>
      <w:r w:rsidRPr="00BC2721">
        <w:rPr>
          <w:lang w:val="fi-FI"/>
        </w:rPr>
        <w:t xml:space="preserve">Eräs saaduista vaatimuksista on erityisen suuri, mutta sen toteutumista pidetään erittäin epätodennäköisenä. </w:t>
      </w:r>
      <w:r w:rsidRPr="008850A0">
        <w:rPr>
          <w:lang w:val="fi-FI"/>
        </w:rPr>
        <w:t>Tämä vaade on käsitelty ehdollisena velkana.</w:t>
      </w:r>
    </w:p>
    <w:p w:rsidR="00BC2721" w:rsidRPr="008850A0" w:rsidP="00BC2721" w14:paraId="3A50C500" w14:textId="77777777">
      <w:pPr>
        <w:pStyle w:val="Bodytext2"/>
        <w:rPr>
          <w:lang w:val="fi-FI"/>
        </w:rPr>
      </w:pPr>
    </w:p>
    <w:p w:rsidR="00BC2721" w:rsidRPr="008850A0" w:rsidP="00BC2721" w14:paraId="198C68FC" w14:textId="14DE5249">
      <w:pPr>
        <w:pStyle w:val="Heading13"/>
        <w:rPr>
          <w:lang w:val="fi-FI"/>
        </w:rPr>
      </w:pPr>
      <w:r w:rsidRPr="008850A0">
        <w:rPr>
          <w:lang w:val="fi-FI"/>
        </w:rPr>
        <w:t>20</w:t>
      </w:r>
      <w:r>
        <w:rPr>
          <w:lang w:val="fi-FI"/>
        </w:rPr>
        <w:t>20</w:t>
      </w:r>
    </w:p>
    <w:tbl>
      <w:tblPr>
        <w:tblStyle w:val="TableNormal"/>
        <w:tblCaption w:val="table_45_provisions_pre"/>
        <w:tblW w:w="7350" w:type="dxa"/>
        <w:tblLayout w:type="fixed"/>
        <w:tblLook w:val="0600"/>
      </w:tblPr>
      <w:tblGrid>
        <w:gridCol w:w="2130"/>
        <w:gridCol w:w="870"/>
        <w:gridCol w:w="870"/>
        <w:gridCol w:w="870"/>
        <w:gridCol w:w="870"/>
        <w:gridCol w:w="870"/>
        <w:gridCol w:w="870"/>
      </w:tblGrid>
      <w:tr>
        <w:tblPrEx>
          <w:tblW w:w="7350" w:type="dxa"/>
          <w:tblLayout w:type="fixed"/>
          <w:tblLook w:val="0600"/>
        </w:tblPrEx>
        <w:trPr>
          <w:trHeight w:val="240"/>
        </w:trPr>
        <w:tc>
          <w:tcPr>
            <w:tcW w:w="21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Oikeuden-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käynnit</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Takuu-</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varaukset</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Tappio-</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varaukset</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Uudelleen-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järjestely-</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varaukset</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Muut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varaukset</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Varaukset 1.1.2020</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174</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89</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38</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323</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Kurssierot</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Yritysmyynnit</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Lisäykset</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49</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87</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Käytetyt varaukset</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-42</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-87</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-148</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Käyttämättömien varausten peruutukset</w:t>
            </w: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Varaukset 31.12.2020</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174</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80</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50</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324</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Pitkäaikainen</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55</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Lyhytaikainen</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269</w:t>
            </w:r>
          </w:p>
        </w:tc>
      </w:tr>
    </w:tbl>
    <w:p/>
    <w:p w:rsidR="00B2565B" w:rsidP="00B2565B" w14:paraId="2EBC42BB" w14:textId="173A2788">
      <w:pPr>
        <w:pStyle w:val="Heading12"/>
      </w:pPr>
      <w:bookmarkStart w:id="1470" w:name="RG_MARKER_7458"/>
      <w:r>
        <w:t>4.6. LASKENNALLISET VEROT</w:t>
      </w:r>
      <w:bookmarkEnd w:id="1470"/>
    </w:p>
    <w:tbl>
      <w:tblPr>
        <w:tblStyle w:val="TableGrid"/>
        <w:tblW w:w="7371" w:type="dxa"/>
        <w:tblLook w:val="04A0"/>
      </w:tblPr>
      <w:tblGrid>
        <w:gridCol w:w="7371"/>
      </w:tblGrid>
      <w:tr w14:paraId="32469797" w14:textId="77777777" w:rsidTr="00B2565B">
        <w:tblPrEx>
          <w:tblW w:w="7371" w:type="dxa"/>
          <w:tblLook w:val="04A0"/>
        </w:tblPrEx>
        <w:tc>
          <w:tcPr>
            <w:tcW w:w="7371" w:type="dxa"/>
            <w:tcBorders>
              <w:top w:val="nil"/>
              <w:left w:val="nil"/>
              <w:bottom w:val="nil"/>
              <w:right w:val="nil"/>
            </w:tcBorders>
            <w:shd w:val="clear" w:color="auto" w:fill="B6C8D1"/>
          </w:tcPr>
          <w:p w:rsidR="00B2565B" w:rsidRPr="00B2565B" w14:paraId="0758C253" w14:textId="33AD2C82">
            <w:pPr>
              <w:pStyle w:val="Heading13"/>
              <w:rPr>
                <w:rFonts w:eastAsiaTheme="minorEastAsia" w:cstheme="minorHAnsi"/>
                <w:lang w:val="fi-FI" w:eastAsia="fi-FI"/>
              </w:rPr>
            </w:pPr>
            <w:r w:rsidRPr="00B2565B">
              <w:rPr>
                <w:lang w:val="fi-FI"/>
              </w:rPr>
              <w:t>Laadintaperiaatteet</w:t>
            </w:r>
          </w:p>
          <w:p w:rsidR="00B2565B" w:rsidP="00B2565B" w14:paraId="2BC11AAA" w14:textId="1995CF2A">
            <w:pPr>
              <w:pStyle w:val="Bodytext2"/>
              <w:rPr>
                <w:rFonts w:eastAsiaTheme="minorEastAsia"/>
                <w:lang w:val="fi-FI" w:eastAsia="fi-FI"/>
              </w:rPr>
            </w:pPr>
            <w:r w:rsidRPr="00B2565B">
              <w:rPr>
                <w:rFonts w:eastAsiaTheme="minorEastAsia"/>
                <w:lang w:val="fi-FI" w:eastAsia="fi-FI"/>
              </w:rPr>
              <w:t xml:space="preserve">Laskennalliset verovelat ja -saamiset kirjataan pääsääntöisesti kaikista omaisuus- ja velkaerien verotuksellisten arvojen sekä kirjanpitoarvojen välisistä väliaikaisista eroista käyttäen </w:t>
            </w:r>
            <w:r w:rsidRPr="00B2565B">
              <w:rPr>
                <w:rFonts w:eastAsiaTheme="minorEastAsia"/>
                <w:lang w:val="fi-FI" w:eastAsia="fi-FI"/>
              </w:rPr>
              <w:t>raportointikauden päättymispäivänä voimassaolevia</w:t>
            </w:r>
            <w:r>
              <w:rPr>
                <w:rFonts w:eastAsiaTheme="minorEastAsia"/>
                <w:lang w:val="fi-FI" w:eastAsia="fi-FI"/>
              </w:rPr>
              <w:t xml:space="preserve"> </w:t>
            </w:r>
            <w:r w:rsidR="008534E5">
              <w:rPr>
                <w:rFonts w:eastAsiaTheme="minorEastAsia"/>
                <w:lang w:val="fi-FI" w:eastAsia="fi-FI"/>
              </w:rPr>
              <w:t>tai jo hyväksyttyjä, mutta ei vielä lainvoimaisia</w:t>
            </w:r>
            <w:r w:rsidRPr="00B2565B">
              <w:rPr>
                <w:rFonts w:eastAsiaTheme="minorEastAsia"/>
                <w:lang w:val="fi-FI" w:eastAsia="fi-FI"/>
              </w:rPr>
              <w:t xml:space="preserve"> verokantoja. Laskennalliset verovelat kirjataan taseeseen täysimääräisinä ja laskennalliset verosaamiset arvioidun todennäköisen verohyödyn suuruisena.</w:t>
            </w:r>
          </w:p>
          <w:p w:rsidR="00B2565B" w:rsidRPr="00B2565B" w:rsidP="00B2565B" w14:paraId="50E9EF36" w14:textId="77777777">
            <w:pPr>
              <w:pStyle w:val="Bodytext2"/>
              <w:rPr>
                <w:rFonts w:eastAsiaTheme="minorEastAsia"/>
                <w:lang w:val="fi-FI" w:eastAsia="fi-FI"/>
              </w:rPr>
            </w:pPr>
          </w:p>
          <w:p w:rsidR="00B2565B" w:rsidRPr="00B2565B" w14:paraId="03F03C51" w14:textId="3B0929C8">
            <w:pPr>
              <w:pStyle w:val="Bodytext2"/>
              <w:rPr>
                <w:rFonts w:eastAsiaTheme="minorEastAsia"/>
                <w:lang w:val="fi-FI" w:eastAsia="fi-FI"/>
              </w:rPr>
            </w:pPr>
            <w:r w:rsidRPr="00B2565B">
              <w:rPr>
                <w:rFonts w:eastAsiaTheme="minorEastAsia"/>
                <w:lang w:val="fi-FI" w:eastAsia="fi-FI"/>
              </w:rPr>
              <w:t>Las</w:t>
            </w:r>
            <w:r w:rsidRPr="00B2565B">
              <w:rPr>
                <w:rFonts w:eastAsiaTheme="minorEastAsia"/>
                <w:lang w:val="fi-FI" w:eastAsia="fi-FI"/>
              </w:rPr>
              <w:t xml:space="preserve">kennalliset verovelat ja -saamiset kirjataan nettona, kun lain mukaan voidaan kirjata lyhytaikaiset verosaamiset ja lyhytaikaiset verovelat nettona ja kun laskennalliset tuloverosaamiset ja -velat liittyvät saman veroviranomaisen määräämään tuloveroon tai </w:t>
            </w:r>
            <w:r w:rsidRPr="00B2565B">
              <w:rPr>
                <w:rFonts w:eastAsiaTheme="minorEastAsia"/>
                <w:lang w:val="fi-FI" w:eastAsia="fi-FI"/>
              </w:rPr>
              <w:t>saman verovelvollisyhtiön tai eri verovelvollisyhtiöiden tuloveroihin silloin, kun tarkoitus on käsitellä veroeriä nettona.</w:t>
            </w:r>
          </w:p>
        </w:tc>
      </w:tr>
    </w:tbl>
    <w:p w:rsidR="00B2565B" w:rsidP="00B2565B" w14:paraId="2734937F" w14:textId="64690FF2">
      <w:pPr>
        <w:pStyle w:val="Bodytext2"/>
        <w:rPr>
          <w:lang w:val="fi-FI"/>
        </w:rPr>
      </w:pPr>
    </w:p>
    <w:tbl>
      <w:tblPr>
        <w:tblStyle w:val="TableGrid"/>
        <w:tblW w:w="7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7DFE1"/>
        <w:tblLook w:val="04A0"/>
      </w:tblPr>
      <w:tblGrid>
        <w:gridCol w:w="7371"/>
      </w:tblGrid>
      <w:tr w14:paraId="20509378" w14:textId="77777777" w:rsidTr="00F058A1">
        <w:tblPrEx>
          <w:tblW w:w="7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7DFE1"/>
          <w:tblLook w:val="04A0"/>
        </w:tblPrEx>
        <w:tc>
          <w:tcPr>
            <w:tcW w:w="7360" w:type="dxa"/>
            <w:shd w:val="clear" w:color="auto" w:fill="D7DFE1"/>
          </w:tcPr>
          <w:p w:rsidR="00F058A1" w:rsidRPr="00D93790" w:rsidP="00F058A1" w14:paraId="15DA23F7" w14:textId="77777777">
            <w:pPr>
              <w:pStyle w:val="Heading13"/>
              <w:rPr>
                <w:rFonts w:eastAsiaTheme="minorEastAsia" w:cstheme="minorHAnsi"/>
                <w:lang w:val="fi-FI" w:eastAsia="fi-FI"/>
              </w:rPr>
            </w:pPr>
            <w:r w:rsidRPr="00D93790">
              <w:rPr>
                <w:lang w:val="fi-FI"/>
              </w:rPr>
              <w:t>Kirjanpidolliset arviot ja harkinnat</w:t>
            </w:r>
          </w:p>
          <w:p w:rsidR="00F058A1" w:rsidP="00F058A1" w14:paraId="63571F17" w14:textId="6CA283EF">
            <w:pPr>
              <w:pStyle w:val="Bodytext2"/>
              <w:rPr>
                <w:lang w:val="fi-FI"/>
              </w:rPr>
            </w:pPr>
            <w:r w:rsidRPr="00B2565B">
              <w:rPr>
                <w:rFonts w:eastAsiaTheme="minorEastAsia"/>
                <w:lang w:val="fi-FI" w:eastAsia="fi-FI"/>
              </w:rPr>
              <w:t>Arviot veroveloista ja -saamisista liittyvät pääasiassa käynnissä olevien verotarkastusten ar</w:t>
            </w:r>
            <w:r w:rsidRPr="00B2565B">
              <w:rPr>
                <w:rFonts w:eastAsiaTheme="minorEastAsia"/>
                <w:lang w:val="fi-FI" w:eastAsia="fi-FI"/>
              </w:rPr>
              <w:t>vioituihin lopputuloksiin sekä verotuksen tappioihin liittyvien laskennallisten verosaamisten arvostamiseen. Käyttämättömistä verotuksen tappioista ja muista väliaikaisista eroista kirjataan laskennallinen verosaaminen vain siihen määrään asti kuin on tode</w:t>
            </w:r>
            <w:r w:rsidRPr="00B2565B">
              <w:rPr>
                <w:rFonts w:eastAsiaTheme="minorEastAsia"/>
                <w:lang w:val="fi-FI" w:eastAsia="fi-FI"/>
              </w:rPr>
              <w:t>nnäköistä, että syntyy verotettavaa tuloa.</w:t>
            </w:r>
            <w:r>
              <w:rPr>
                <w:rFonts w:eastAsiaTheme="minorEastAsia"/>
                <w:lang w:val="fi-FI" w:eastAsia="fi-FI"/>
              </w:rPr>
              <w:t xml:space="preserve"> Verosaamisia ei kirjata sellaisista verotuksen tappioista, joiden käyttämiseen liittyy epävarmuutta.</w:t>
            </w:r>
          </w:p>
        </w:tc>
      </w:tr>
    </w:tbl>
    <w:p w:rsidR="00F058A1" w:rsidRPr="00B2565B" w:rsidP="00B2565B" w14:paraId="7BF133AB" w14:textId="77777777">
      <w:pPr>
        <w:pStyle w:val="Bodytext2"/>
        <w:rPr>
          <w:lang w:val="fi-FI"/>
        </w:rPr>
      </w:pPr>
    </w:p>
    <w:p w:rsidR="00B2565B" w:rsidP="00B2565B" w14:paraId="0D26C1DE" w14:textId="19CFDD33">
      <w:pPr>
        <w:pStyle w:val="Heading13"/>
        <w:rPr>
          <w:lang w:val="fi-FI"/>
        </w:rPr>
      </w:pPr>
      <w:r w:rsidRPr="00B2565B">
        <w:rPr>
          <w:lang w:val="fi-FI"/>
        </w:rPr>
        <w:t>Laskennallisten vero</w:t>
      </w:r>
      <w:r>
        <w:rPr>
          <w:lang w:val="fi-FI"/>
        </w:rPr>
        <w:t>jen</w:t>
      </w:r>
      <w:r w:rsidRPr="00B2565B">
        <w:rPr>
          <w:lang w:val="fi-FI"/>
        </w:rPr>
        <w:t xml:space="preserve"> muutos tilikauden 20</w:t>
      </w:r>
      <w:r>
        <w:rPr>
          <w:lang w:val="fi-FI"/>
        </w:rPr>
        <w:t>21</w:t>
      </w:r>
      <w:r w:rsidRPr="00B2565B">
        <w:rPr>
          <w:lang w:val="fi-FI"/>
        </w:rPr>
        <w:t xml:space="preserve"> aikana</w:t>
      </w:r>
    </w:p>
    <w:p w:rsidR="00FC7F11" w:rsidP="00B2565B" w14:paraId="2DC11AB9" w14:textId="77777777">
      <w:pPr>
        <w:pStyle w:val="Bodytext2"/>
        <w:rPr>
          <w:lang w:val="fi-FI"/>
        </w:rPr>
      </w:pPr>
    </w:p>
    <w:tbl>
      <w:tblPr>
        <w:tblStyle w:val="TableNormal"/>
        <w:tblCaption w:val="table_current_deferred_taxes"/>
        <w:tblW w:w="7350" w:type="dxa"/>
        <w:tblLayout w:type="fixed"/>
        <w:tblLook w:val="0600"/>
      </w:tblPr>
      <w:tblGrid>
        <w:gridCol w:w="2130"/>
        <w:gridCol w:w="870"/>
        <w:gridCol w:w="870"/>
        <w:gridCol w:w="870"/>
        <w:gridCol w:w="870"/>
        <w:gridCol w:w="870"/>
        <w:gridCol w:w="870"/>
      </w:tblGrid>
      <w:tr>
        <w:tblPrEx>
          <w:tblW w:w="7350" w:type="dxa"/>
          <w:tblLayout w:type="fixed"/>
          <w:tblLook w:val="0600"/>
        </w:tblPrEx>
        <w:trPr>
          <w:trHeight w:val="240"/>
        </w:trPr>
        <w:tc>
          <w:tcPr>
            <w:tcW w:w="213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1.1.2021</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Konsernin tulos-</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laskelmaan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kirjatut erät</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Muut</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laajan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tuloksen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erät</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Muunto-</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erot</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Yrityshan-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kinnat ja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-myynnit</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31.12.2021</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Laskennalliset verosaamiset</w:t>
            </w: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Vahvistetut verotappiot</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58</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-19</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39</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Eläkevelvoitteet</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25</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Varaukset</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36</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37</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Vaihto-omaisuuden sisäisen katteen eliminointi</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Arvonmuutosrahasto</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väliaikaiset erot</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63</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58</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Uudelleenryhmittely myytävänä oleviin omaisuuseriin</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w:t>
            </w: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w:t>
            </w: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183</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167</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Laskennalliset verovelat</w:t>
            </w: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Aineelliset ja aineettomat hyödykkeet</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43</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Arvonmuutosrahasto</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väliaikaiset erot</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36</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Uudelleenryhmittely myytävänä oleviin omaisuuseriin</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w:t>
            </w: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w:t>
            </w: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76</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65</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Laskennallinen nettoverosaaminen/</w:t>
            </w:r>
          </w:p>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-velka</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107</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101</w:t>
            </w:r>
          </w:p>
        </w:tc>
      </w:tr>
    </w:tbl>
    <w:p w:rsidR="00B2565B" w:rsidRPr="00FC7F11" w:rsidP="00B2565B" w14:paraId="0420B360" w14:textId="77777777">
      <w:pPr>
        <w:pStyle w:val="Bodytext2"/>
        <w:rPr>
          <w:lang w:val="en-GB"/>
        </w:rPr>
      </w:pPr>
    </w:p>
    <w:p w:rsidR="00B2565B" w:rsidRPr="008534E5" w:rsidP="00B2565B" w14:paraId="69114B78" w14:textId="44682957">
      <w:pPr>
        <w:pStyle w:val="Bodytext2"/>
        <w:rPr>
          <w:lang w:val="fi-FI"/>
        </w:rPr>
      </w:pPr>
      <w:r w:rsidRPr="00B2565B">
        <w:rPr>
          <w:lang w:val="fi-FI"/>
        </w:rPr>
        <w:t>31.12.202</w:t>
      </w:r>
      <w:r>
        <w:rPr>
          <w:lang w:val="fi-FI"/>
        </w:rPr>
        <w:t>1</w:t>
      </w:r>
      <w:r w:rsidRPr="00B2565B">
        <w:rPr>
          <w:lang w:val="fi-FI"/>
        </w:rPr>
        <w:t xml:space="preserve"> konsernilla oli kirjaamatta </w:t>
      </w:r>
      <w:r>
        <w:rPr>
          <w:lang w:val="fi-FI"/>
        </w:rPr>
        <w:t>79</w:t>
      </w:r>
      <w:r w:rsidRPr="00B2565B">
        <w:rPr>
          <w:lang w:val="fi-FI"/>
        </w:rPr>
        <w:t xml:space="preserve"> milj</w:t>
      </w:r>
      <w:r>
        <w:rPr>
          <w:lang w:val="fi-FI"/>
        </w:rPr>
        <w:t>oonaa</w:t>
      </w:r>
      <w:r w:rsidRPr="00B2565B">
        <w:rPr>
          <w:lang w:val="fi-FI"/>
        </w:rPr>
        <w:t xml:space="preserve"> euroa (6</w:t>
      </w:r>
      <w:r>
        <w:rPr>
          <w:lang w:val="fi-FI"/>
        </w:rPr>
        <w:t>8</w:t>
      </w:r>
      <w:r w:rsidRPr="00B2565B">
        <w:rPr>
          <w:lang w:val="fi-FI"/>
        </w:rPr>
        <w:t xml:space="preserve">) laskennallista verosaamista, koska niiden toteutumiseen liittyy epävarmuutta. </w:t>
      </w:r>
      <w:r w:rsidRPr="008534E5">
        <w:rPr>
          <w:lang w:val="fi-FI"/>
        </w:rPr>
        <w:t xml:space="preserve">Pääosa kirjaamattomista laskennallisista verosaamisista liittyy </w:t>
      </w:r>
      <w:r w:rsidRPr="008534E5">
        <w:rPr>
          <w:lang w:val="fi-FI"/>
        </w:rPr>
        <w:t>kertyneisiin verotukse</w:t>
      </w:r>
      <w:r>
        <w:rPr>
          <w:lang w:val="fi-FI"/>
        </w:rPr>
        <w:t>n</w:t>
      </w:r>
      <w:r w:rsidRPr="008534E5">
        <w:rPr>
          <w:lang w:val="fi-FI"/>
        </w:rPr>
        <w:t xml:space="preserve"> tappioihin. </w:t>
      </w:r>
      <w:r w:rsidRPr="00B2565B">
        <w:rPr>
          <w:lang w:val="fi-FI"/>
        </w:rPr>
        <w:t xml:space="preserve">Näistä </w:t>
      </w:r>
      <w:r>
        <w:rPr>
          <w:lang w:val="fi-FI"/>
        </w:rPr>
        <w:t>9 m</w:t>
      </w:r>
      <w:r w:rsidRPr="00B2565B">
        <w:rPr>
          <w:lang w:val="fi-FI"/>
        </w:rPr>
        <w:t>ilj</w:t>
      </w:r>
      <w:r>
        <w:rPr>
          <w:lang w:val="fi-FI"/>
        </w:rPr>
        <w:t>oonaa</w:t>
      </w:r>
      <w:r w:rsidRPr="00B2565B">
        <w:rPr>
          <w:lang w:val="fi-FI"/>
        </w:rPr>
        <w:t xml:space="preserve"> euroa (</w:t>
      </w:r>
      <w:r>
        <w:rPr>
          <w:lang w:val="fi-FI"/>
        </w:rPr>
        <w:t>19</w:t>
      </w:r>
      <w:r w:rsidRPr="00B2565B">
        <w:rPr>
          <w:lang w:val="fi-FI"/>
        </w:rPr>
        <w:t xml:space="preserve">) vanhenee seuraavien viiden vuoden aikana ja loput myöhemmin tai ei koskaan. </w:t>
      </w:r>
      <w:r w:rsidRPr="008534E5">
        <w:rPr>
          <w:lang w:val="fi-FI"/>
        </w:rPr>
        <w:t>Pääosa verotukse</w:t>
      </w:r>
      <w:r>
        <w:rPr>
          <w:lang w:val="fi-FI"/>
        </w:rPr>
        <w:t>n</w:t>
      </w:r>
      <w:r w:rsidRPr="008534E5">
        <w:rPr>
          <w:lang w:val="fi-FI"/>
        </w:rPr>
        <w:t xml:space="preserve"> tappioista, joihin liittyen on kirjattu laskennallista verosaamista, eivät vanhene koskaan.</w:t>
      </w:r>
    </w:p>
    <w:p w:rsidR="00B2565B" w:rsidRPr="008534E5" w:rsidP="00B2565B" w14:paraId="78355A8F" w14:textId="77777777">
      <w:pPr>
        <w:pStyle w:val="Bodytext2"/>
        <w:rPr>
          <w:lang w:val="fi-FI"/>
        </w:rPr>
      </w:pPr>
    </w:p>
    <w:p w:rsidR="00B2565B" w:rsidP="00B2565B" w14:paraId="75854A12" w14:textId="52920398">
      <w:pPr>
        <w:pStyle w:val="Heading13"/>
        <w:rPr>
          <w:lang w:val="fi-FI"/>
        </w:rPr>
      </w:pPr>
      <w:r w:rsidRPr="00B2565B">
        <w:rPr>
          <w:lang w:val="fi-FI"/>
        </w:rPr>
        <w:t>Las</w:t>
      </w:r>
      <w:r w:rsidRPr="00B2565B">
        <w:rPr>
          <w:lang w:val="fi-FI"/>
        </w:rPr>
        <w:t>kennallisten vero</w:t>
      </w:r>
      <w:r>
        <w:rPr>
          <w:lang w:val="fi-FI"/>
        </w:rPr>
        <w:t>jen</w:t>
      </w:r>
      <w:r w:rsidRPr="00B2565B">
        <w:rPr>
          <w:lang w:val="fi-FI"/>
        </w:rPr>
        <w:t xml:space="preserve"> muutos tilikauden 20</w:t>
      </w:r>
      <w:r>
        <w:rPr>
          <w:lang w:val="fi-FI"/>
        </w:rPr>
        <w:t>20</w:t>
      </w:r>
      <w:r w:rsidRPr="00B2565B">
        <w:rPr>
          <w:lang w:val="fi-FI"/>
        </w:rPr>
        <w:t xml:space="preserve"> aikana</w:t>
      </w:r>
    </w:p>
    <w:p w:rsidR="00FC7F11" w:rsidP="00B2565B" w14:paraId="56D5D121" w14:textId="77777777">
      <w:pPr>
        <w:pStyle w:val="Bodytext2"/>
        <w:rPr>
          <w:lang w:val="fi-FI"/>
        </w:rPr>
      </w:pPr>
    </w:p>
    <w:tbl>
      <w:tblPr>
        <w:tblStyle w:val="TableNormal"/>
        <w:tblCaption w:val="table_previous_deferred_taxes"/>
        <w:tblW w:w="7350" w:type="dxa"/>
        <w:tblLayout w:type="fixed"/>
        <w:tblLook w:val="0600"/>
      </w:tblPr>
      <w:tblGrid>
        <w:gridCol w:w="2130"/>
        <w:gridCol w:w="870"/>
        <w:gridCol w:w="870"/>
        <w:gridCol w:w="870"/>
        <w:gridCol w:w="870"/>
        <w:gridCol w:w="870"/>
        <w:gridCol w:w="870"/>
      </w:tblGrid>
      <w:tr>
        <w:tblPrEx>
          <w:tblW w:w="7350" w:type="dxa"/>
          <w:tblLayout w:type="fixed"/>
          <w:tblLook w:val="0600"/>
        </w:tblPrEx>
        <w:trPr>
          <w:trHeight w:val="240"/>
        </w:trPr>
        <w:tc>
          <w:tcPr>
            <w:tcW w:w="21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1.1.2020</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Konsernin tulos-</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laskelmaan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kirjatut erät</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Muut</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laajan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tuloksen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erät</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Muunto-</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erot</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Yrityshan-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kinnat ja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-myynnit</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31.12.2020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Laskennalliset verosaamiset</w:t>
            </w: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Vahvistetut verotappiot</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34</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58</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Eläkevelvoitteet</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Varaukset</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35</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36</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Vaihto-omaisuuden sisäisen katteen eliminointi</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Arvonmuutosrahasto</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väliaikaiset erot</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55</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63</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Uudelleenryhmittely myytävänä oleviin omaisuuseriin</w:t>
            </w: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155</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39</w:t>
            </w:r>
          </w:p>
        </w:tc>
        <w:tc>
          <w:tcPr>
            <w:tcW w:w="870" w:type="dxa"/>
            <w:tcBorders>
              <w:top w:val="single" w:sz="8" w:space="0" w:color="0F172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c>
          <w:tcPr>
            <w:tcW w:w="870" w:type="dxa"/>
            <w:tcBorders>
              <w:top w:val="single" w:sz="8" w:space="0" w:color="0F172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183</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Laskennalliset verovelat</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Aineelliset ja aineettomat hyödykkeet</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59</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Arvonmuutosrahasto</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väliaikaiset erot</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32</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36</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Uudelleenryhmittely myytävänä oleviin omaisuuseriin</w:t>
            </w: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83</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8" w:space="0" w:color="0F172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76</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Laskennallinen nettoverosaaminen/</w:t>
            </w:r>
          </w:p>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-velka</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72</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40</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107</w:t>
            </w:r>
          </w:p>
        </w:tc>
      </w:tr>
    </w:tbl>
    <w:p/>
    <w:p w:rsidR="006A7C9A" w:rsidP="006A7C9A" w14:paraId="3F7BDC98" w14:textId="60AB5F6B">
      <w:pPr>
        <w:pStyle w:val="Heading12"/>
      </w:pPr>
      <w:bookmarkStart w:id="1471" w:name="RG_MARKER_7457"/>
      <w:r>
        <w:t>4.7. ELÄKEVELVOITTEET</w:t>
      </w:r>
      <w:bookmarkEnd w:id="1471"/>
    </w:p>
    <w:tbl>
      <w:tblPr>
        <w:tblStyle w:val="TableGrid"/>
        <w:tblW w:w="7371" w:type="dxa"/>
        <w:tblLook w:val="04A0"/>
      </w:tblPr>
      <w:tblGrid>
        <w:gridCol w:w="7371"/>
      </w:tblGrid>
      <w:tr w14:paraId="6A8B250B" w14:textId="77777777" w:rsidTr="006A7C9A">
        <w:tblPrEx>
          <w:tblW w:w="7371" w:type="dxa"/>
          <w:tblLook w:val="04A0"/>
        </w:tblPrEx>
        <w:tc>
          <w:tcPr>
            <w:tcW w:w="6683" w:type="dxa"/>
            <w:tcBorders>
              <w:top w:val="nil"/>
              <w:left w:val="nil"/>
              <w:bottom w:val="nil"/>
              <w:right w:val="nil"/>
            </w:tcBorders>
            <w:shd w:val="clear" w:color="auto" w:fill="B6C8D1"/>
          </w:tcPr>
          <w:p w:rsidR="006A7C9A" w:rsidRPr="00E11BB0" w14:paraId="0DCA84D2" w14:textId="4A26C52E">
            <w:pPr>
              <w:pStyle w:val="Heading13"/>
              <w:rPr>
                <w:rFonts w:eastAsiaTheme="minorEastAsia" w:cstheme="minorHAnsi"/>
                <w:lang w:val="fi-FI" w:eastAsia="fi-FI"/>
              </w:rPr>
            </w:pPr>
            <w:r w:rsidRPr="00E11BB0">
              <w:rPr>
                <w:rFonts w:eastAsiaTheme="minorEastAsia"/>
                <w:lang w:val="fi-FI" w:eastAsia="fi-FI"/>
              </w:rPr>
              <w:t>Laadintaperiaatteet</w:t>
            </w:r>
          </w:p>
          <w:p w:rsidR="006A7C9A" w:rsidRPr="00E11BB0" w14:paraId="5AF0E0AD" w14:textId="677BCCF0">
            <w:pPr>
              <w:pStyle w:val="Bodytext2"/>
              <w:rPr>
                <w:lang w:val="fi-FI"/>
              </w:rPr>
            </w:pPr>
            <w:r w:rsidRPr="003525A7">
              <w:rPr>
                <w:lang w:val="fi-FI"/>
              </w:rPr>
              <w:t xml:space="preserve">Konserniyhtiöillä on eri maissa useita eläkejärjestelyjä, jotka perustuvat paikallisiin olosuhteisiin ja käytäntöihin. </w:t>
            </w:r>
            <w:r w:rsidRPr="00E11BB0">
              <w:rPr>
                <w:lang w:val="fi-FI"/>
              </w:rPr>
              <w:t>Nämä eläkejärjestelyt luokitellaan joko maksu- tai etuuspohjaisiksi järjestelyiksi.</w:t>
            </w:r>
          </w:p>
          <w:p w:rsidR="003525A7" w:rsidRPr="00E11BB0" w14:paraId="111B82F6" w14:textId="77777777">
            <w:pPr>
              <w:pStyle w:val="Bodytext2"/>
              <w:rPr>
                <w:rFonts w:eastAsiaTheme="minorEastAsia"/>
                <w:lang w:val="fi-FI" w:eastAsia="fi-FI"/>
              </w:rPr>
            </w:pPr>
          </w:p>
          <w:p w:rsidR="006A7C9A" w:rsidRPr="00BB785F" w14:paraId="19B5F65B" w14:textId="571FF5EB">
            <w:pPr>
              <w:pStyle w:val="Bodytext2"/>
              <w:rPr>
                <w:lang w:val="fi-FI"/>
              </w:rPr>
            </w:pPr>
            <w:r w:rsidRPr="003525A7">
              <w:rPr>
                <w:lang w:val="fi-FI"/>
              </w:rPr>
              <w:t>Etuuspohjaiset eläkejärjestelyt rahoitetaan suorituk</w:t>
            </w:r>
            <w:r w:rsidRPr="003525A7">
              <w:rPr>
                <w:lang w:val="fi-FI"/>
              </w:rPr>
              <w:t>sina eläkesäätiöille tai eläkevakuutusyhtiöille. Etuuspohjaiset eläkejärjestelyt voivat olla rahastoimattomia</w:t>
            </w:r>
            <w:r>
              <w:rPr>
                <w:lang w:val="fi-FI"/>
              </w:rPr>
              <w:t xml:space="preserve"> tai</w:t>
            </w:r>
            <w:r w:rsidRPr="003525A7">
              <w:rPr>
                <w:lang w:val="fi-FI"/>
              </w:rPr>
              <w:t xml:space="preserve"> kokonaan tai osittain rahastoi</w:t>
            </w:r>
            <w:r>
              <w:rPr>
                <w:lang w:val="fi-FI"/>
              </w:rPr>
              <w:t>tuja</w:t>
            </w:r>
            <w:r w:rsidRPr="003525A7">
              <w:rPr>
                <w:lang w:val="fi-FI"/>
              </w:rPr>
              <w:t xml:space="preserve">. Etuuspohjaisten </w:t>
            </w:r>
            <w:r>
              <w:rPr>
                <w:lang w:val="fi-FI"/>
              </w:rPr>
              <w:t>eläke</w:t>
            </w:r>
            <w:r w:rsidRPr="003525A7">
              <w:rPr>
                <w:lang w:val="fi-FI"/>
              </w:rPr>
              <w:t>järjestelyjen velvoitteiden nykyarvo on määritetty kustakin järjestelystä erikseen en</w:t>
            </w:r>
            <w:r w:rsidRPr="003525A7">
              <w:rPr>
                <w:lang w:val="fi-FI"/>
              </w:rPr>
              <w:t xml:space="preserve">nakoituun etuoikeusyksikköön perustuvalla vakuutusmatemaattisella menetelmällä. </w:t>
            </w:r>
            <w:r w:rsidRPr="00BB785F">
              <w:rPr>
                <w:lang w:val="fi-FI"/>
              </w:rPr>
              <w:t>Etuuspohjaisiin eläkejärjestelyihin kuuluvat v</w:t>
            </w:r>
            <w:r w:rsidRPr="00BB785F" w:rsidR="00A21D9E">
              <w:rPr>
                <w:lang w:val="fi-FI"/>
              </w:rPr>
              <w:t>elvoitteet kirjataan vähennettynä niihin liittyvien varojen käyvillä arvoilla t</w:t>
            </w:r>
            <w:r w:rsidRPr="00BB785F">
              <w:rPr>
                <w:lang w:val="fi-FI"/>
              </w:rPr>
              <w:t>ilikauden viimeisenä päivänä</w:t>
            </w:r>
            <w:r w:rsidRPr="003525A7">
              <w:rPr>
                <w:lang w:val="fi-FI"/>
              </w:rPr>
              <w:t>.</w:t>
            </w:r>
          </w:p>
          <w:p w:rsidR="003525A7" w:rsidRPr="003525A7" w14:paraId="2A2B9174" w14:textId="77777777">
            <w:pPr>
              <w:pStyle w:val="Bodytext2"/>
              <w:rPr>
                <w:rFonts w:eastAsiaTheme="minorEastAsia"/>
                <w:lang w:val="fi-FI" w:eastAsia="fi-FI"/>
              </w:rPr>
            </w:pPr>
          </w:p>
          <w:p w:rsidR="006A7C9A" w:rsidRPr="00E11BB0" w14:paraId="71176DB8" w14:textId="2FDC6F70">
            <w:pPr>
              <w:pStyle w:val="Bodytext2"/>
              <w:rPr>
                <w:lang w:val="fi-FI"/>
              </w:rPr>
            </w:pPr>
            <w:r w:rsidRPr="003525A7">
              <w:rPr>
                <w:lang w:val="fi-FI"/>
              </w:rPr>
              <w:t>Vakuutusmatemaattist</w:t>
            </w:r>
            <w:r w:rsidRPr="003525A7">
              <w:rPr>
                <w:lang w:val="fi-FI"/>
              </w:rPr>
              <w:t>en voittojen ja tappioiden osuus sekä muut uudelleenarvostukset kirjataan muihin laajan tuloslaskelman eriin sillä kaudella, jonka aikana ne syntyvät. Työsuoritukseen perustuvana menona kirjataan tilikauden työsuorituksella ansaitun etuuspohjaisen eläkejär</w:t>
            </w:r>
            <w:r w:rsidRPr="003525A7">
              <w:rPr>
                <w:lang w:val="fi-FI"/>
              </w:rPr>
              <w:t>jestelyn nykyarvo. Etuuspohjaisesta eläkejärjestelystä syntyvä korkokustannus perustuu arvostuksessa käytettyyn diskonttokorkoon. Työsuoritukseen perustuva kustannus raportoidaan työsuhde-etuuksista aiheutuvissa kuluissa ja korkokustannukset rahoituskuluis</w:t>
            </w:r>
            <w:r w:rsidRPr="003525A7">
              <w:rPr>
                <w:lang w:val="fi-FI"/>
              </w:rPr>
              <w:t xml:space="preserve">sa. </w:t>
            </w:r>
            <w:r w:rsidRPr="00E11BB0">
              <w:rPr>
                <w:lang w:val="fi-FI"/>
              </w:rPr>
              <w:t>Etuuspohjaisten eläkejärjestelyjen laskennan suorittavat hyväksytyt vakuutusmatemaatikot.</w:t>
            </w:r>
          </w:p>
          <w:p w:rsidR="003525A7" w:rsidRPr="00E11BB0" w14:paraId="36ABE15F" w14:textId="17DEC4A8">
            <w:pPr>
              <w:pStyle w:val="Bodytext2"/>
              <w:rPr>
                <w:rFonts w:eastAsiaTheme="minorEastAsia"/>
                <w:lang w:val="fi-FI" w:eastAsia="fi-FI"/>
              </w:rPr>
            </w:pPr>
          </w:p>
          <w:p w:rsidR="003525A7" w:rsidRPr="00E11BB0" w14:paraId="582B194D" w14:textId="4756E872">
            <w:pPr>
              <w:pStyle w:val="Bodytext2"/>
              <w:rPr>
                <w:rFonts w:eastAsiaTheme="minorEastAsia"/>
                <w:lang w:val="fi-FI" w:eastAsia="fi-FI"/>
              </w:rPr>
            </w:pPr>
            <w:r w:rsidRPr="003525A7">
              <w:rPr>
                <w:rFonts w:eastAsiaTheme="minorEastAsia"/>
                <w:lang w:val="fi-FI" w:eastAsia="fi-FI"/>
              </w:rPr>
              <w:t>Etuuspohjaisten eläkejärjestelyjen lisäksi Wärtsilällä on muita pitkäaikaisia työsuhde-etuuksia, jotka esitetään erillään etuuspohjaisista eläkkeistä</w:t>
            </w:r>
            <w:r w:rsidRPr="00BB785F">
              <w:rPr>
                <w:rFonts w:eastAsiaTheme="minorEastAsia"/>
                <w:lang w:val="fi-FI" w:eastAsia="fi-FI"/>
              </w:rPr>
              <w:t>.</w:t>
            </w:r>
            <w:r w:rsidRPr="00BB785F" w:rsidR="00A21D9E">
              <w:rPr>
                <w:rFonts w:eastAsiaTheme="minorEastAsia"/>
                <w:lang w:val="fi-FI" w:eastAsia="fi-FI"/>
              </w:rPr>
              <w:t xml:space="preserve"> Velvoitteet kaikista muista </w:t>
            </w:r>
            <w:r w:rsidRPr="00BB785F">
              <w:rPr>
                <w:rFonts w:eastAsiaTheme="minorEastAsia"/>
                <w:lang w:val="fi-FI" w:eastAsia="fi-FI"/>
              </w:rPr>
              <w:t>pitkäaikais</w:t>
            </w:r>
            <w:r w:rsidRPr="00BB785F" w:rsidR="00A21D9E">
              <w:rPr>
                <w:rFonts w:eastAsiaTheme="minorEastAsia"/>
                <w:lang w:val="fi-FI" w:eastAsia="fi-FI"/>
              </w:rPr>
              <w:t>ista</w:t>
            </w:r>
            <w:r w:rsidRPr="00BB785F">
              <w:rPr>
                <w:rFonts w:eastAsiaTheme="minorEastAsia"/>
                <w:lang w:val="fi-FI" w:eastAsia="fi-FI"/>
              </w:rPr>
              <w:t xml:space="preserve"> työsuhde-etuu</w:t>
            </w:r>
            <w:r w:rsidRPr="00BB785F" w:rsidR="00A21D9E">
              <w:rPr>
                <w:rFonts w:eastAsiaTheme="minorEastAsia"/>
                <w:lang w:val="fi-FI" w:eastAsia="fi-FI"/>
              </w:rPr>
              <w:t>ksista</w:t>
            </w:r>
            <w:r w:rsidRPr="00BB785F">
              <w:rPr>
                <w:rFonts w:eastAsiaTheme="minorEastAsia"/>
                <w:lang w:val="fi-FI" w:eastAsia="fi-FI"/>
              </w:rPr>
              <w:t xml:space="preserve"> kirjataan kuten etuuspohjaiset eläkkeet</w:t>
            </w:r>
            <w:r w:rsidRPr="00BB785F" w:rsidR="00A21D9E">
              <w:rPr>
                <w:rFonts w:eastAsiaTheme="minorEastAsia"/>
                <w:lang w:val="fi-FI" w:eastAsia="fi-FI"/>
              </w:rPr>
              <w:t>, vähennettynä niihin liittyvien varojen käyvällä arvolla</w:t>
            </w:r>
            <w:r w:rsidRPr="003525A7">
              <w:rPr>
                <w:rFonts w:eastAsiaTheme="minorEastAsia"/>
                <w:lang w:val="fi-FI" w:eastAsia="fi-FI"/>
              </w:rPr>
              <w:t xml:space="preserve">. </w:t>
            </w:r>
            <w:r w:rsidRPr="00E11BB0">
              <w:rPr>
                <w:rFonts w:eastAsiaTheme="minorEastAsia"/>
                <w:lang w:val="fi-FI" w:eastAsia="fi-FI"/>
              </w:rPr>
              <w:t>Pitkäaikaisten työsuhde-etuuksien muutokset on esitetty tuloslaskelmalla.</w:t>
            </w:r>
          </w:p>
          <w:p w:rsidR="006A7C9A" w:rsidRPr="00E11BB0" w14:paraId="64C1450A" w14:textId="77777777">
            <w:pPr>
              <w:pStyle w:val="Bodytext2"/>
              <w:rPr>
                <w:rFonts w:eastAsiaTheme="minorEastAsia"/>
                <w:lang w:val="fi-FI" w:eastAsia="fi-FI"/>
              </w:rPr>
            </w:pPr>
          </w:p>
          <w:p w:rsidR="006A7C9A" w:rsidRPr="00082954" w:rsidP="003525A7" w14:paraId="22EC9E8C" w14:textId="6767F2F7">
            <w:pPr>
              <w:pStyle w:val="Bodytext2"/>
              <w:rPr>
                <w:rFonts w:eastAsiaTheme="minorEastAsia"/>
                <w:lang w:val="fi-FI" w:eastAsia="fi-FI"/>
              </w:rPr>
            </w:pPr>
            <w:r w:rsidRPr="003525A7">
              <w:rPr>
                <w:lang w:val="fi-FI"/>
              </w:rPr>
              <w:t xml:space="preserve">Laadintaperiaatteet maksupohjaisiin järjestelmiin liittyen on esitetty liitetiedossa 2.5. </w:t>
            </w:r>
            <w:r w:rsidRPr="00E11BB0">
              <w:rPr>
                <w:lang w:val="fi-FI"/>
              </w:rPr>
              <w:t>Työsuhde-etuuksista aiheutuvat kulut.</w:t>
            </w:r>
          </w:p>
        </w:tc>
      </w:tr>
    </w:tbl>
    <w:p w:rsidR="006A7C9A" w:rsidP="006A7C9A" w14:paraId="7718FC12" w14:textId="7B04DC68">
      <w:pPr>
        <w:pStyle w:val="Bodytext2"/>
        <w:rPr>
          <w:lang w:val="fi-FI"/>
        </w:rPr>
      </w:pPr>
    </w:p>
    <w:tbl>
      <w:tblPr>
        <w:tblStyle w:val="TableGrid"/>
        <w:tblW w:w="7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7DFE1"/>
        <w:tblLook w:val="04A0"/>
      </w:tblPr>
      <w:tblGrid>
        <w:gridCol w:w="7371"/>
      </w:tblGrid>
      <w:tr w14:paraId="0235A1AE" w14:textId="77777777" w:rsidTr="00082954">
        <w:tblPrEx>
          <w:tblW w:w="7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7DFE1"/>
          <w:tblLook w:val="04A0"/>
        </w:tblPrEx>
        <w:tc>
          <w:tcPr>
            <w:tcW w:w="7360" w:type="dxa"/>
            <w:shd w:val="clear" w:color="auto" w:fill="D7DFE1"/>
          </w:tcPr>
          <w:p w:rsidR="00082954" w:rsidRPr="005F6726" w:rsidP="00082954" w14:paraId="24C7CC94" w14:textId="77777777">
            <w:pPr>
              <w:pStyle w:val="Heading13"/>
              <w:rPr>
                <w:lang w:val="fi-FI"/>
              </w:rPr>
            </w:pPr>
            <w:r w:rsidRPr="005F6726">
              <w:rPr>
                <w:lang w:val="fi-FI"/>
              </w:rPr>
              <w:t>Kirjanpidolliset arviot ja harkinnat</w:t>
            </w:r>
          </w:p>
          <w:p w:rsidR="00082954" w:rsidP="00082954" w14:paraId="579B771E" w14:textId="20000EC7">
            <w:pPr>
              <w:pStyle w:val="Bodytext2"/>
              <w:rPr>
                <w:lang w:val="fi-FI"/>
              </w:rPr>
            </w:pPr>
            <w:r>
              <w:rPr>
                <w:lang w:val="fi-FI"/>
              </w:rPr>
              <w:t>Jokaisen e</w:t>
            </w:r>
            <w:r w:rsidRPr="003525A7">
              <w:rPr>
                <w:lang w:val="fi-FI"/>
              </w:rPr>
              <w:t>tuuspohjaisen eläkejärjestelyn velvoitteiden määrän arvioiminen perustuu vakuut</w:t>
            </w:r>
            <w:r w:rsidRPr="003525A7">
              <w:rPr>
                <w:lang w:val="fi-FI"/>
              </w:rPr>
              <w:t>usmatemaattisiin arvioihin koskien m</w:t>
            </w:r>
            <w:r>
              <w:rPr>
                <w:lang w:val="fi-FI"/>
              </w:rPr>
              <w:t>uun muassa</w:t>
            </w:r>
            <w:r w:rsidRPr="003525A7">
              <w:rPr>
                <w:lang w:val="fi-FI"/>
              </w:rPr>
              <w:t xml:space="preserve"> tulevia palkankorotuksia, diskonttauskorkoja ja rahastoitujen varojen tuottoja. Näiden oletusten muutokset voivat olennaisesti vaikuttaa eläkevelvoitteisiin ja eläkekuluihin.</w:t>
            </w:r>
          </w:p>
        </w:tc>
      </w:tr>
    </w:tbl>
    <w:p w:rsidR="00082954" w:rsidP="006A7C9A" w14:paraId="048888CE" w14:textId="04F5069B">
      <w:pPr>
        <w:pStyle w:val="Bodytext2"/>
        <w:rPr>
          <w:lang w:val="fi-FI"/>
        </w:rPr>
      </w:pPr>
    </w:p>
    <w:tbl>
      <w:tblPr>
        <w:tblStyle w:val="TableNormal"/>
        <w:tblCaption w:val="table_employee_liabilities"/>
        <w:tblW w:w="7335" w:type="dxa"/>
        <w:tblLayout w:type="fixed"/>
        <w:tblLook w:val="0600"/>
      </w:tblPr>
      <w:tblGrid>
        <w:gridCol w:w="3960"/>
        <w:gridCol w:w="1125"/>
        <w:gridCol w:w="1125"/>
        <w:gridCol w:w="1125"/>
      </w:tblGrid>
      <w:tr>
        <w:tblPrEx>
          <w:tblW w:w="7335" w:type="dxa"/>
          <w:tblLayout w:type="fixed"/>
          <w:tblLook w:val="0600"/>
        </w:tblPrEx>
        <w:trPr>
          <w:trHeight w:val="240"/>
        </w:trPr>
        <w:tc>
          <w:tcPr>
            <w:tcW w:w="396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125"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2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12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5085" w:type="dxa"/>
            <w:gridSpan w:val="2"/>
            <w:tcBorders>
              <w:top w:val="single" w:sz="8" w:space="0" w:color="0F172B"/>
              <w:left w:val="nil"/>
              <w:bottom w:val="single" w:sz="4" w:space="0" w:color="000000"/>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Etuuspohjaisten eläkejärjestelyjen nettovarat 31.12.</w:t>
            </w:r>
          </w:p>
        </w:tc>
        <w:tc>
          <w:tcPr>
            <w:tcW w:w="112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112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5085" w:type="dxa"/>
            <w:gridSpan w:val="2"/>
            <w:tcBorders>
              <w:top w:val="single" w:sz="4" w:space="0" w:color="000000"/>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Etuuspohjaisten eläkejärjestelyjen nettovelka 31.12.</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126</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139</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5085" w:type="dxa"/>
            <w:gridSpan w:val="2"/>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pitkäaikaiset työsuhde-etuudet 31.12.</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w:t>
            </w:r>
          </w:p>
        </w:tc>
      </w:tr>
    </w:tbl>
    <w:p w:rsidR="006A7C9A" w:rsidRPr="003525A7" w:rsidP="006A7C9A" w14:paraId="3D23AE7F" w14:textId="77777777">
      <w:pPr>
        <w:pStyle w:val="Bodytext2"/>
        <w:rPr>
          <w:lang w:val="fi-FI"/>
        </w:rPr>
      </w:pPr>
    </w:p>
    <w:p w:rsidR="006A7C9A" w:rsidP="006A7C9A" w14:paraId="3AD3A3E3" w14:textId="1A7A755B">
      <w:pPr>
        <w:pStyle w:val="Bodytext2"/>
        <w:rPr>
          <w:lang w:val="fi-FI"/>
        </w:rPr>
      </w:pPr>
      <w:r w:rsidRPr="006A7C9A">
        <w:rPr>
          <w:lang w:val="fi-FI"/>
        </w:rPr>
        <w:t xml:space="preserve">Wärtsilällä on etuuspohjaisia eläkejärjestelyjä pääasiassa Euroopassa ja Aasiassa. Merkittävimmät niistä sijaitsevat Sveitsissä, Saksassa, </w:t>
      </w:r>
      <w:r>
        <w:rPr>
          <w:lang w:val="fi-FI"/>
        </w:rPr>
        <w:t>Yhdistyneissä kuningaskunnissa</w:t>
      </w:r>
      <w:r w:rsidRPr="006A7C9A">
        <w:rPr>
          <w:lang w:val="fi-FI"/>
        </w:rPr>
        <w:t xml:space="preserve"> ja Ruotsissa. Sveitsin etuuspohjaisen eläkejärjestely</w:t>
      </w:r>
      <w:r w:rsidRPr="006A7C9A">
        <w:rPr>
          <w:lang w:val="fi-FI"/>
        </w:rPr>
        <w:t>n osuus konsernin velvoitteiden kokonaismäärästä on 3</w:t>
      </w:r>
      <w:r>
        <w:rPr>
          <w:lang w:val="fi-FI"/>
        </w:rPr>
        <w:t>4</w:t>
      </w:r>
      <w:r w:rsidRPr="006A7C9A">
        <w:rPr>
          <w:lang w:val="fi-FI"/>
        </w:rPr>
        <w:t>% ja varojen kokonaismäärästä 5</w:t>
      </w:r>
      <w:r>
        <w:rPr>
          <w:lang w:val="fi-FI"/>
        </w:rPr>
        <w:t>6</w:t>
      </w:r>
      <w:r w:rsidRPr="006A7C9A">
        <w:rPr>
          <w:lang w:val="fi-FI"/>
        </w:rPr>
        <w:t xml:space="preserve">%. Suurin osa järjestelyistä tarjoaa työntekijöille elinikäisen eläkkeen tavanomaisen eläkeiän saavuttamisen </w:t>
      </w:r>
      <w:r w:rsidRPr="006A7C9A">
        <w:rPr>
          <w:lang w:val="fi-FI"/>
        </w:rPr>
        <w:t>jälkeen, mutta on myös järjestelyjä, jotka tarjoavat kertakor</w:t>
      </w:r>
      <w:r w:rsidRPr="006A7C9A">
        <w:rPr>
          <w:lang w:val="fi-FI"/>
        </w:rPr>
        <w:t>vauksen työntekijän saavuttaessa eläkeiän. Suurin osa etuuspohjaisista eläkejärjestelyistä on eläkesäätiöiden hallussa, ja niiden varat eivät sisälly konsernin varoihin. Järjestelyn varat on yleensä sijoitettu kunkin eläkesäätion hallituksen hyväksymiin ko</w:t>
      </w:r>
      <w:r w:rsidRPr="006A7C9A">
        <w:rPr>
          <w:lang w:val="fi-FI"/>
        </w:rPr>
        <w:t>hteisiin, mutta joissain tapauksissa niitä hallinnoivat kokonaisuudessaan vakuutusyhtiöt. Konserniyhtiöiden maksut eläkesäätiöille suoritetaan kunkin maan lainsäädännön ja käytännön mukaisesti. Valtuutetut aktuaarit ovat kussakin maassa suorittaneet etuusp</w:t>
      </w:r>
      <w:r w:rsidRPr="006A7C9A">
        <w:rPr>
          <w:lang w:val="fi-FI"/>
        </w:rPr>
        <w:t>ohjaisiin eläkejärjestelyihin liittyvät vakuutuslaskelmat.</w:t>
      </w:r>
    </w:p>
    <w:p w:rsidR="006A7C9A" w:rsidRPr="006A7C9A" w:rsidP="006A7C9A" w14:paraId="02243A5E" w14:textId="77777777">
      <w:pPr>
        <w:pStyle w:val="Bodytext2"/>
        <w:rPr>
          <w:lang w:val="fi-FI"/>
        </w:rPr>
      </w:pPr>
    </w:p>
    <w:p w:rsidR="006A7C9A" w:rsidRPr="006A7C9A" w:rsidP="006A7C9A" w14:paraId="6442FE13" w14:textId="77777777">
      <w:pPr>
        <w:pStyle w:val="Heading13"/>
        <w:rPr>
          <w:lang w:val="fi-FI"/>
        </w:rPr>
      </w:pPr>
      <w:r w:rsidRPr="006A7C9A">
        <w:rPr>
          <w:lang w:val="fi-FI"/>
        </w:rPr>
        <w:t>Sveitsin järjestely</w:t>
      </w:r>
    </w:p>
    <w:p w:rsidR="006A7C9A" w:rsidRPr="006A7C9A" w:rsidP="006A7C9A" w14:paraId="7728A302" w14:textId="77777777">
      <w:pPr>
        <w:pStyle w:val="Bodytext2"/>
        <w:rPr>
          <w:lang w:val="fi-FI"/>
        </w:rPr>
      </w:pPr>
      <w:r w:rsidRPr="006A7C9A">
        <w:rPr>
          <w:lang w:val="fi-FI"/>
        </w:rPr>
        <w:t xml:space="preserve">Wärtsilällä on Sveitsissä paikallisten eläkelakien ja -säännösten mukainen etuuspohjainen eläkejärjestely, johon osallistuville maksetaan eläkettä eläkkeelle jäämisen jälkeen. </w:t>
      </w:r>
      <w:r w:rsidRPr="006A7C9A">
        <w:rPr>
          <w:lang w:val="fi-FI"/>
        </w:rPr>
        <w:t>Eläke-etuus määräytyy kertyneen eläkepääoman mukaan ja se koostuu järjestelyyn työssäoloaikana maksetuista pääomista sekä niihin liittyvistä korkoeristä. Järjestelyä hoitaa eläkerahasto, jota johtaa yrityksen ulkopuolinen säätiön hallitus.</w:t>
      </w:r>
    </w:p>
    <w:p w:rsidR="006A7C9A" w:rsidRPr="006A7C9A" w:rsidP="006A7C9A" w14:paraId="6D027757" w14:textId="77777777">
      <w:pPr>
        <w:pStyle w:val="Bodytext2"/>
        <w:rPr>
          <w:lang w:val="fi-FI"/>
        </w:rPr>
      </w:pPr>
    </w:p>
    <w:p w:rsidR="006A7C9A" w:rsidRPr="006A7C9A" w:rsidP="006A7C9A" w14:paraId="12A928F0" w14:textId="4F895307">
      <w:pPr>
        <w:pStyle w:val="Bodytext2"/>
        <w:rPr>
          <w:lang w:val="fi-FI"/>
        </w:rPr>
      </w:pPr>
      <w:r w:rsidRPr="006A7C9A">
        <w:rPr>
          <w:lang w:val="fi-FI"/>
        </w:rPr>
        <w:t>Sekä työntekijä</w:t>
      </w:r>
      <w:r w:rsidRPr="006A7C9A">
        <w:rPr>
          <w:lang w:val="fi-FI"/>
        </w:rPr>
        <w:t xml:space="preserve"> että työnantaja maksavat eläkejärjestelyyn säätiön säännöissä määritellyn prosenttiosuuden </w:t>
      </w:r>
      <w:r w:rsidR="005F6726">
        <w:rPr>
          <w:lang w:val="fi-FI"/>
        </w:rPr>
        <w:t>vakuutetusta</w:t>
      </w:r>
      <w:r w:rsidR="001940A7">
        <w:rPr>
          <w:lang w:val="fi-FI"/>
        </w:rPr>
        <w:t xml:space="preserve"> </w:t>
      </w:r>
      <w:r w:rsidRPr="006A7C9A">
        <w:rPr>
          <w:lang w:val="fi-FI"/>
        </w:rPr>
        <w:t>palkasta. Työnantajan maksama eläkemaksu vaihtelee työntekijän iän mukaan ja se kattaa keskimäärin kaksi kolmasosaa kokonaismaksusta.</w:t>
      </w:r>
    </w:p>
    <w:p w:rsidR="006A7C9A" w:rsidRPr="006A7C9A" w:rsidP="006A7C9A" w14:paraId="7E943B0D" w14:textId="77777777">
      <w:pPr>
        <w:pStyle w:val="Bodytext2"/>
        <w:rPr>
          <w:lang w:val="fi-FI"/>
        </w:rPr>
      </w:pPr>
    </w:p>
    <w:p w:rsidR="006A7C9A" w:rsidRPr="006A7C9A" w:rsidP="006A7C9A" w14:paraId="17AA66F3" w14:textId="27441EF8">
      <w:pPr>
        <w:pStyle w:val="Bodytext2"/>
        <w:rPr>
          <w:lang w:val="fi-FI"/>
        </w:rPr>
      </w:pPr>
      <w:r w:rsidRPr="001D140F">
        <w:rPr>
          <w:color w:val="auto"/>
          <w:lang w:val="fi-FI"/>
        </w:rPr>
        <w:t>Eläkesäätiön inv</w:t>
      </w:r>
      <w:r w:rsidRPr="001D140F">
        <w:rPr>
          <w:color w:val="auto"/>
          <w:lang w:val="fi-FI"/>
        </w:rPr>
        <w:t xml:space="preserve">estointistrategiasta vastaa säätiön hallitus ja varat sijoitetaan tämän strategian sekä paikallisen lainsäädännön ja käytännön mukaisesti. Järjestelyn </w:t>
      </w:r>
      <w:r w:rsidRPr="006A7C9A">
        <w:rPr>
          <w:lang w:val="fi-FI"/>
        </w:rPr>
        <w:t>muita riskejä valitun investointistrategian lisäksi ovat pidennys eliniän odotteessa sekä ennenaikainen k</w:t>
      </w:r>
      <w:r w:rsidRPr="006A7C9A">
        <w:rPr>
          <w:lang w:val="fi-FI"/>
        </w:rPr>
        <w:t>uolema tai vammautuminen. Eläkejärjestelyt on vakuutettu kuoleman ja vammautumisriskin osalta 31.12.20</w:t>
      </w:r>
      <w:r>
        <w:rPr>
          <w:lang w:val="fi-FI"/>
        </w:rPr>
        <w:t>2</w:t>
      </w:r>
      <w:r w:rsidR="001940A7">
        <w:rPr>
          <w:lang w:val="fi-FI"/>
        </w:rPr>
        <w:t>1</w:t>
      </w:r>
      <w:r w:rsidRPr="006A7C9A">
        <w:rPr>
          <w:lang w:val="fi-FI"/>
        </w:rPr>
        <w:t>. Inflaatiosta johtuva mahdollinen maksettavien eläkkeiden nousu on säätiön hallituksen harkintavallassa, kun maksettavan eläkkeen määrä ylittää lainsää</w:t>
      </w:r>
      <w:r w:rsidRPr="006A7C9A">
        <w:rPr>
          <w:lang w:val="fi-FI"/>
        </w:rPr>
        <w:t>dännössä määritetyn minimieläkkeen.</w:t>
      </w:r>
    </w:p>
    <w:p w:rsidR="006A7C9A" w:rsidRPr="006A7C9A" w:rsidP="006A7C9A" w14:paraId="7F3C2A40" w14:textId="4DE6C227">
      <w:pPr>
        <w:pStyle w:val="Bodytext2"/>
        <w:rPr>
          <w:lang w:val="fi-FI"/>
        </w:rPr>
      </w:pPr>
    </w:p>
    <w:p w:rsidR="006A7C9A" w:rsidRPr="006A7C9A" w:rsidP="006A7C9A" w14:paraId="422DDF5F" w14:textId="7D97CFCA">
      <w:pPr>
        <w:pStyle w:val="Heading13"/>
        <w:rPr>
          <w:lang w:val="fi-FI"/>
        </w:rPr>
      </w:pPr>
      <w:r>
        <w:rPr>
          <w:lang w:val="fi-FI"/>
        </w:rPr>
        <w:t>S</w:t>
      </w:r>
      <w:r w:rsidRPr="006A7C9A">
        <w:rPr>
          <w:lang w:val="fi-FI"/>
        </w:rPr>
        <w:t>aksan järjestelyt</w:t>
      </w:r>
    </w:p>
    <w:p w:rsidR="006A7C9A" w:rsidRPr="006A7C9A" w:rsidP="006A7C9A" w14:paraId="2EAB5A0F" w14:textId="77777777">
      <w:pPr>
        <w:pStyle w:val="Bodytext2"/>
        <w:rPr>
          <w:lang w:val="fi-FI"/>
        </w:rPr>
      </w:pPr>
      <w:r w:rsidRPr="006A7C9A">
        <w:rPr>
          <w:lang w:val="fi-FI"/>
        </w:rPr>
        <w:t>Wärtsilällä on Saksassa paikallisten eläkelakien ja -säännösten mukaisia etuuspohjaisia eläkejärjestelyjä, joihin osallistuville maksetaan eläkettä eläkkeelle jäämisen jälkeen. Eläke-etuus määräytyy k</w:t>
      </w:r>
      <w:r w:rsidRPr="006A7C9A">
        <w:rPr>
          <w:lang w:val="fi-FI"/>
        </w:rPr>
        <w:t>ertyneen eläkepääoman mukaan ja se koostuu järjestelyyn työssäoloaikana maksetuista pääomista sekä niihin liittyvistä korkoeristä. Järjestelyjä on erilaisia, rahastoimattomista eläkerahaston hoitamaan järjestelyyn.</w:t>
      </w:r>
    </w:p>
    <w:p w:rsidR="006A7C9A" w:rsidRPr="006A7C9A" w:rsidP="006A7C9A" w14:paraId="7EAAAED0" w14:textId="77777777">
      <w:pPr>
        <w:pStyle w:val="Bodytext2"/>
        <w:rPr>
          <w:lang w:val="fi-FI"/>
        </w:rPr>
      </w:pPr>
    </w:p>
    <w:p w:rsidR="006A7C9A" w:rsidRPr="006A7C9A" w:rsidP="006A7C9A" w14:paraId="750158B2" w14:textId="2808E9A1">
      <w:pPr>
        <w:pStyle w:val="Bodytext2"/>
        <w:rPr>
          <w:lang w:val="fi-FI"/>
        </w:rPr>
      </w:pPr>
      <w:r w:rsidRPr="006A7C9A">
        <w:rPr>
          <w:lang w:val="fi-FI"/>
        </w:rPr>
        <w:t xml:space="preserve">Joissain järjestelyissä sekä työntekijä </w:t>
      </w:r>
      <w:r w:rsidRPr="006A7C9A">
        <w:rPr>
          <w:lang w:val="fi-FI"/>
        </w:rPr>
        <w:t>että työnantaja maksavat eläkejärjestelyyn säätiön säännöissä määritellyn prosenttiosuuden palkasta</w:t>
      </w:r>
      <w:r>
        <w:rPr>
          <w:lang w:val="fi-FI"/>
        </w:rPr>
        <w:t>,</w:t>
      </w:r>
      <w:r w:rsidRPr="006A7C9A">
        <w:rPr>
          <w:lang w:val="fi-FI"/>
        </w:rPr>
        <w:t xml:space="preserve"> mutta osassa järjestelyitä vain työnantaja on maksuvelvollinen. Työnantajan maksama eläkemaksu voi vaihdella työntekijän iän, työsuhteen keston ja työntekijän aseman mukaan.</w:t>
      </w:r>
    </w:p>
    <w:p w:rsidR="006A7C9A" w:rsidRPr="006A7C9A" w:rsidP="006A7C9A" w14:paraId="4FB49DAC" w14:textId="77777777">
      <w:pPr>
        <w:pStyle w:val="Bodytext2"/>
        <w:rPr>
          <w:lang w:val="fi-FI"/>
        </w:rPr>
      </w:pPr>
    </w:p>
    <w:p w:rsidR="006A7C9A" w:rsidRPr="00FC3738" w:rsidP="00FC3738" w14:paraId="67002182" w14:textId="4219986A">
      <w:pPr>
        <w:pStyle w:val="Bodytext2"/>
        <w:spacing w:before="0"/>
        <w:rPr>
          <w:sz w:val="2"/>
          <w:szCs w:val="2"/>
          <w:lang w:val="fi-FI"/>
        </w:rPr>
      </w:pPr>
      <w:r w:rsidRPr="006A7C9A">
        <w:rPr>
          <w:lang w:val="fi-FI"/>
        </w:rPr>
        <w:t>Järjestelyjen riskejä ovat pidennys eliniän odotteessa, ennenaikainen kuolema ta</w:t>
      </w:r>
      <w:r w:rsidRPr="006A7C9A">
        <w:rPr>
          <w:lang w:val="fi-FI"/>
        </w:rPr>
        <w:t xml:space="preserve">i vammautuminen sekä mahdollisen eläkesäätiön varojen hallinnoimiseksi valittu investointistrategia. </w:t>
      </w:r>
      <w:r w:rsidRPr="003525A7">
        <w:rPr>
          <w:lang w:val="fi-FI"/>
        </w:rPr>
        <w:t>Inflaatiosta johtuva maksettavien eläkkeiden nousu tarkastetaan vuosittain.</w:t>
      </w:r>
      <w:r>
        <w:rPr>
          <w:lang w:val="fi-FI"/>
        </w:rPr>
        <w:br w:type="column"/>
      </w:r>
      <w:r w:rsidRPr="00FC3738">
        <w:rPr>
          <w:sz w:val="2"/>
          <w:szCs w:val="2"/>
          <w:lang w:val="fi-FI"/>
        </w:rPr>
        <w:t xml:space="preserve">     </w:t>
      </w:r>
    </w:p>
    <w:tbl>
      <w:tblPr>
        <w:tblStyle w:val="TableNormal"/>
        <w:tblCaption w:val="table_net_pension_liability"/>
        <w:tblW w:w="7335" w:type="dxa"/>
        <w:tblLayout w:type="fixed"/>
        <w:tblLook w:val="0600"/>
      </w:tblPr>
      <w:tblGrid>
        <w:gridCol w:w="3960"/>
        <w:gridCol w:w="1125"/>
        <w:gridCol w:w="1125"/>
        <w:gridCol w:w="1125"/>
      </w:tblGrid>
      <w:tr>
        <w:tblPrEx>
          <w:tblW w:w="7335" w:type="dxa"/>
          <w:tblLayout w:type="fixed"/>
          <w:tblLook w:val="0600"/>
        </w:tblPrEx>
        <w:trPr>
          <w:trHeight w:val="240"/>
        </w:trPr>
        <w:tc>
          <w:tcPr>
            <w:tcW w:w="396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125"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2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12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5085" w:type="dxa"/>
            <w:gridSpan w:val="2"/>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Rahastoimattomien velvoitteiden nykyarvo</w:t>
            </w:r>
          </w:p>
        </w:tc>
        <w:tc>
          <w:tcPr>
            <w:tcW w:w="112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102</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111</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5085" w:type="dxa"/>
            <w:gridSpan w:val="2"/>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Rahastoitujen velvoitteiden nykyarvo</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181</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180</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5085" w:type="dxa"/>
            <w:gridSpan w:val="2"/>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Varojen käypä arvo</w:t>
            </w:r>
          </w:p>
        </w:tc>
        <w:tc>
          <w:tcPr>
            <w:tcW w:w="112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-164</w:t>
            </w:r>
          </w:p>
        </w:tc>
        <w:tc>
          <w:tcPr>
            <w:tcW w:w="11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-151</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5085" w:type="dxa"/>
            <w:gridSpan w:val="2"/>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Nettovelka taseessa</w:t>
            </w:r>
          </w:p>
        </w:tc>
        <w:tc>
          <w:tcPr>
            <w:tcW w:w="112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120</w:t>
            </w:r>
          </w:p>
        </w:tc>
        <w:tc>
          <w:tcPr>
            <w:tcW w:w="112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139</w:t>
            </w:r>
          </w:p>
        </w:tc>
      </w:tr>
    </w:tbl>
    <w:p w:rsidR="006A7C9A" w:rsidRPr="003525A7" w:rsidP="006A7C9A" w14:paraId="5A10FA44" w14:textId="77777777">
      <w:pPr>
        <w:pStyle w:val="Bodytext2"/>
        <w:rPr>
          <w:lang w:val="fi-FI"/>
        </w:rPr>
      </w:pPr>
    </w:p>
    <w:tbl>
      <w:tblPr>
        <w:tblStyle w:val="TableNormal"/>
        <w:tblCaption w:val="table_pension_percentages"/>
        <w:tblW w:w="7335" w:type="dxa"/>
        <w:tblLayout w:type="fixed"/>
        <w:tblLook w:val="0600"/>
      </w:tblPr>
      <w:tblGrid>
        <w:gridCol w:w="3960"/>
        <w:gridCol w:w="1125"/>
        <w:gridCol w:w="1125"/>
        <w:gridCol w:w="1125"/>
      </w:tblGrid>
      <w:tr>
        <w:tblPrEx>
          <w:tblW w:w="7335" w:type="dxa"/>
          <w:tblLayout w:type="fixed"/>
          <w:tblLook w:val="0600"/>
        </w:tblPrEx>
        <w:trPr>
          <w:trHeight w:val="240"/>
        </w:trPr>
        <w:tc>
          <w:tcPr>
            <w:tcW w:w="396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w:t>
            </w:r>
          </w:p>
        </w:tc>
        <w:tc>
          <w:tcPr>
            <w:tcW w:w="1125"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2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Etuus-</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pohjaisen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velvoitteen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nykyarvo</w:t>
            </w:r>
          </w:p>
        </w:tc>
        <w:tc>
          <w:tcPr>
            <w:tcW w:w="112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Järjestelyyn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kuuluvien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varojen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käypä arvo</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5085" w:type="dxa"/>
            <w:gridSpan w:val="2"/>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Sveitsi</w:t>
            </w:r>
          </w:p>
        </w:tc>
        <w:tc>
          <w:tcPr>
            <w:tcW w:w="112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34</w:t>
            </w:r>
          </w:p>
        </w:tc>
        <w:tc>
          <w:tcPr>
            <w:tcW w:w="112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56</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5085" w:type="dxa"/>
            <w:gridSpan w:val="2"/>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Saksa</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w:t>
            </w: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5085" w:type="dxa"/>
            <w:gridSpan w:val="2"/>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 Eurooppa</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37</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33</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085" w:type="dxa"/>
            <w:gridSpan w:val="2"/>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Aasia</w:t>
            </w:r>
          </w:p>
        </w:tc>
        <w:tc>
          <w:tcPr>
            <w:tcW w:w="112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w:t>
            </w:r>
          </w:p>
        </w:tc>
        <w:tc>
          <w:tcPr>
            <w:tcW w:w="112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5085" w:type="dxa"/>
            <w:gridSpan w:val="2"/>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12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100</w:t>
            </w:r>
          </w:p>
        </w:tc>
        <w:tc>
          <w:tcPr>
            <w:tcW w:w="112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100</w:t>
            </w:r>
          </w:p>
        </w:tc>
      </w:tr>
    </w:tbl>
    <w:p w:rsidR="006A7C9A" w:rsidP="006A7C9A" w14:paraId="27F60339" w14:textId="77777777">
      <w:pPr>
        <w:pStyle w:val="Bodytext2"/>
      </w:pPr>
    </w:p>
    <w:tbl>
      <w:tblPr>
        <w:tblStyle w:val="TableNormal"/>
        <w:tblCaption w:val="table_pension_obligations"/>
        <w:tblW w:w="7335" w:type="dxa"/>
        <w:tblLayout w:type="fixed"/>
        <w:tblLook w:val="0600"/>
      </w:tblPr>
      <w:tblGrid>
        <w:gridCol w:w="3960"/>
        <w:gridCol w:w="1125"/>
        <w:gridCol w:w="1125"/>
        <w:gridCol w:w="1125"/>
      </w:tblGrid>
      <w:tr>
        <w:tblPrEx>
          <w:tblW w:w="7335" w:type="dxa"/>
          <w:tblLayout w:type="fixed"/>
          <w:tblLook w:val="0600"/>
        </w:tblPrEx>
        <w:trPr>
          <w:trHeight w:val="240"/>
        </w:trPr>
        <w:tc>
          <w:tcPr>
            <w:tcW w:w="396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12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Etuus-</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pohjaisen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velvoitteen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nykyarvo</w:t>
            </w:r>
          </w:p>
        </w:tc>
        <w:tc>
          <w:tcPr>
            <w:tcW w:w="112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Järjestelyyn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kuuluvien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varojen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käypä arvo</w:t>
            </w:r>
          </w:p>
        </w:tc>
        <w:tc>
          <w:tcPr>
            <w:tcW w:w="112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Etuus-</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pohjainen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nettovelka</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Velvoitteiden ja varojen arvo 1.1.2020</w:t>
            </w:r>
          </w:p>
        </w:tc>
        <w:tc>
          <w:tcPr>
            <w:tcW w:w="1125"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299</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-146</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155</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Valuuttakurssimuutokset</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Kirjattu tuloslaskelmaan:</w:t>
            </w:r>
          </w:p>
        </w:tc>
        <w:tc>
          <w:tcPr>
            <w:tcW w:w="1125"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Kauden työsuoritukseen perustuva meno</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w:t>
            </w: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Aiempaan työsuoritukseen perustuva meno</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Voitot (-) / tappiot (+) velvoitteen täyttämisestä</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Korkokulu (+) / korkotuotto (-)</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Uudelleenmäärittämisestä johtuvat erät muissa laajan tuloslaskelman erissä:</w:t>
            </w:r>
          </w:p>
        </w:tc>
        <w:tc>
          <w:tcPr>
            <w:tcW w:w="1125"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Järjestelyyn kuuluvien varojen tuotto, pois lukien korkotuotto</w:t>
            </w:r>
          </w:p>
        </w:tc>
        <w:tc>
          <w:tcPr>
            <w:tcW w:w="1125"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Kokemusperusteiset oikaisut</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Taloudellisten oletusten muutokset</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w:t>
            </w: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Järjestelyyn osallisten maksusuoritukset</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Työnantajan maksusuoritukset</w:t>
            </w:r>
          </w:p>
        </w:tc>
        <w:tc>
          <w:tcPr>
            <w:tcW w:w="1125"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Maksetut etuudet</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-22</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Uudelleenryhmittely myytävänä oleviin omaisuuseriin</w:t>
            </w:r>
          </w:p>
        </w:tc>
        <w:tc>
          <w:tcPr>
            <w:tcW w:w="11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1125"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Velvoitteiden ja varojen arvo 31.12.2020</w:t>
            </w:r>
          </w:p>
        </w:tc>
        <w:tc>
          <w:tcPr>
            <w:tcW w:w="112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290</w:t>
            </w:r>
          </w:p>
        </w:tc>
        <w:tc>
          <w:tcPr>
            <w:tcW w:w="112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-151</w:t>
            </w:r>
          </w:p>
        </w:tc>
        <w:tc>
          <w:tcPr>
            <w:tcW w:w="112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139</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25"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Velvoitteiden ja varojen arvo 1.1.2021</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290</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-151</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139</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Valuuttakurssimuutokset</w:t>
            </w:r>
          </w:p>
        </w:tc>
        <w:tc>
          <w:tcPr>
            <w:tcW w:w="1125"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Yrityshankinnat ja -myynnit</w:t>
            </w:r>
          </w:p>
        </w:tc>
        <w:tc>
          <w:tcPr>
            <w:tcW w:w="1125"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nil"/>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Kirjattu tuloslaskelmaan:</w:t>
            </w:r>
          </w:p>
        </w:tc>
        <w:tc>
          <w:tcPr>
            <w:tcW w:w="1125" w:type="dxa"/>
            <w:tcBorders>
              <w:top w:val="nil"/>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Kauden työsuoritukseen perustuva meno</w:t>
            </w:r>
          </w:p>
        </w:tc>
        <w:tc>
          <w:tcPr>
            <w:tcW w:w="1125"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w:t>
            </w: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nil"/>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Korkokulu (+) / korkotuotto (-)</w:t>
            </w:r>
          </w:p>
        </w:tc>
        <w:tc>
          <w:tcPr>
            <w:tcW w:w="1125" w:type="dxa"/>
            <w:tcBorders>
              <w:top w:val="nil"/>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112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112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Uudelleenmäärittämisestä johtuvat erät muissa laajan tuloslaskelman erissä:</w:t>
            </w: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Järjestelyyn kuuluvien varojen tuotto, pois lukien korkotuotto</w:t>
            </w:r>
          </w:p>
        </w:tc>
        <w:tc>
          <w:tcPr>
            <w:tcW w:w="1125" w:type="dxa"/>
            <w:tcBorders>
              <w:top w:val="single" w:sz="4" w:space="0" w:color="004A6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Kokemusperusteiset oikaisut</w:t>
            </w:r>
          </w:p>
        </w:tc>
        <w:tc>
          <w:tcPr>
            <w:tcW w:w="1125"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Väestötilastollisten oletusten muutokset</w:t>
            </w:r>
          </w:p>
        </w:tc>
        <w:tc>
          <w:tcPr>
            <w:tcW w:w="1125"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Taloudellisten oletusten muutokset</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Järjestelyyn osallisten maksusuoritukset</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Työnantajan maksusuoritukset</w:t>
            </w: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Maksetut etuudet</w:t>
            </w:r>
          </w:p>
        </w:tc>
        <w:tc>
          <w:tcPr>
            <w:tcW w:w="112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-19</w:t>
            </w:r>
          </w:p>
        </w:tc>
        <w:tc>
          <w:tcPr>
            <w:tcW w:w="112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c>
          <w:tcPr>
            <w:tcW w:w="112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nil"/>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Velvoitteiden ja varojen arvo 31.12.2021</w:t>
            </w:r>
          </w:p>
        </w:tc>
        <w:tc>
          <w:tcPr>
            <w:tcW w:w="1125" w:type="dxa"/>
            <w:tcBorders>
              <w:top w:val="nil"/>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282</w:t>
            </w:r>
          </w:p>
        </w:tc>
        <w:tc>
          <w:tcPr>
            <w:tcW w:w="1125" w:type="dxa"/>
            <w:tcBorders>
              <w:top w:val="nil"/>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164</w:t>
            </w:r>
          </w:p>
        </w:tc>
        <w:tc>
          <w:tcPr>
            <w:tcW w:w="1125" w:type="dxa"/>
            <w:tcBorders>
              <w:top w:val="nil"/>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120</w:t>
            </w:r>
          </w:p>
        </w:tc>
      </w:tr>
    </w:tbl>
    <w:p w:rsidR="006A7C9A" w:rsidP="006A7C9A" w14:paraId="4DA2AC20" w14:textId="77777777">
      <w:pPr>
        <w:pStyle w:val="Bodytext2"/>
      </w:pPr>
    </w:p>
    <w:p w:rsidR="006A7C9A" w:rsidRPr="006A7C9A" w:rsidP="006A7C9A" w14:paraId="0B27E9FA" w14:textId="1547D07F">
      <w:pPr>
        <w:pStyle w:val="Heading13"/>
        <w:rPr>
          <w:lang w:val="fi-FI"/>
        </w:rPr>
      </w:pPr>
      <w:r w:rsidRPr="006A7C9A">
        <w:rPr>
          <w:lang w:val="fi-FI"/>
        </w:rPr>
        <w:t>Järjestelyyn kuuluvien varojen jakautuminen omaisuusryhmittäin:</w:t>
      </w:r>
    </w:p>
    <w:tbl>
      <w:tblPr>
        <w:tblStyle w:val="TableNormal"/>
        <w:tblCaption w:val="table_plan_investments"/>
        <w:tblW w:w="7335" w:type="dxa"/>
        <w:tblLayout w:type="fixed"/>
        <w:tblLook w:val="0600"/>
      </w:tblPr>
      <w:tblGrid>
        <w:gridCol w:w="3960"/>
        <w:gridCol w:w="1125"/>
        <w:gridCol w:w="1125"/>
        <w:gridCol w:w="1125"/>
      </w:tblGrid>
      <w:tr>
        <w:tblPrEx>
          <w:tblW w:w="7335" w:type="dxa"/>
          <w:tblLayout w:type="fixed"/>
          <w:tblLook w:val="0600"/>
        </w:tblPrEx>
        <w:trPr>
          <w:trHeight w:val="240"/>
        </w:trPr>
        <w:tc>
          <w:tcPr>
            <w:tcW w:w="396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w:t>
            </w:r>
          </w:p>
        </w:tc>
        <w:tc>
          <w:tcPr>
            <w:tcW w:w="1125"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2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12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085" w:type="dxa"/>
            <w:gridSpan w:val="2"/>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Oman pääoman ehtoiset instrumentit</w:t>
            </w:r>
          </w:p>
        </w:tc>
        <w:tc>
          <w:tcPr>
            <w:tcW w:w="112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085" w:type="dxa"/>
            <w:gridSpan w:val="2"/>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Joukkovelkakirjat ja muut rahoitusinstrumentit</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40</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39</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085" w:type="dxa"/>
            <w:gridSpan w:val="2"/>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Kiinteistöt</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085" w:type="dxa"/>
            <w:gridSpan w:val="2"/>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saamiset</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23</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26</w:t>
            </w:r>
          </w:p>
        </w:tc>
      </w:tr>
    </w:tbl>
    <w:p w:rsidR="00082954" w:rsidP="006A7C9A" w14:paraId="318CB332" w14:textId="77777777">
      <w:pPr>
        <w:pStyle w:val="Heading13"/>
        <w:rPr>
          <w:lang w:val="fi-FI"/>
        </w:rPr>
      </w:pPr>
    </w:p>
    <w:p w:rsidR="006A7C9A" w:rsidRPr="006A7C9A" w:rsidP="006A7C9A" w14:paraId="3CCC5CFE" w14:textId="5D2D651B">
      <w:pPr>
        <w:pStyle w:val="Heading13"/>
        <w:rPr>
          <w:lang w:val="fi-FI"/>
        </w:rPr>
      </w:pPr>
      <w:r w:rsidRPr="006A7C9A">
        <w:rPr>
          <w:lang w:val="fi-FI"/>
        </w:rPr>
        <w:t>Tärkeimmät vakuutusmatemaattiset oletukset tilikauden lopussa ovat (ilmoitettu painotettuna keskiar</w:t>
      </w:r>
      <w:r w:rsidRPr="006A7C9A">
        <w:rPr>
          <w:lang w:val="fi-FI"/>
        </w:rPr>
        <w:t>vona):</w:t>
      </w:r>
    </w:p>
    <w:tbl>
      <w:tblPr>
        <w:tblStyle w:val="TableNormal"/>
        <w:tblCaption w:val="table_actuarial_assumptions"/>
        <w:tblW w:w="7335" w:type="dxa"/>
        <w:tblLayout w:type="fixed"/>
        <w:tblLook w:val="0600"/>
      </w:tblPr>
      <w:tblGrid>
        <w:gridCol w:w="3960"/>
        <w:gridCol w:w="1125"/>
        <w:gridCol w:w="1125"/>
        <w:gridCol w:w="1125"/>
      </w:tblGrid>
      <w:tr>
        <w:tblPrEx>
          <w:tblW w:w="7335" w:type="dxa"/>
          <w:tblLayout w:type="fixed"/>
          <w:tblLook w:val="0600"/>
        </w:tblPrEx>
        <w:trPr>
          <w:trHeight w:val="240"/>
        </w:trPr>
        <w:tc>
          <w:tcPr>
            <w:tcW w:w="396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w:t>
            </w:r>
          </w:p>
        </w:tc>
        <w:tc>
          <w:tcPr>
            <w:tcW w:w="1125"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2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12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085" w:type="dxa"/>
            <w:gridSpan w:val="2"/>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Diskonttauskorko</w:t>
            </w:r>
          </w:p>
        </w:tc>
        <w:tc>
          <w:tcPr>
            <w:tcW w:w="112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1,27</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085" w:type="dxa"/>
            <w:gridSpan w:val="2"/>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Palkkojen nousu</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2,22</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2,01</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085" w:type="dxa"/>
            <w:gridSpan w:val="2"/>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Eläkkeiden nousu</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1,10</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w:t>
            </w:r>
          </w:p>
        </w:tc>
      </w:tr>
    </w:tbl>
    <w:p w:rsidR="005B6D21" w:rsidP="006A7C9A" w14:paraId="0E41032A" w14:textId="77777777">
      <w:pPr>
        <w:pStyle w:val="Bodytext2"/>
        <w:rPr>
          <w:lang w:val="fi-FI"/>
        </w:rPr>
      </w:pPr>
    </w:p>
    <w:p w:rsidR="006A7C9A" w:rsidP="006A7C9A" w14:paraId="5D242D85" w14:textId="6B7BD36A">
      <w:pPr>
        <w:pStyle w:val="Bodytext2"/>
        <w:rPr>
          <w:lang w:val="fi-FI"/>
        </w:rPr>
      </w:pPr>
      <w:r w:rsidRPr="006A7C9A">
        <w:rPr>
          <w:lang w:val="fi-FI"/>
        </w:rPr>
        <w:t>31.12.20</w:t>
      </w:r>
      <w:r>
        <w:rPr>
          <w:lang w:val="fi-FI"/>
        </w:rPr>
        <w:t xml:space="preserve">21 </w:t>
      </w:r>
      <w:r w:rsidRPr="006A7C9A">
        <w:rPr>
          <w:lang w:val="fi-FI"/>
        </w:rPr>
        <w:t xml:space="preserve">etuuspohjaisten velvoitteiden duraation painotettu keskiarvo oli </w:t>
      </w:r>
      <w:r>
        <w:rPr>
          <w:lang w:val="fi-FI"/>
        </w:rPr>
        <w:t>10</w:t>
      </w:r>
      <w:r w:rsidRPr="006A7C9A">
        <w:rPr>
          <w:lang w:val="fi-FI"/>
        </w:rPr>
        <w:t xml:space="preserve"> vuotta</w:t>
      </w:r>
      <w:r>
        <w:rPr>
          <w:lang w:val="fi-FI"/>
        </w:rPr>
        <w:t xml:space="preserve"> (8)</w:t>
      </w:r>
      <w:r w:rsidRPr="006A7C9A">
        <w:rPr>
          <w:lang w:val="fi-FI"/>
        </w:rPr>
        <w:t xml:space="preserve">. Konserni odottaa maksavansa </w:t>
      </w:r>
      <w:r>
        <w:rPr>
          <w:lang w:val="fi-FI"/>
        </w:rPr>
        <w:t>6</w:t>
      </w:r>
      <w:r w:rsidRPr="006A7C9A">
        <w:rPr>
          <w:lang w:val="fi-FI"/>
        </w:rPr>
        <w:t xml:space="preserve"> milj</w:t>
      </w:r>
      <w:r>
        <w:rPr>
          <w:lang w:val="fi-FI"/>
        </w:rPr>
        <w:t>oonaa</w:t>
      </w:r>
      <w:r w:rsidRPr="006A7C9A">
        <w:rPr>
          <w:lang w:val="fi-FI"/>
        </w:rPr>
        <w:t xml:space="preserve"> euroa</w:t>
      </w:r>
      <w:r>
        <w:rPr>
          <w:lang w:val="fi-FI"/>
        </w:rPr>
        <w:t xml:space="preserve"> (3)</w:t>
      </w:r>
      <w:r w:rsidRPr="006A7C9A">
        <w:rPr>
          <w:lang w:val="fi-FI"/>
        </w:rPr>
        <w:t xml:space="preserve"> etuuspohjaisiin järjestelyihin seuraavan tilikauden aikana.</w:t>
      </w:r>
    </w:p>
    <w:p w:rsidR="006A7C9A" w:rsidRPr="006A7C9A" w:rsidP="006A7C9A" w14:paraId="1E7CF494" w14:textId="77777777">
      <w:pPr>
        <w:pStyle w:val="Bodytext2"/>
        <w:rPr>
          <w:lang w:val="fi-FI"/>
        </w:rPr>
      </w:pPr>
    </w:p>
    <w:p w:rsidR="006A7C9A" w:rsidP="006A7C9A" w14:paraId="02158B87" w14:textId="3ABF882A">
      <w:pPr>
        <w:pStyle w:val="Bodytext2"/>
        <w:rPr>
          <w:lang w:val="fi-FI"/>
        </w:rPr>
      </w:pPr>
      <w:r w:rsidRPr="006A7C9A">
        <w:rPr>
          <w:lang w:val="fi-FI"/>
        </w:rPr>
        <w:t>Tulevaisuuden</w:t>
      </w:r>
      <w:r w:rsidRPr="006A7C9A">
        <w:rPr>
          <w:lang w:val="fi-FI"/>
        </w:rPr>
        <w:t xml:space="preserve"> kuolleisuusolettama perustuu aktuaarien laskelmiin, jotka pohjautuvat kussakin maassa julkaistuihin tilastoihin ja kokemuksiin. Näiden perusteella arvioitu painotettu keskimääräinen jäljellä oleva elinikä eläkeiän saavuttamisen jälkeen on seuraava:</w:t>
      </w:r>
    </w:p>
    <w:p w:rsidR="006A7C9A" w:rsidRPr="003525A7" w:rsidP="006A7C9A" w14:paraId="60D78826" w14:textId="77777777">
      <w:pPr>
        <w:pStyle w:val="Bodytext2"/>
        <w:rPr>
          <w:lang w:val="fi-FI"/>
        </w:rPr>
      </w:pPr>
    </w:p>
    <w:tbl>
      <w:tblPr>
        <w:tblStyle w:val="TableNormal"/>
        <w:tblCaption w:val="table_plan_participants"/>
        <w:tblW w:w="7335" w:type="dxa"/>
        <w:tblLayout w:type="fixed"/>
        <w:tblLook w:val="0600"/>
      </w:tblPr>
      <w:tblGrid>
        <w:gridCol w:w="3960"/>
        <w:gridCol w:w="1125"/>
        <w:gridCol w:w="1125"/>
        <w:gridCol w:w="1125"/>
      </w:tblGrid>
      <w:tr>
        <w:tblPrEx>
          <w:tblW w:w="7335" w:type="dxa"/>
          <w:tblLayout w:type="fixed"/>
          <w:tblLook w:val="0600"/>
        </w:tblPrEx>
        <w:trPr>
          <w:trHeight w:val="240"/>
        </w:trPr>
        <w:tc>
          <w:tcPr>
            <w:tcW w:w="3960"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125"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2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12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5085" w:type="dxa"/>
            <w:gridSpan w:val="2"/>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Järjestelyyn kuuluvien henkilöiden eläkeikä tilikauden lopussa:</w:t>
            </w:r>
          </w:p>
        </w:tc>
        <w:tc>
          <w:tcPr>
            <w:tcW w:w="112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085" w:type="dxa"/>
            <w:gridSpan w:val="2"/>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miehet</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17,4</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17,3</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085" w:type="dxa"/>
            <w:gridSpan w:val="2"/>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naiset</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19,7</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19,8</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5085" w:type="dxa"/>
            <w:gridSpan w:val="2"/>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Järjestelyyn kuuluvien henkilöiden eläkeikä 20 vuoden kuluttua tilikauden päättymisestä:</w:t>
            </w:r>
          </w:p>
        </w:tc>
        <w:tc>
          <w:tcPr>
            <w:tcW w:w="112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085" w:type="dxa"/>
            <w:gridSpan w:val="2"/>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miehet</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17,1</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17,0</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085" w:type="dxa"/>
            <w:gridSpan w:val="2"/>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naiset</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19,1</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19,1</w:t>
            </w:r>
          </w:p>
        </w:tc>
      </w:tr>
    </w:tbl>
    <w:p w:rsidR="006A7C9A" w:rsidRPr="003525A7" w:rsidP="006A7C9A" w14:paraId="19FCCD18" w14:textId="77777777">
      <w:pPr>
        <w:pStyle w:val="Bodytext2"/>
        <w:rPr>
          <w:lang w:val="fi-FI"/>
        </w:rPr>
      </w:pPr>
    </w:p>
    <w:p w:rsidR="006A7C9A" w:rsidP="006A7C9A" w14:paraId="29B17E73" w14:textId="79A2BBE4">
      <w:pPr>
        <w:pStyle w:val="Bodytext2"/>
        <w:rPr>
          <w:lang w:val="fi-FI"/>
        </w:rPr>
      </w:pPr>
      <w:r>
        <w:rPr>
          <w:lang w:val="fi-FI"/>
        </w:rPr>
        <w:t>Jokaiselle merkittävälle vakuutusmatemaattiselle oletukselle tehdyt herkkyysanalyysit on esitetty alla olevassa taulukossa. Taulukosta käy ilmi miten muutokset vakuutusmatemaattisissa oletuksissa, jotka olisivat olleet kohtuullisis</w:t>
      </w:r>
      <w:r>
        <w:rPr>
          <w:lang w:val="fi-FI"/>
        </w:rPr>
        <w:t>sa määrin mahdollisia tilikauden lopussa, olisivat vaikuttaneet etuuspohjaisten eläkejärjestelyjen velvoitteisiin. Tehdyt herkkyysanalyysit soveltuvat vain etuuspohjaisten eläkejärjestelyjen velvoitteisiin eikä etuuspohjaisiin eläkevelkoihin kokonaisuudess</w:t>
      </w:r>
      <w:r>
        <w:rPr>
          <w:lang w:val="fi-FI"/>
        </w:rPr>
        <w:t>aan.</w:t>
      </w:r>
    </w:p>
    <w:p w:rsidR="006A7C9A" w:rsidP="006A7C9A" w14:paraId="194CD09B" w14:textId="77777777">
      <w:pPr>
        <w:pStyle w:val="Bodytext2"/>
        <w:rPr>
          <w:lang w:val="fi-FI"/>
        </w:rPr>
      </w:pPr>
    </w:p>
    <w:p w:rsidR="006A7C9A" w:rsidRPr="003525A7" w:rsidP="006A7C9A" w14:paraId="32EB8115" w14:textId="77777777">
      <w:pPr>
        <w:pStyle w:val="Heading13"/>
        <w:rPr>
          <w:lang w:val="fi-FI"/>
        </w:rPr>
      </w:pPr>
      <w:r w:rsidRPr="003525A7">
        <w:rPr>
          <w:lang w:val="fi-FI"/>
        </w:rPr>
        <w:t>Herkkyysanalyysi</w:t>
      </w:r>
    </w:p>
    <w:p w:rsidR="006A7C9A" w:rsidRPr="003525A7" w:rsidP="006A7C9A" w14:paraId="72B73EC6" w14:textId="77777777">
      <w:pPr>
        <w:pStyle w:val="Bodytext2"/>
        <w:rPr>
          <w:lang w:val="fi-FI"/>
        </w:rPr>
      </w:pPr>
    </w:p>
    <w:tbl>
      <w:tblPr>
        <w:tblStyle w:val="TableNormal"/>
        <w:tblCaption w:val="table_pension_sensitivity"/>
        <w:tblW w:w="7335" w:type="dxa"/>
        <w:tblLayout w:type="fixed"/>
        <w:tblLook w:val="0600"/>
      </w:tblPr>
      <w:tblGrid>
        <w:gridCol w:w="3960"/>
        <w:gridCol w:w="1125"/>
        <w:gridCol w:w="1125"/>
        <w:gridCol w:w="1125"/>
      </w:tblGrid>
      <w:tr>
        <w:tblPrEx>
          <w:tblW w:w="7335" w:type="dxa"/>
          <w:tblLayout w:type="fixed"/>
          <w:tblLook w:val="0600"/>
        </w:tblPrEx>
        <w:trPr>
          <w:trHeight w:val="240"/>
        </w:trPr>
        <w:tc>
          <w:tcPr>
            <w:tcW w:w="3960"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125"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2250" w:type="dxa"/>
            <w:gridSpan w:val="2"/>
            <w:tcBorders>
              <w:top w:val="nil"/>
              <w:left w:val="nil"/>
              <w:bottom w:val="nil"/>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Etuuspohjaisten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eläkejärjestelyjen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nettovelvoitteet, MEUR</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2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Muutokset oletuksissa</w:t>
            </w:r>
          </w:p>
        </w:tc>
        <w:tc>
          <w:tcPr>
            <w:tcW w:w="112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12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96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Diskonttauskorko</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kasvu 1%</w:t>
            </w:r>
          </w:p>
        </w:tc>
        <w:tc>
          <w:tcPr>
            <w:tcW w:w="112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-37</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-37</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96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Diskonttauskorko</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lasku 1%</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45</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48</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96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Palkkojen nousu</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kasvu 1%</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96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Palkkojen nousu</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lasku 1%</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96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Eläkkeiden nousu</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kasvu 1%</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28</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29</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96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Eläkkeiden nousu</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lasku 1%</w:t>
            </w: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w:t>
            </w:r>
          </w:p>
        </w:tc>
      </w:tr>
    </w:tbl>
    <w:p w:rsidR="005E6B1C" w:rsidRPr="005E6B1C" w:rsidP="005E6B1C" w14:textId="1D27C883">
      <w:pPr>
        <w:pStyle w:val="Bodytext2"/>
        <w:spacing w:before="0"/>
        <w:rPr>
          <w:sz w:val="2"/>
          <w:szCs w:val="2"/>
          <w:lang w:val="fi-FI"/>
        </w:rPr>
      </w:pPr>
      <w:r>
        <w:rPr>
          <w:lang w:val="fi-FI"/>
        </w:rPr>
        <w:br w:type="page"/>
      </w:r>
    </w:p>
    <w:p w:rsidR="004A0DF2" w:rsidRPr="003525A7" w:rsidP="006A7C9A" w14:paraId="1A43FF64" w14:textId="77777777">
      <w:pPr>
        <w:pStyle w:val="Bodytext2"/>
        <w:rPr>
          <w:sz w:val="2"/>
          <w:szCs w:val="2"/>
          <w:lang w:val="fi-FI"/>
        </w:rPr>
      </w:pPr>
      <w:r>
        <w:t xml:space="preserve"> </w:t>
      </w:r>
    </w:p>
    <w:p w:rsidR="001E6E37" w:rsidP="001E6E37" w14:paraId="3D63ECFB" w14:textId="7B0405CF">
      <w:pPr>
        <w:pStyle w:val="Heading11"/>
        <w:rPr>
          <w:lang w:val="fi-FI"/>
        </w:rPr>
      </w:pPr>
      <w:bookmarkStart w:id="1472" w:name="RG_MARKER_7254"/>
      <w:bookmarkStart w:id="1473" w:name="RG_MARKER_7451"/>
      <w:r>
        <w:rPr>
          <w:noProof/>
          <w:lang w:val="fi-FI"/>
        </w:rPr>
        <w:drawing>
          <wp:anchor distT="0" distB="0" distL="114300" distR="114300" simplePos="0" relativeHeight="251705344" behindDoc="1" locked="0" layoutInCell="1" allowOverlap="1">
            <wp:simplePos x="0" y="0"/>
            <wp:positionH relativeFrom="page">
              <wp:posOffset>0</wp:posOffset>
            </wp:positionH>
            <wp:positionV relativeFrom="page">
              <wp:posOffset>1155700</wp:posOffset>
            </wp:positionV>
            <wp:extent cx="5115600" cy="5580000"/>
            <wp:effectExtent l="0" t="0" r="8890" b="1905"/>
            <wp:wrapNone/>
            <wp:docPr id="5713380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48983" name="Picture 4"/>
                    <pic:cNvPicPr>
                      <a:picLocks noChangeAspect="1" noChangeArrowheads="1"/>
                    </pic:cNvPicPr>
                  </pic:nvPicPr>
                  <pic:blipFill>
                    <a:blip xmlns:r="http://schemas.openxmlformats.org/officeDocument/2006/relationships" r:embed="rId62">
                      <a:extLst>
                        <a:ext xmlns:a="http://schemas.openxmlformats.org/drawingml/2006/main" uri="{28A0092B-C50C-407E-A947-70E740481C1C}">
                          <a14:useLocalDpi xmlns:a14="http://schemas.microsoft.com/office/drawing/2010/main" val="0"/>
                        </a:ext>
                      </a:extLst>
                    </a:blip>
                    <a:stretch>
                      <a:fillRect/>
                    </a:stretch>
                  </pic:blipFill>
                  <pic:spPr bwMode="auto">
                    <a:xfrm>
                      <a:off x="0" y="0"/>
                      <a:ext cx="5115600" cy="5580000"/>
                    </a:xfrm>
                    <a:prstGeom prst="rect">
                      <a:avLst/>
                    </a:prstGeom>
                    <a:noFill/>
                  </pic:spPr>
                </pic:pic>
              </a:graphicData>
            </a:graphic>
            <wp14:sizeRelH relativeFrom="margin">
              <wp14:pctWidth>0</wp14:pctWidth>
            </wp14:sizeRelH>
            <wp14:sizeRelV relativeFrom="margin">
              <wp14:pctHeight>0</wp14:pctHeight>
            </wp14:sizeRelV>
          </wp:anchor>
        </w:drawing>
      </w:r>
      <w:bookmarkEnd w:id="1473"/>
      <w:bookmarkEnd w:id="1472"/>
    </w:p>
    <w:p w:rsidR="001E6E37" w:rsidP="001E6E37" w14:paraId="12295C1F" w14:textId="38D07154">
      <w:pPr>
        <w:pStyle w:val="Heading11"/>
        <w:rPr>
          <w:lang w:val="fi-FI"/>
        </w:rPr>
      </w:pPr>
    </w:p>
    <w:p w:rsidR="001E6E37" w:rsidP="001E6E37" w14:paraId="744FC84B" w14:textId="77777777">
      <w:pPr>
        <w:pStyle w:val="Heading11"/>
        <w:rPr>
          <w:lang w:val="fi-FI"/>
        </w:rPr>
      </w:pPr>
    </w:p>
    <w:p w:rsidR="001E6E37" w:rsidP="001E6E37" w14:paraId="7B5D9482" w14:textId="77777777">
      <w:pPr>
        <w:pStyle w:val="Heading11"/>
        <w:rPr>
          <w:lang w:val="fi-FI"/>
        </w:rPr>
      </w:pPr>
    </w:p>
    <w:p w:rsidR="001E6E37" w:rsidP="001E6E37" w14:paraId="23A4B645" w14:textId="77777777">
      <w:pPr>
        <w:pStyle w:val="Heading11"/>
        <w:rPr>
          <w:lang w:val="fi-FI"/>
        </w:rPr>
      </w:pPr>
    </w:p>
    <w:p w:rsidR="001E6E37" w:rsidP="001E6E37" w14:paraId="401A3DBE" w14:textId="77777777">
      <w:pPr>
        <w:pStyle w:val="Heading11"/>
        <w:rPr>
          <w:lang w:val="fi-FI"/>
        </w:rPr>
      </w:pPr>
    </w:p>
    <w:p w:rsidR="001E6E37" w:rsidP="001E6E37" w14:paraId="53FC7388" w14:textId="77777777">
      <w:pPr>
        <w:pStyle w:val="Heading11"/>
        <w:rPr>
          <w:lang w:val="fi-FI"/>
        </w:rPr>
      </w:pPr>
    </w:p>
    <w:p w:rsidR="001E6E37" w:rsidP="001E6E37" w14:paraId="02AF0C15" w14:textId="77777777">
      <w:pPr>
        <w:pStyle w:val="Heading11"/>
        <w:rPr>
          <w:lang w:val="fi-FI"/>
        </w:rPr>
      </w:pPr>
    </w:p>
    <w:p w:rsidR="001E6E37" w:rsidP="001E6E37" w14:paraId="14A2E681" w14:textId="77777777">
      <w:pPr>
        <w:pStyle w:val="Heading11"/>
        <w:rPr>
          <w:lang w:val="fi-FI"/>
        </w:rPr>
      </w:pPr>
    </w:p>
    <w:p w:rsidR="001E6E37" w:rsidP="001E6E37" w14:paraId="4A0E68DA" w14:textId="77777777">
      <w:pPr>
        <w:pStyle w:val="Heading11"/>
        <w:rPr>
          <w:lang w:val="fi-FI"/>
        </w:rPr>
      </w:pPr>
    </w:p>
    <w:p w:rsidR="001E6E37" w:rsidP="001E6E37" w14:paraId="1E69ED0E" w14:textId="77777777">
      <w:pPr>
        <w:pStyle w:val="Heading11"/>
        <w:rPr>
          <w:lang w:val="fi-FI"/>
        </w:rPr>
      </w:pPr>
    </w:p>
    <w:p w:rsidR="001E6E37" w:rsidP="001E6E37" w14:paraId="09C938AB" w14:textId="709764D4">
      <w:pPr>
        <w:pStyle w:val="Heading11"/>
        <w:rPr>
          <w:lang w:val="fi-FI"/>
        </w:rPr>
      </w:pPr>
    </w:p>
    <w:p w:rsidR="001E6E37" w:rsidP="001E6E37" w14:paraId="2FED24C7" w14:textId="77777777">
      <w:pPr>
        <w:pStyle w:val="Heading11"/>
        <w:rPr>
          <w:lang w:val="fi-FI"/>
        </w:rPr>
      </w:pPr>
    </w:p>
    <w:p w:rsidR="001E6E37" w:rsidP="001E6E37" w14:paraId="5EDFD588" w14:textId="77777777">
      <w:pPr>
        <w:pStyle w:val="Heading11"/>
        <w:rPr>
          <w:lang w:val="fi-FI"/>
        </w:rPr>
      </w:pPr>
    </w:p>
    <w:p w:rsidR="001E6E37" w:rsidP="001E6E37" w14:paraId="1111AA39" w14:textId="77777777">
      <w:pPr>
        <w:pStyle w:val="Heading11"/>
        <w:rPr>
          <w:lang w:val="fi-FI"/>
        </w:rPr>
      </w:pPr>
    </w:p>
    <w:p w:rsidR="001E6E37" w:rsidP="001E6E37" w14:paraId="5F3D89CE" w14:textId="77777777">
      <w:pPr>
        <w:pStyle w:val="Heading11"/>
        <w:rPr>
          <w:lang w:val="fi-FI"/>
        </w:rPr>
      </w:pPr>
    </w:p>
    <w:p w:rsidR="001E6E37" w:rsidP="001E6E37" w14:paraId="68A22FE8" w14:textId="77777777">
      <w:pPr>
        <w:pStyle w:val="Heading11"/>
        <w:rPr>
          <w:lang w:val="fi-FI"/>
        </w:rPr>
      </w:pPr>
    </w:p>
    <w:p w:rsidR="001E6E37" w:rsidRPr="001E6E37" w:rsidP="001E6E37" w14:paraId="283DF518" w14:textId="247A7973">
      <w:pPr>
        <w:pStyle w:val="Heading11"/>
        <w:rPr>
          <w:lang w:val="fi-FI"/>
        </w:rPr>
      </w:pPr>
      <w:r w:rsidRPr="002E1CC5">
        <w:rPr>
          <w:lang w:val="fi-FI"/>
        </w:rPr>
        <w:t>5. PÄÄOMARAKENNE JA RAHOITUSERÄT</w:t>
      </w:r>
    </w:p>
    <w:p w:rsidR="001E6E37" w:rsidRPr="001E6E37" w:rsidP="001E6E37" w14:paraId="6BF058E2" w14:textId="446D9F77">
      <w:pPr>
        <w:pStyle w:val="Heading12"/>
        <w:rPr>
          <w:b w:val="0"/>
          <w:lang w:val="fi-FI"/>
        </w:rPr>
      </w:pPr>
      <w:r>
        <w:rPr>
          <w:noProof/>
        </w:rPr>
        <mc:AlternateContent>
          <mc:Choice Requires="wps">
            <w:drawing>
              <wp:anchor distT="0" distB="0" distL="114300" distR="114300" simplePos="0" relativeHeight="251675648" behindDoc="0" locked="0" layoutInCell="1" allowOverlap="1">
                <wp:simplePos x="0" y="0"/>
                <wp:positionH relativeFrom="column">
                  <wp:posOffset>0</wp:posOffset>
                </wp:positionH>
                <wp:positionV relativeFrom="paragraph">
                  <wp:posOffset>53975</wp:posOffset>
                </wp:positionV>
                <wp:extent cx="4679950" cy="0"/>
                <wp:effectExtent l="19050" t="19050" r="25400" b="19050"/>
                <wp:wrapNone/>
                <wp:docPr id="308475473" name="Straight Connector 3"/>
                <wp:cNvGraphicFramePr/>
                <a:graphic xmlns:a="http://schemas.openxmlformats.org/drawingml/2006/main">
                  <a:graphicData uri="http://schemas.microsoft.com/office/word/2010/wordprocessingShape">
                    <wps:wsp xmlns:wps="http://schemas.microsoft.com/office/word/2010/wordprocessingShape">
                      <wps:cNvCnPr/>
                      <wps:spPr>
                        <a:xfrm>
                          <a:off x="0" y="0"/>
                          <a:ext cx="4679950" cy="0"/>
                        </a:xfrm>
                        <a:prstGeom prst="line">
                          <a:avLst/>
                        </a:prstGeom>
                        <a:ln w="28575" cap="rnd">
                          <a:solidFill>
                            <a:srgbClr val="99B7C4"/>
                          </a:solidFill>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id="Straight Connector 3" o:spid="_x0000_s1039" style="mso-height-percent:0;mso-height-relative:page;mso-width-percent:0;mso-width-relative:margin;mso-wrap-distance-bottom:0;mso-wrap-distance-left:9pt;mso-wrap-distance-right:9pt;mso-wrap-distance-top:0;position:absolute;v-text-anchor:top;z-index:251674624" from="0,4.25pt" to="368.5pt,4.25pt" fillcolor="this" stroked="t" strokecolor="#99b7c4" strokeweight="2.25pt">
                <v:stroke endcap="round"/>
              </v:line>
            </w:pict>
          </mc:Fallback>
        </mc:AlternateContent>
      </w:r>
    </w:p>
    <w:p w:rsidR="001E6E37" w:rsidRPr="001E6E37" w:rsidP="001E6E37" w14:paraId="7E8EB4A8" w14:textId="11C01467">
      <w:pPr>
        <w:pStyle w:val="Heading12"/>
        <w:rPr>
          <w:b w:val="0"/>
          <w:bCs/>
          <w:color w:val="99B7C4"/>
          <w:lang w:val="fi-FI"/>
        </w:rPr>
      </w:pPr>
      <w:r w:rsidRPr="001E6E37">
        <w:rPr>
          <w:b w:val="0"/>
          <w:bCs/>
          <w:color w:val="99B7C4"/>
          <w:lang w:val="fi-FI"/>
        </w:rPr>
        <w:t>Osion sisältö</w:t>
      </w:r>
      <w:r w:rsidRPr="001E6E37">
        <w:rPr>
          <w:b w:val="0"/>
          <w:bCs/>
          <w:color w:val="99B7C4"/>
          <w:lang w:val="fi-FI"/>
        </w:rPr>
        <w:t>:</w:t>
      </w:r>
    </w:p>
    <w:p w:rsidR="001E6E37" w:rsidRPr="001E6E37" w:rsidP="001E6E37" w14:paraId="43B59A3A" w14:textId="77777777">
      <w:pPr>
        <w:pStyle w:val="Heading12"/>
        <w:ind w:left="284"/>
        <w:rPr>
          <w:color w:val="99B7C4"/>
          <w:sz w:val="12"/>
          <w:szCs w:val="12"/>
          <w:lang w:val="fi-FI"/>
        </w:rPr>
      </w:pPr>
    </w:p>
    <w:p w:rsidR="001E6E37" w:rsidRPr="001E6E37" w:rsidP="001E6E37" w14:paraId="28EA6D07" w14:textId="01ED3B6E">
      <w:pPr>
        <w:pStyle w:val="Heading12"/>
        <w:ind w:left="284"/>
        <w:rPr>
          <w:color w:val="99B7C4"/>
          <w:lang w:val="fi-FI"/>
        </w:rPr>
      </w:pPr>
      <w:r w:rsidRPr="001E6E37">
        <w:rPr>
          <w:color w:val="99B7C4"/>
          <w:lang w:val="fi-FI"/>
        </w:rPr>
        <w:t xml:space="preserve">5.1. </w:t>
      </w:r>
      <w:r w:rsidRPr="001E6E37">
        <w:rPr>
          <w:color w:val="99B7C4"/>
          <w:lang w:val="fi-FI"/>
        </w:rPr>
        <w:t>RAHOITUSTUOTOT JA -KULUT</w:t>
      </w:r>
    </w:p>
    <w:p w:rsidR="001E6E37" w:rsidRPr="001E6E37" w:rsidP="001E6E37" w14:paraId="446563BC" w14:textId="322386EA">
      <w:pPr>
        <w:pStyle w:val="Heading12"/>
        <w:ind w:left="284"/>
        <w:rPr>
          <w:color w:val="99B7C4"/>
          <w:lang w:val="fi-FI"/>
        </w:rPr>
      </w:pPr>
      <w:r w:rsidRPr="001E6E37">
        <w:rPr>
          <w:color w:val="99B7C4"/>
          <w:lang w:val="fi-FI"/>
        </w:rPr>
        <w:t xml:space="preserve">5.2. </w:t>
      </w:r>
      <w:r w:rsidRPr="001E6E37">
        <w:rPr>
          <w:color w:val="99B7C4"/>
          <w:lang w:val="fi-FI"/>
        </w:rPr>
        <w:t>RAHOITUSVARAT J</w:t>
      </w:r>
      <w:r>
        <w:rPr>
          <w:color w:val="99B7C4"/>
          <w:lang w:val="fi-FI"/>
        </w:rPr>
        <w:t>A -VELAT ARVOSTUSRYHMITTÄIN</w:t>
      </w:r>
    </w:p>
    <w:p w:rsidR="001E6E37" w:rsidRPr="001E6E37" w:rsidP="001E6E37" w14:paraId="00AFF400" w14:textId="5A46403A">
      <w:pPr>
        <w:pStyle w:val="Heading12"/>
        <w:ind w:left="284"/>
        <w:rPr>
          <w:color w:val="99B7C4"/>
          <w:lang w:val="en-GB"/>
        </w:rPr>
      </w:pPr>
      <w:r w:rsidRPr="001E6E37">
        <w:rPr>
          <w:color w:val="99B7C4"/>
          <w:lang w:val="en-GB"/>
        </w:rPr>
        <w:t xml:space="preserve">5.3. </w:t>
      </w:r>
      <w:r w:rsidRPr="001E6E37">
        <w:rPr>
          <w:color w:val="99B7C4"/>
          <w:lang w:val="en-GB"/>
        </w:rPr>
        <w:t>RAHAVARAT</w:t>
      </w:r>
    </w:p>
    <w:p w:rsidR="001E6E37" w:rsidRPr="001E6E37" w:rsidP="001E6E37" w14:paraId="79304929" w14:textId="50DA6808">
      <w:pPr>
        <w:pStyle w:val="Heading12"/>
        <w:ind w:left="284"/>
        <w:rPr>
          <w:color w:val="99B7C4"/>
          <w:lang w:val="en-GB"/>
        </w:rPr>
      </w:pPr>
      <w:r w:rsidRPr="001E6E37">
        <w:rPr>
          <w:color w:val="99B7C4"/>
          <w:lang w:val="en-GB"/>
        </w:rPr>
        <w:t>5.4. NET</w:t>
      </w:r>
      <w:r w:rsidRPr="001E6E37">
        <w:rPr>
          <w:color w:val="99B7C4"/>
          <w:lang w:val="en-GB"/>
        </w:rPr>
        <w:t>TOVELAN TÄSMÄYTYS</w:t>
      </w:r>
    </w:p>
    <w:p w:rsidR="001E6E37" w:rsidP="001E6E37" w14:paraId="4C73ADB2" w14:textId="7C921608">
      <w:pPr>
        <w:pStyle w:val="Heading12"/>
        <w:ind w:left="284"/>
        <w:rPr>
          <w:color w:val="99B7C4"/>
        </w:rPr>
      </w:pPr>
      <w:r>
        <w:rPr>
          <w:color w:val="99B7C4"/>
        </w:rPr>
        <w:t xml:space="preserve">5.5. </w:t>
      </w:r>
      <w:r>
        <w:rPr>
          <w:color w:val="99B7C4"/>
        </w:rPr>
        <w:t>OMA PÄÄOMA</w:t>
      </w:r>
    </w:p>
    <w:p w:rsidR="001E6E37" w:rsidRPr="001E6E37" w:rsidP="001E6E37" w14:paraId="0CDB582A" w14:textId="67EECBF0">
      <w:pPr>
        <w:pStyle w:val="Heading12"/>
        <w:ind w:left="284"/>
        <w:rPr>
          <w:color w:val="99B7C4"/>
          <w:lang w:val="fi-FI"/>
        </w:rPr>
      </w:pPr>
      <w:r w:rsidRPr="001E6E37">
        <w:rPr>
          <w:color w:val="99B7C4"/>
          <w:lang w:val="fi-FI"/>
        </w:rPr>
        <w:t xml:space="preserve">5.6. </w:t>
      </w:r>
      <w:r w:rsidRPr="001E6E37">
        <w:rPr>
          <w:color w:val="99B7C4"/>
          <w:lang w:val="fi-FI"/>
        </w:rPr>
        <w:t>RAHOITUSVELKOJEN MATURITEETTIANALYYSI</w:t>
      </w:r>
    </w:p>
    <w:p w:rsidR="001E6E37" w:rsidRPr="001E6E37" w:rsidP="001E6E37" w14:paraId="55D1F635" w14:textId="23B91519">
      <w:pPr>
        <w:pStyle w:val="Heading12"/>
        <w:ind w:left="284"/>
        <w:rPr>
          <w:color w:val="99B7C4"/>
          <w:lang w:val="fi-FI"/>
        </w:rPr>
      </w:pPr>
      <w:r w:rsidRPr="001E6E37">
        <w:rPr>
          <w:color w:val="99B7C4"/>
          <w:lang w:val="fi-FI"/>
        </w:rPr>
        <w:t xml:space="preserve">5.7. </w:t>
      </w:r>
      <w:r w:rsidRPr="001E6E37">
        <w:rPr>
          <w:color w:val="99B7C4"/>
          <w:lang w:val="fi-FI"/>
        </w:rPr>
        <w:t>JO</w:t>
      </w:r>
      <w:r>
        <w:rPr>
          <w:color w:val="99B7C4"/>
          <w:lang w:val="fi-FI"/>
        </w:rPr>
        <w:t>HDANNAISINSTRUMENTIT</w:t>
      </w:r>
    </w:p>
    <w:p w:rsidR="001E6E37" w:rsidRPr="001E6E37" w:rsidP="001E6E37" w14:paraId="72DF3CDF" w14:textId="20F9142E">
      <w:pPr>
        <w:pStyle w:val="Heading12"/>
        <w:ind w:left="284"/>
        <w:rPr>
          <w:color w:val="99B7C4"/>
          <w:lang w:val="fi-FI"/>
        </w:rPr>
      </w:pPr>
      <w:r w:rsidRPr="001E6E37">
        <w:rPr>
          <w:color w:val="99B7C4"/>
          <w:lang w:val="fi-FI"/>
        </w:rPr>
        <w:t xml:space="preserve">5.8. </w:t>
      </w:r>
      <w:r>
        <w:rPr>
          <w:color w:val="99B7C4"/>
          <w:lang w:val="fi-FI"/>
        </w:rPr>
        <w:t>RAHOITUSRISKIT</w:t>
      </w:r>
    </w:p>
    <w:p w:rsidR="001E6E37" w:rsidRPr="001E6E37" w:rsidP="001E6E37" w14:paraId="792F2D3F" w14:textId="7E796653">
      <w:pPr>
        <w:pStyle w:val="Bodytext2"/>
        <w:rPr>
          <w:lang w:val="fi-FI"/>
        </w:rPr>
      </w:pPr>
      <w:r>
        <w:rPr>
          <w:noProof/>
        </w:rPr>
        <mc:AlternateContent>
          <mc:Choice Requires="wps">
            <w:drawing>
              <wp:anchor distT="0" distB="0" distL="114300" distR="114300" simplePos="0" relativeHeight="251696128" behindDoc="0" locked="0" layoutInCell="1" allowOverlap="1">
                <wp:simplePos x="0" y="0"/>
                <wp:positionH relativeFrom="column">
                  <wp:posOffset>0</wp:posOffset>
                </wp:positionH>
                <wp:positionV relativeFrom="paragraph">
                  <wp:posOffset>71755</wp:posOffset>
                </wp:positionV>
                <wp:extent cx="4679950" cy="0"/>
                <wp:effectExtent l="19050" t="19050" r="25400" b="19050"/>
                <wp:wrapNone/>
                <wp:docPr id="979417194" name="Straight Connector 2"/>
                <wp:cNvGraphicFramePr/>
                <a:graphic xmlns:a="http://schemas.openxmlformats.org/drawingml/2006/main">
                  <a:graphicData uri="http://schemas.microsoft.com/office/word/2010/wordprocessingShape">
                    <wps:wsp xmlns:wps="http://schemas.microsoft.com/office/word/2010/wordprocessingShape">
                      <wps:cNvCnPr/>
                      <wps:spPr>
                        <a:xfrm>
                          <a:off x="0" y="0"/>
                          <a:ext cx="4679950" cy="0"/>
                        </a:xfrm>
                        <a:prstGeom prst="line">
                          <a:avLst/>
                        </a:prstGeom>
                        <a:ln w="28575" cap="rnd">
                          <a:solidFill>
                            <a:srgbClr val="99B7C4"/>
                          </a:solidFill>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id="Straight Connector 2" o:spid="_x0000_s1040" style="mso-height-percent:0;mso-height-relative:page;mso-width-percent:0;mso-width-relative:margin;mso-wrap-distance-bottom:0;mso-wrap-distance-left:9pt;mso-wrap-distance-right:9pt;mso-wrap-distance-top:0;position:absolute;v-text-anchor:top;z-index:251695104" from="0,5.65pt" to="368.5pt,5.65pt" fillcolor="this" stroked="t" strokecolor="#99b7c4" strokeweight="2.25pt">
                <v:stroke endcap="round"/>
              </v:line>
            </w:pict>
          </mc:Fallback>
        </mc:AlternateContent>
      </w:r>
    </w:p>
    <w:p w:rsidR="001E6E37" w:rsidRPr="001E6E37" w:rsidP="001E6E37" w14:paraId="21E7BC01" w14:textId="77777777">
      <w:pPr>
        <w:pStyle w:val="Bodytext2"/>
        <w:rPr>
          <w:szCs w:val="15"/>
          <w:lang w:val="fi-FI"/>
        </w:rPr>
      </w:pPr>
    </w:p>
    <w:p w:rsidR="001E6E37" w:rsidRPr="001E6E37" w:rsidP="001E6E37" w14:paraId="52243E6A" w14:textId="77777777">
      <w:pPr>
        <w:pStyle w:val="Bodytext2"/>
        <w:rPr>
          <w:lang w:val="fi-FI"/>
        </w:rPr>
      </w:pPr>
    </w:p>
    <w:p w:rsidR="002E1CC5" w:rsidRPr="001E6E37" w:rsidP="002E1CC5" w14:paraId="355128A4" w14:textId="3A7F13B2">
      <w:pPr>
        <w:pStyle w:val="Heading12"/>
        <w:rPr>
          <w:lang w:val="en-GB"/>
        </w:rPr>
      </w:pPr>
      <w:r w:rsidRPr="001E6E37">
        <w:rPr>
          <w:lang w:val="en-GB"/>
        </w:rPr>
        <w:t>5.1. RAHOITUSTUOTOT JA -KULUT</w:t>
      </w:r>
    </w:p>
    <w:tbl>
      <w:tblPr>
        <w:tblStyle w:val="TableGrid0"/>
        <w:tblW w:w="7371" w:type="dxa"/>
        <w:tblInd w:w="5" w:type="dxa"/>
        <w:tblLook w:val="04A0"/>
      </w:tblPr>
      <w:tblGrid>
        <w:gridCol w:w="7371"/>
      </w:tblGrid>
      <w:tr w14:paraId="47695652" w14:textId="77777777" w:rsidTr="002E1CC5">
        <w:tblPrEx>
          <w:tblW w:w="7371" w:type="dxa"/>
          <w:tblInd w:w="5" w:type="dxa"/>
          <w:tblLook w:val="04A0"/>
        </w:tblPrEx>
        <w:tc>
          <w:tcPr>
            <w:tcW w:w="7371" w:type="dxa"/>
            <w:shd w:val="clear" w:color="auto" w:fill="B6C8D1"/>
          </w:tcPr>
          <w:p w:rsidR="002E1CC5" w:rsidRPr="00883D12" w14:paraId="0590FE90" w14:textId="39EE173E">
            <w:pPr>
              <w:pStyle w:val="Heading13"/>
              <w:rPr>
                <w:rFonts w:cstheme="minorHAnsi"/>
              </w:rPr>
            </w:pPr>
            <w:r w:rsidRPr="00883D12">
              <w:t>Laadintaperiaatteet</w:t>
            </w:r>
          </w:p>
          <w:p w:rsidR="002E1CC5" w14:paraId="1BE2F1C3" w14:textId="1720B31E">
            <w:pPr>
              <w:pStyle w:val="Bodytext2"/>
            </w:pPr>
            <w:r w:rsidRPr="002E1CC5">
              <w:t>Eläkejärjestelyihin liittyvät työsuoritukseen perustuvat kustannu</w:t>
            </w:r>
            <w:r>
              <w:t xml:space="preserve">kset </w:t>
            </w:r>
            <w:r w:rsidRPr="002E1CC5">
              <w:t xml:space="preserve">raportoidaan työsuhde-etuuksista aiheutuvissa kuluissa ja korkokustannukset </w:t>
            </w:r>
            <w:r w:rsidRPr="002E1CC5">
              <w:t>rahoituskuluissa.</w:t>
            </w:r>
            <w:r>
              <w:t xml:space="preserve"> </w:t>
            </w:r>
            <w:r w:rsidR="00D30BAF">
              <w:t>Rahoitustuottoihin ja -kuluihin sisältyy myös l</w:t>
            </w:r>
            <w:r w:rsidRPr="00D30BAF" w:rsidR="00D30BAF">
              <w:t>iiketoimintaan liitty</w:t>
            </w:r>
            <w:r w:rsidR="00D30BAF">
              <w:t xml:space="preserve">mättömien </w:t>
            </w:r>
            <w:r w:rsidRPr="00D30BAF" w:rsidR="00D30BAF">
              <w:t>osakeomistusten käyvän arvon muutoksista ja myynnistä aiheutuvat</w:t>
            </w:r>
            <w:r w:rsidR="00D30BAF">
              <w:t xml:space="preserve"> </w:t>
            </w:r>
            <w:r w:rsidRPr="00D30BAF" w:rsidR="00D30BAF">
              <w:t>voitot ja tappiot sekä arvonalentumistappiot</w:t>
            </w:r>
            <w:r w:rsidR="00D30BAF">
              <w:t>.</w:t>
            </w:r>
          </w:p>
          <w:p w:rsidR="00D30BAF" w:rsidRPr="002E1CC5" w14:paraId="5C844B21" w14:textId="77777777">
            <w:pPr>
              <w:pStyle w:val="Bodytext2"/>
            </w:pPr>
          </w:p>
          <w:p w:rsidR="00080D1A" w:rsidRPr="00080D1A" w14:paraId="1BA4155E" w14:textId="58F214D2">
            <w:pPr>
              <w:pStyle w:val="Bodytext2"/>
            </w:pPr>
            <w:bookmarkStart w:id="1474" w:name="_Hlk56591324"/>
            <w:r w:rsidRPr="00080D1A">
              <w:t>Muutokset Wärtsilä-konsernin lainaportfoliota va</w:t>
            </w:r>
            <w:r w:rsidRPr="00080D1A">
              <w:t>staan otettujen korkosuojien käyvissä arvoissa kirjataan välittömästi tuloslaskelman rahoitustuottoihin tai -kuluihin. Koronvaihtosopimusten käyvät arvot lasketaan diskonttaamalla tulevaisuuden rahavirrat.</w:t>
            </w:r>
          </w:p>
          <w:p w:rsidR="00080D1A" w:rsidRPr="00080D1A" w14:paraId="73D40236" w14:textId="77777777">
            <w:pPr>
              <w:pStyle w:val="Bodytext2"/>
              <w:rPr>
                <w:highlight w:val="red"/>
              </w:rPr>
            </w:pPr>
          </w:p>
          <w:p w:rsidR="002E1CC5" w:rsidRPr="00D30BAF" w14:paraId="73455F63" w14:textId="6E5BA538">
            <w:pPr>
              <w:pStyle w:val="Bodytext2"/>
            </w:pPr>
            <w:bookmarkEnd w:id="1474"/>
            <w:r w:rsidRPr="00D30BAF">
              <w:t>Rahoitusvaroihin ja -velkoihin liittyvät kurssier</w:t>
            </w:r>
            <w:r w:rsidRPr="00D30BAF">
              <w:t>ot esitetään tuloslaskelman rahoituserissä pois lukien sellaisista pitkäaikaisista lainoista syntyvät kurssierot, jotka ovat osa konsernin tytäryhtiöön tekemää nettosijoitusta.</w:t>
            </w:r>
          </w:p>
        </w:tc>
      </w:tr>
    </w:tbl>
    <w:p w:rsidR="002E1CC5" w:rsidRPr="00D30BAF" w:rsidP="002E1CC5" w14:paraId="2F215D49" w14:textId="77777777">
      <w:pPr>
        <w:pStyle w:val="Bodytext2"/>
        <w:rPr>
          <w:lang w:val="fi-FI"/>
        </w:rPr>
      </w:pPr>
    </w:p>
    <w:tbl>
      <w:tblPr>
        <w:tblStyle w:val="TableNormal"/>
        <w:tblCaption w:val="table_51"/>
        <w:tblW w:w="7320" w:type="dxa"/>
        <w:tblLayout w:type="fixed"/>
        <w:tblLook w:val="0600"/>
      </w:tblPr>
      <w:tblGrid>
        <w:gridCol w:w="4830"/>
        <w:gridCol w:w="1245"/>
        <w:gridCol w:w="1245"/>
      </w:tblGrid>
      <w:tr>
        <w:tblPrEx>
          <w:tblW w:w="7320" w:type="dxa"/>
          <w:tblLayout w:type="fixed"/>
          <w:tblLook w:val="0600"/>
        </w:tblPrEx>
        <w:trPr>
          <w:trHeight w:hRule="exact" w:val="240"/>
        </w:trPr>
        <w:tc>
          <w:tcPr>
            <w:tcW w:w="48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Korkotuotot lainoista ja saamisista</w:t>
            </w:r>
          </w:p>
        </w:tc>
        <w:tc>
          <w:tcPr>
            <w:tcW w:w="12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1245"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Korkotuotot käypään arvoon tulosvaikutteisesti kirjattavista rahoitusvaroista</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Korkotuotot jaksotettuun hankintamenoon kirjattavista eristä</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 xml:space="preserve">Käypään arvoon tulosvaikutteisesti kirjattavien rahoitusvarojen ja </w:t>
            </w:r>
          </w:p>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-velkojen arvonmuutokset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nil"/>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rahoitustuotot</w:t>
            </w:r>
          </w:p>
        </w:tc>
        <w:tc>
          <w:tcPr>
            <w:tcW w:w="1245" w:type="dxa"/>
            <w:tcBorders>
              <w:top w:val="nil"/>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245" w:type="dxa"/>
            <w:tcBorders>
              <w:top w:val="nil"/>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Rahoitustuotot yhteensä</w:t>
            </w:r>
          </w:p>
        </w:tc>
        <w:tc>
          <w:tcPr>
            <w:tcW w:w="12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w:t>
            </w:r>
          </w:p>
        </w:tc>
        <w:tc>
          <w:tcPr>
            <w:tcW w:w="12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Korkokulut jaksotettuun hankintamenoon kirjattavista rahoitusveloista</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Korkokulut jaksotettuun hankintamenoon kirjattavista vuokrasopimusveloista</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Korkokulut käypään arvoon tulosvaikutteisesti kirjattavista rahoitusveloista</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Nettokorot etuuspohjaisista eläkejärjestelyistä</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Käypään arvoon tulosvaikutteisesti kirjattavien rahoitusvarojen ja -velkojen arvonmuutokset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Valuuttakurssierot*</w:t>
            </w:r>
          </w:p>
        </w:tc>
        <w:tc>
          <w:tcPr>
            <w:tcW w:w="12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1245"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Lainojen palkkiokulut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rahoituskulut</w:t>
            </w:r>
          </w:p>
        </w:tc>
        <w:tc>
          <w:tcPr>
            <w:tcW w:w="12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12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Rahoituskulut yhteensä</w:t>
            </w:r>
          </w:p>
        </w:tc>
        <w:tc>
          <w:tcPr>
            <w:tcW w:w="12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-33</w:t>
            </w:r>
          </w:p>
        </w:tc>
        <w:tc>
          <w:tcPr>
            <w:tcW w:w="12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-59</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2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w:t>
            </w:r>
          </w:p>
        </w:tc>
        <w:tc>
          <w:tcPr>
            <w:tcW w:w="12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-43</w:t>
            </w:r>
          </w:p>
        </w:tc>
      </w:tr>
    </w:tbl>
    <w:p w:rsidR="002E1CC5" w:rsidRPr="00883D12" w:rsidP="002E1CC5" w14:paraId="7C49139F" w14:textId="77777777">
      <w:pPr>
        <w:pStyle w:val="Bodytext2"/>
        <w:rPr>
          <w:lang w:val="fi-FI"/>
        </w:rPr>
      </w:pPr>
    </w:p>
    <w:p w:rsidR="004A0DF2" w:rsidRPr="002E1CC5" w:rsidP="002E1CC5" w14:textId="4D54FC1A">
      <w:pPr>
        <w:pStyle w:val="Bodytext2"/>
        <w:rPr>
          <w:lang w:val="fi-FI"/>
        </w:rPr>
      </w:pPr>
      <w:r w:rsidRPr="002E1CC5">
        <w:rPr>
          <w:lang w:val="fi-FI"/>
        </w:rPr>
        <w:t>* Vuonna 20</w:t>
      </w:r>
      <w:r>
        <w:rPr>
          <w:lang w:val="fi-FI"/>
        </w:rPr>
        <w:t>20</w:t>
      </w:r>
      <w:r w:rsidRPr="002E1CC5">
        <w:rPr>
          <w:lang w:val="fi-FI"/>
        </w:rPr>
        <w:t xml:space="preserve"> kurssieroihin sisältyi </w:t>
      </w:r>
      <w:r>
        <w:rPr>
          <w:lang w:val="fi-FI"/>
        </w:rPr>
        <w:t>-1</w:t>
      </w:r>
      <w:r w:rsidRPr="002E1CC5">
        <w:rPr>
          <w:lang w:val="fi-FI"/>
        </w:rPr>
        <w:t xml:space="preserve"> milj</w:t>
      </w:r>
      <w:r>
        <w:rPr>
          <w:lang w:val="fi-FI"/>
        </w:rPr>
        <w:t>oonaa</w:t>
      </w:r>
      <w:r w:rsidRPr="002E1CC5">
        <w:rPr>
          <w:lang w:val="fi-FI"/>
        </w:rPr>
        <w:t xml:space="preserve"> euroa </w:t>
      </w:r>
      <w:r w:rsidRPr="00924973">
        <w:rPr>
          <w:lang w:val="fi-FI"/>
        </w:rPr>
        <w:t>projek</w:t>
      </w:r>
      <w:r w:rsidRPr="00924973">
        <w:rPr>
          <w:lang w:val="fi-FI"/>
        </w:rPr>
        <w:t>tien peruuttamisesta</w:t>
      </w:r>
      <w:r w:rsidRPr="002E1CC5">
        <w:rPr>
          <w:lang w:val="fi-FI"/>
        </w:rPr>
        <w:t xml:space="preserve"> johtuvaa rahavirtasuojausten tehotonta osuutta ja</w:t>
      </w:r>
      <w:r>
        <w:rPr>
          <w:lang w:val="fi-FI"/>
        </w:rPr>
        <w:t xml:space="preserve"> vuonna 2021</w:t>
      </w:r>
      <w:r w:rsidRPr="002E1CC5">
        <w:rPr>
          <w:lang w:val="fi-FI"/>
        </w:rPr>
        <w:t xml:space="preserve"> </w:t>
      </w:r>
      <w:r>
        <w:rPr>
          <w:lang w:val="fi-FI"/>
        </w:rPr>
        <w:t>-3</w:t>
      </w:r>
      <w:r w:rsidRPr="002E1CC5">
        <w:rPr>
          <w:lang w:val="fi-FI"/>
        </w:rPr>
        <w:t xml:space="preserve"> milj</w:t>
      </w:r>
      <w:r>
        <w:rPr>
          <w:lang w:val="fi-FI"/>
        </w:rPr>
        <w:t>oonaa</w:t>
      </w:r>
      <w:r w:rsidRPr="002E1CC5">
        <w:rPr>
          <w:lang w:val="fi-FI"/>
        </w:rPr>
        <w:t xml:space="preserve"> euroa (-</w:t>
      </w:r>
      <w:r>
        <w:rPr>
          <w:lang w:val="fi-FI"/>
        </w:rPr>
        <w:t>10</w:t>
      </w:r>
      <w:r w:rsidRPr="002E1CC5">
        <w:rPr>
          <w:lang w:val="fi-FI"/>
        </w:rPr>
        <w:t>) kurssieroa suojaamattomista sisäisistä lainoista.</w:t>
      </w:r>
    </w:p>
    <w:p/>
    <w:p w:rsidR="007C6C5F" w:rsidP="007C6C5F" w14:paraId="063F1645" w14:textId="77777777">
      <w:pPr>
        <w:pStyle w:val="Heading12"/>
      </w:pPr>
      <w:bookmarkStart w:id="1475" w:name="RG_MARKER_7450"/>
      <w:r>
        <w:t>5.2. RAHOITUSVARAT JA -VELAT ARVOSTUSRYHMITTÄIN</w:t>
      </w:r>
      <w:bookmarkEnd w:id="1475"/>
    </w:p>
    <w:tbl>
      <w:tblPr>
        <w:tblStyle w:val="TableGrid"/>
        <w:tblW w:w="7371" w:type="dxa"/>
        <w:tblLook w:val="04A0"/>
      </w:tblPr>
      <w:tblGrid>
        <w:gridCol w:w="7371"/>
      </w:tblGrid>
      <w:tr w14:paraId="0D2C1FC8" w14:textId="77777777" w:rsidTr="007C6C5F">
        <w:tblPrEx>
          <w:tblW w:w="7371" w:type="dxa"/>
          <w:tblLook w:val="04A0"/>
        </w:tblPrEx>
        <w:tc>
          <w:tcPr>
            <w:tcW w:w="7371" w:type="dxa"/>
            <w:tcBorders>
              <w:top w:val="nil"/>
              <w:left w:val="nil"/>
              <w:bottom w:val="nil"/>
              <w:right w:val="nil"/>
            </w:tcBorders>
            <w:shd w:val="clear" w:color="auto" w:fill="B6C8D1"/>
          </w:tcPr>
          <w:p w:rsidR="007C6C5F" w:rsidRPr="007C6C5F" w14:paraId="3D461727" w14:textId="77777777">
            <w:pPr>
              <w:pStyle w:val="Heading13"/>
              <w:rPr>
                <w:rFonts w:eastAsiaTheme="minorEastAsia" w:cstheme="minorHAnsi"/>
                <w:lang w:val="fi-FI" w:eastAsia="fi-FI"/>
              </w:rPr>
            </w:pPr>
            <w:r w:rsidRPr="007C6C5F">
              <w:rPr>
                <w:lang w:val="fi-FI"/>
              </w:rPr>
              <w:t>Laadintaperiaatteet</w:t>
            </w:r>
          </w:p>
          <w:p w:rsidR="007C6C5F" w:rsidRPr="007C6C5F" w14:paraId="44F314F3" w14:textId="77777777">
            <w:pPr>
              <w:pStyle w:val="Heading13"/>
              <w:rPr>
                <w:rFonts w:eastAsiaTheme="minorEastAsia" w:cstheme="minorHAnsi"/>
                <w:lang w:val="fi-FI" w:eastAsia="fi-FI"/>
              </w:rPr>
            </w:pPr>
            <w:r w:rsidRPr="007C6C5F">
              <w:rPr>
                <w:lang w:val="fi-FI"/>
              </w:rPr>
              <w:t>Rahoitusinstrumentit</w:t>
            </w:r>
          </w:p>
          <w:p w:rsidR="007C6C5F" w14:paraId="3C7789B1" w14:textId="44EBF6BB">
            <w:pPr>
              <w:pStyle w:val="Bodytext2"/>
              <w:rPr>
                <w:rFonts w:eastAsiaTheme="minorEastAsia"/>
                <w:color w:val="0F172B"/>
                <w:lang w:val="fi-FI" w:eastAsia="fi-FI"/>
              </w:rPr>
            </w:pPr>
            <w:r>
              <w:rPr>
                <w:color w:val="0F172B"/>
                <w:lang w:val="fi-FI"/>
              </w:rPr>
              <w:t xml:space="preserve">Rahoitusinstrumentit kirjataan alun perin taseeseen käypään arvoon. Myöhemmin rahoitusvarat luokitellaan ja arvostetaan joko jaksotettuun </w:t>
            </w:r>
            <w:r>
              <w:rPr>
                <w:color w:val="0F172B"/>
                <w:lang w:val="fi-FI"/>
              </w:rPr>
              <w:t>hankintamenoon, käypään arvoon tulosvaikutteisesti tai käypään arvoon muiden laajan tuloksen erien kautta. Rahoitusvarojen luokittelu riippuu liiketoimintamallista ja omaisuuserän rahavirtaominaisuuksista. Rahoitusvelat luokitellaan ja arvostetaan myöhemmi</w:t>
            </w:r>
            <w:r>
              <w:rPr>
                <w:color w:val="0F172B"/>
                <w:lang w:val="fi-FI"/>
              </w:rPr>
              <w:t>n joko jaksotettuun hankintamenoon tai käypään arvoon tulosvaikutteisesti.</w:t>
            </w:r>
          </w:p>
          <w:p w:rsidR="007C6C5F" w14:paraId="50EA15DB" w14:textId="77777777">
            <w:pPr>
              <w:pStyle w:val="Bodytext2"/>
              <w:rPr>
                <w:rFonts w:eastAsiaTheme="minorEastAsia"/>
                <w:color w:val="0F172B"/>
                <w:lang w:val="fi-FI" w:eastAsia="fi-FI"/>
              </w:rPr>
            </w:pPr>
          </w:p>
          <w:p w:rsidR="007C6C5F" w14:paraId="3F554222" w14:textId="77777777">
            <w:pPr>
              <w:pStyle w:val="Bodytext2"/>
              <w:rPr>
                <w:color w:val="0F172B"/>
                <w:lang w:val="fi-FI"/>
              </w:rPr>
            </w:pPr>
            <w:r>
              <w:rPr>
                <w:color w:val="0F172B"/>
                <w:lang w:val="fi-FI"/>
              </w:rPr>
              <w:t xml:space="preserve">Rahoitusinstrumentit luokitellaan lyhytaikaisiksi, ellei niiden maturiteetti ylitä 12:ta kuukautta raportointipäivästä eteenpäin. Rahoitusinstrumentti kirjataan pois taseesta vain </w:t>
            </w:r>
            <w:r>
              <w:rPr>
                <w:color w:val="0F172B"/>
                <w:lang w:val="fi-FI"/>
              </w:rPr>
              <w:t>silloin, kun se lakkaa olemasta olemassa, eli kun sopimusperusteinen oikeus tai velvoite täytetään, kumotaan tai sen voimassaolo lakkaa. Rahoitusinstrumenttien tilanne arvioidaan kunakin raportointipäivänä.</w:t>
            </w:r>
          </w:p>
          <w:p w:rsidR="007C6C5F" w:rsidRPr="007C6C5F" w14:paraId="44D6E872" w14:textId="77777777">
            <w:pPr>
              <w:pStyle w:val="Bodytext2"/>
              <w:rPr>
                <w:rFonts w:eastAsiaTheme="minorEastAsia"/>
                <w:color w:val="0F172B"/>
                <w:lang w:val="fi-FI" w:eastAsia="fi-FI"/>
              </w:rPr>
            </w:pPr>
          </w:p>
          <w:p w:rsidR="007C6C5F" w14:paraId="03A02BF1" w14:textId="77777777">
            <w:pPr>
              <w:pStyle w:val="Heading13"/>
              <w:rPr>
                <w:rFonts w:eastAsiaTheme="minorEastAsia" w:cstheme="minorHAnsi"/>
                <w:lang w:val="fi-FI" w:eastAsia="fi-FI"/>
              </w:rPr>
            </w:pPr>
            <w:r>
              <w:rPr>
                <w:lang w:val="fi-FI"/>
              </w:rPr>
              <w:t>Jaksotettuun hankintamenoon arvostettavat rahoit</w:t>
            </w:r>
            <w:r>
              <w:rPr>
                <w:lang w:val="fi-FI"/>
              </w:rPr>
              <w:t>usinstrumentit</w:t>
            </w:r>
          </w:p>
          <w:p w:rsidR="007C6C5F" w14:paraId="32C27DD1" w14:textId="77777777">
            <w:pPr>
              <w:pStyle w:val="Heading13"/>
              <w:rPr>
                <w:rFonts w:eastAsiaTheme="minorEastAsia" w:cstheme="minorHAnsi"/>
                <w:lang w:val="fi-FI" w:eastAsia="fi-FI"/>
              </w:rPr>
            </w:pPr>
            <w:r>
              <w:rPr>
                <w:lang w:val="fi-FI"/>
              </w:rPr>
              <w:t>Rahoitusvarat</w:t>
            </w:r>
          </w:p>
          <w:p w:rsidR="007C6C5F" w14:paraId="6A61766B" w14:textId="6516D113">
            <w:pPr>
              <w:pStyle w:val="Bodytext2"/>
              <w:rPr>
                <w:color w:val="0F172B"/>
                <w:lang w:val="fi-FI"/>
              </w:rPr>
            </w:pPr>
            <w:r>
              <w:rPr>
                <w:color w:val="0F172B"/>
                <w:lang w:val="fi-FI"/>
              </w:rPr>
              <w:t>Jaksotettuun hankintamenoon arvostettavat rahoitusvarat sisältävät rahavarat, sijoitukset velkainstrumentteihin, yritystodistusohjelmat, myyntisaamiset ja muut saamiset. Omaisuuserät kirjataan alun perin käypään arvoon vähennet</w:t>
            </w:r>
            <w:r>
              <w:rPr>
                <w:color w:val="0F172B"/>
                <w:lang w:val="fi-FI"/>
              </w:rPr>
              <w:t>tynä transaktiomenoilla, ja myöhemmin jaksotettuun hankintamenoon soveltamalla efektiivisen koron menetelmää. Näiden omaisuuserien tarkoitus on kerätä sopimukseen perustuvia rahavirtoja, jotka ovat yksinomaan lainan pääoman ja korkojen maksuja. Korkotuotot</w:t>
            </w:r>
            <w:r>
              <w:rPr>
                <w:color w:val="0F172B"/>
                <w:lang w:val="fi-FI"/>
              </w:rPr>
              <w:t xml:space="preserve"> kirjataan </w:t>
            </w:r>
            <w:r w:rsidR="00124770">
              <w:rPr>
                <w:color w:val="0F172B"/>
                <w:lang w:val="fi-FI"/>
              </w:rPr>
              <w:t xml:space="preserve">tuloslaskelmalla </w:t>
            </w:r>
            <w:r>
              <w:rPr>
                <w:color w:val="0F172B"/>
                <w:lang w:val="fi-FI"/>
              </w:rPr>
              <w:t>rahoitustuottoihin.</w:t>
            </w:r>
          </w:p>
          <w:p w:rsidR="007C6C5F" w:rsidRPr="007C6C5F" w14:paraId="3808C941" w14:textId="77777777">
            <w:pPr>
              <w:pStyle w:val="Bodytext2"/>
              <w:rPr>
                <w:color w:val="0F172B"/>
                <w:lang w:val="fi-FI"/>
              </w:rPr>
            </w:pPr>
          </w:p>
          <w:p w:rsidR="007C6C5F" w14:paraId="441D890C" w14:textId="77777777">
            <w:pPr>
              <w:pStyle w:val="Bodytext2"/>
              <w:rPr>
                <w:color w:val="0F172B"/>
                <w:lang w:val="fi-FI"/>
              </w:rPr>
            </w:pPr>
            <w:r w:rsidRPr="007C6C5F">
              <w:rPr>
                <w:color w:val="0F172B"/>
                <w:lang w:val="fi-FI"/>
              </w:rPr>
              <w:t xml:space="preserve">Konserni soveltaa IFRS 9:n sallimaa yksinkertaistettua menettelyä myyntisaatavista odotettavissa oleville luottotappioille. </w:t>
            </w:r>
            <w:r>
              <w:rPr>
                <w:color w:val="0F172B"/>
                <w:lang w:val="fi-FI"/>
              </w:rPr>
              <w:t>Sen mukaan saamisen alkuperäisen kirjaamisen yhteydessä on aina arvostettava siihen</w:t>
            </w:r>
            <w:r>
              <w:rPr>
                <w:color w:val="0F172B"/>
                <w:lang w:val="fi-FI"/>
              </w:rPr>
              <w:t xml:space="preserve"> liittyvää tappiota koskeva vähennyserä määrään, joka vastaa saamisen koko voimassaoloajalta odotettavissa olevia luottotappioita. Lisätietoa liitetiedossa 4.2. Myyntisaamiset ja sopimukseen perustuvat varat ja velat.</w:t>
            </w:r>
          </w:p>
          <w:p w:rsidR="007C6C5F" w:rsidRPr="007C6C5F" w14:paraId="3C1F614F" w14:textId="77777777">
            <w:pPr>
              <w:pStyle w:val="Bodytext2"/>
              <w:rPr>
                <w:rFonts w:eastAsiaTheme="minorEastAsia"/>
                <w:color w:val="0F172B"/>
                <w:lang w:val="fi-FI" w:eastAsia="fi-FI"/>
              </w:rPr>
            </w:pPr>
          </w:p>
          <w:p w:rsidR="007C6C5F" w:rsidRPr="007C6C5F" w14:paraId="1AE4E646" w14:textId="77777777">
            <w:pPr>
              <w:pStyle w:val="Heading13"/>
              <w:rPr>
                <w:rFonts w:eastAsiaTheme="minorEastAsia" w:cstheme="minorHAnsi"/>
                <w:lang w:val="fi-FI" w:eastAsia="fi-FI"/>
              </w:rPr>
            </w:pPr>
            <w:r w:rsidRPr="007C6C5F">
              <w:rPr>
                <w:lang w:val="fi-FI"/>
              </w:rPr>
              <w:t>Rahoitusvelat</w:t>
            </w:r>
          </w:p>
          <w:p w:rsidR="007C6C5F" w:rsidRPr="007C6C5F" w14:paraId="5A62C559" w14:textId="1F6AD37F">
            <w:pPr>
              <w:pStyle w:val="Bodytext2"/>
              <w:rPr>
                <w:color w:val="0F172B"/>
                <w:lang w:val="fi-FI"/>
              </w:rPr>
            </w:pPr>
            <w:r>
              <w:rPr>
                <w:color w:val="0F172B"/>
                <w:lang w:val="fi-FI"/>
              </w:rPr>
              <w:t>Jaksotettuun hankintame</w:t>
            </w:r>
            <w:r>
              <w:rPr>
                <w:color w:val="0F172B"/>
                <w:lang w:val="fi-FI"/>
              </w:rPr>
              <w:t xml:space="preserve">noon arvostettavat rahoitusvelat sisältävät ostovelat ja muut velat, lainat ja luotot. Nämä velat kirjataan alun perin käypään arvoon vähennettynä velkojen hankintaan liittyvillä transaktiomenoilla, ja myöhemmin ne luokitellaan ja arvostetaan soveltamalla </w:t>
            </w:r>
            <w:r>
              <w:rPr>
                <w:color w:val="0F172B"/>
                <w:lang w:val="fi-FI"/>
              </w:rPr>
              <w:t>efektiivisen koron menetelmää lyhentämällä velkaa sen maturiteetin aikaisilla diskonta</w:t>
            </w:r>
            <w:r>
              <w:rPr>
                <w:color w:val="0F172B"/>
                <w:lang w:val="fi-FI"/>
              </w:rPr>
              <w:t xml:space="preserve">tuilla korkomaksuilla. </w:t>
            </w:r>
            <w:r w:rsidRPr="007C6C5F">
              <w:rPr>
                <w:color w:val="0F172B"/>
                <w:lang w:val="fi-FI"/>
              </w:rPr>
              <w:t>Korkomenot kirjataan</w:t>
            </w:r>
            <w:r w:rsidR="00124770">
              <w:rPr>
                <w:color w:val="0F172B"/>
                <w:lang w:val="fi-FI"/>
              </w:rPr>
              <w:t xml:space="preserve"> tuloslaskelmalla</w:t>
            </w:r>
            <w:r w:rsidRPr="007C6C5F">
              <w:rPr>
                <w:color w:val="0F172B"/>
                <w:lang w:val="fi-FI"/>
              </w:rPr>
              <w:t xml:space="preserve"> rahoituskuluihin.</w:t>
            </w:r>
          </w:p>
          <w:p w:rsidR="007C6C5F" w:rsidRPr="007C6C5F" w14:paraId="1A39D0D5" w14:textId="77777777">
            <w:pPr>
              <w:pStyle w:val="Bodytext2"/>
              <w:rPr>
                <w:rFonts w:eastAsiaTheme="minorEastAsia"/>
                <w:color w:val="0F172B"/>
                <w:lang w:val="fi-FI" w:eastAsia="fi-FI"/>
              </w:rPr>
            </w:pPr>
          </w:p>
          <w:p w:rsidR="007C6C5F" w14:paraId="370D4BA1" w14:textId="77777777">
            <w:pPr>
              <w:pStyle w:val="Heading13"/>
              <w:rPr>
                <w:rFonts w:eastAsiaTheme="minorEastAsia" w:cstheme="minorHAnsi"/>
                <w:lang w:val="fi-FI" w:eastAsia="fi-FI"/>
              </w:rPr>
            </w:pPr>
            <w:r>
              <w:rPr>
                <w:lang w:val="fi-FI"/>
              </w:rPr>
              <w:t>Käypään arvoon tulosvaikutteisesti arvostettavat rahoitusinstrumentit</w:t>
            </w:r>
          </w:p>
          <w:p w:rsidR="007C6C5F" w14:paraId="141B2793" w14:textId="77777777">
            <w:pPr>
              <w:pStyle w:val="Heading13"/>
              <w:rPr>
                <w:rFonts w:eastAsiaTheme="minorEastAsia" w:cstheme="minorHAnsi"/>
                <w:lang w:val="fi-FI" w:eastAsia="fi-FI"/>
              </w:rPr>
            </w:pPr>
            <w:r>
              <w:rPr>
                <w:lang w:val="fi-FI"/>
              </w:rPr>
              <w:t>Rahoitusvarat</w:t>
            </w:r>
          </w:p>
          <w:p w:rsidR="007C6C5F" w14:paraId="70C9DBD6" w14:textId="60406B87">
            <w:pPr>
              <w:pStyle w:val="Bodytext2"/>
              <w:rPr>
                <w:color w:val="0F172B"/>
                <w:lang w:val="fi-FI"/>
              </w:rPr>
            </w:pPr>
            <w:r>
              <w:rPr>
                <w:color w:val="0F172B"/>
                <w:lang w:val="fi-FI"/>
              </w:rPr>
              <w:t>Käypä</w:t>
            </w:r>
            <w:r>
              <w:rPr>
                <w:color w:val="0F172B"/>
                <w:lang w:val="fi-FI"/>
              </w:rPr>
              <w:t>än arvoon tulosvaikutteisesti arvostettavat rahoitusvarat sisältävät muut sijoitukset, muut lyhytaikaiset rahavarat ja suojauslaskennan ulkopuolella olevat johdannaisinstrument</w:t>
            </w:r>
            <w:r>
              <w:rPr>
                <w:color w:val="0F172B"/>
                <w:lang w:val="fi-FI"/>
              </w:rPr>
              <w:t>it. Näihin sisältyy sijoitukset muihin yhtiöihin (listatut ja listaamattomat osak</w:t>
            </w:r>
            <w:r>
              <w:rPr>
                <w:color w:val="0F172B"/>
                <w:lang w:val="fi-FI"/>
              </w:rPr>
              <w:t>keet).</w:t>
            </w:r>
          </w:p>
          <w:p w:rsidR="007C6C5F" w14:paraId="0B038BBE" w14:textId="77777777">
            <w:pPr>
              <w:pStyle w:val="Bodytext2"/>
              <w:rPr>
                <w:color w:val="0F172B"/>
                <w:lang w:val="fi-FI"/>
              </w:rPr>
            </w:pPr>
          </w:p>
          <w:p w:rsidR="007C6C5F" w14:paraId="2214BA30" w14:textId="4D8887D0">
            <w:pPr>
              <w:pStyle w:val="Bodytext2"/>
              <w:rPr>
                <w:color w:val="0F172B"/>
                <w:lang w:val="fi-FI"/>
              </w:rPr>
            </w:pPr>
            <w:r>
              <w:rPr>
                <w:color w:val="0F172B"/>
                <w:lang w:val="fi-FI"/>
              </w:rPr>
              <w:t>Kun tällaisia rahoitusvaroja kirjataan pois taseesta, niihin liittyvät käypien arvojen muutokset sekä voitot ja tappiot kirjataan tuloslaskelmaan.</w:t>
            </w:r>
          </w:p>
          <w:p w:rsidR="007C6C5F" w:rsidRPr="007C6C5F" w14:paraId="103785D4" w14:textId="77777777">
            <w:pPr>
              <w:pStyle w:val="Bodytext2"/>
              <w:rPr>
                <w:rFonts w:eastAsiaTheme="minorEastAsia"/>
                <w:color w:val="0F172B"/>
                <w:lang w:val="fi-FI" w:eastAsia="fi-FI"/>
              </w:rPr>
            </w:pPr>
          </w:p>
          <w:p w:rsidR="007C6C5F" w14:paraId="3D15C6F2" w14:textId="0EAE7E81">
            <w:pPr>
              <w:pStyle w:val="Bodytext2"/>
              <w:rPr>
                <w:color w:val="0F172B"/>
                <w:lang w:val="fi-FI"/>
              </w:rPr>
            </w:pPr>
            <w:r>
              <w:rPr>
                <w:color w:val="0F172B"/>
                <w:lang w:val="fi-FI"/>
              </w:rPr>
              <w:t xml:space="preserve">Operatiiviseen liiketoimintaan kuuluvien osakkeiden myynnit ja alaskirjaukset, kuten myös voitot ja </w:t>
            </w:r>
            <w:r>
              <w:rPr>
                <w:color w:val="0F172B"/>
                <w:lang w:val="fi-FI"/>
              </w:rPr>
              <w:t>tappiot niiden käypään arvoon arvostamisesta, on kirjattu liiketoiminnan muihin tuottoihin tai kuluihin tuloslaskelmalla. Muiden osakkeiden myynnit ja alaskirjaukset, kuten myös voitot ja tappiot niiden käypään arvoon arvostamisesta, on kirjattu</w:t>
            </w:r>
            <w:r w:rsidR="00900DF6">
              <w:rPr>
                <w:color w:val="0F172B"/>
                <w:lang w:val="fi-FI"/>
              </w:rPr>
              <w:t xml:space="preserve"> tuloslaskelmalla</w:t>
            </w:r>
            <w:r>
              <w:rPr>
                <w:color w:val="0F172B"/>
                <w:lang w:val="fi-FI"/>
              </w:rPr>
              <w:t xml:space="preserve"> rahoitustuottoihin tai -kuluihin.</w:t>
            </w:r>
          </w:p>
          <w:p w:rsidR="007C6C5F" w:rsidRPr="007C6C5F" w14:paraId="077DFCD9" w14:textId="77777777">
            <w:pPr>
              <w:pStyle w:val="Bodytext2"/>
              <w:rPr>
                <w:rFonts w:eastAsiaTheme="minorEastAsia"/>
                <w:color w:val="0F172B"/>
                <w:lang w:val="fi-FI" w:eastAsia="fi-FI"/>
              </w:rPr>
            </w:pPr>
          </w:p>
          <w:p w:rsidR="007C6C5F" w:rsidRPr="007C6C5F" w14:paraId="0759B686" w14:textId="77777777">
            <w:pPr>
              <w:pStyle w:val="Heading13"/>
              <w:rPr>
                <w:rFonts w:eastAsiaTheme="minorEastAsia" w:cstheme="minorHAnsi"/>
                <w:lang w:val="fi-FI" w:eastAsia="fi-FI"/>
              </w:rPr>
            </w:pPr>
            <w:r w:rsidRPr="007C6C5F">
              <w:rPr>
                <w:lang w:val="fi-FI"/>
              </w:rPr>
              <w:t>Rahoitusvelat</w:t>
            </w:r>
          </w:p>
          <w:p w:rsidR="007C6C5F" w14:paraId="17BBF42B" w14:textId="77777777">
            <w:pPr>
              <w:pStyle w:val="Bodytext2"/>
              <w:rPr>
                <w:color w:val="0F172B"/>
                <w:lang w:val="fi-FI"/>
              </w:rPr>
            </w:pPr>
            <w:r>
              <w:rPr>
                <w:color w:val="0F172B"/>
                <w:lang w:val="fi-FI"/>
              </w:rPr>
              <w:t>Käypään arvoon tulosvaikutteisesti arvostettavat rahoitusvelat sisältävät johdannaisinstrumentit, jotka eivät täytä suojauslaskennan soveltamisedellytyksiä.</w:t>
            </w:r>
          </w:p>
          <w:p w:rsidR="007C6C5F" w:rsidRPr="007C6C5F" w14:paraId="2092E605" w14:textId="77777777">
            <w:pPr>
              <w:pStyle w:val="Bodytext2"/>
              <w:rPr>
                <w:rFonts w:eastAsiaTheme="minorEastAsia"/>
                <w:color w:val="0F172B"/>
                <w:lang w:val="fi-FI" w:eastAsia="fi-FI"/>
              </w:rPr>
            </w:pPr>
          </w:p>
          <w:p w:rsidR="007C6C5F" w14:paraId="3E8F23D6" w14:textId="1C7BBBBD">
            <w:pPr>
              <w:pStyle w:val="Bodytext2"/>
              <w:rPr>
                <w:color w:val="0F172B"/>
                <w:lang w:val="fi-FI"/>
              </w:rPr>
            </w:pPr>
            <w:r>
              <w:rPr>
                <w:color w:val="0F172B"/>
                <w:lang w:val="fi-FI"/>
              </w:rPr>
              <w:t>Kun tällaisia rahoitusvelkoja kirjataan pois taseesta, niihin liittyvät käypien arvojen muutokset sekä voitot ja tappiot kirjataan tuloslaskelmaan.</w:t>
            </w:r>
          </w:p>
          <w:p w:rsidR="007C6C5F" w14:paraId="145E904D" w14:textId="3B2407DF">
            <w:pPr>
              <w:pStyle w:val="Bodytext2"/>
              <w:rPr>
                <w:rFonts w:eastAsiaTheme="minorEastAsia"/>
                <w:color w:val="0F172B"/>
                <w:lang w:val="fi-FI" w:eastAsia="fi-FI"/>
              </w:rPr>
            </w:pPr>
          </w:p>
          <w:p w:rsidR="00BB35B4" w14:paraId="704EDCA9" w14:textId="77777777">
            <w:pPr>
              <w:pStyle w:val="Bodytext2"/>
              <w:rPr>
                <w:rFonts w:eastAsiaTheme="minorEastAsia"/>
                <w:color w:val="0F172B"/>
                <w:lang w:val="fi-FI" w:eastAsia="fi-FI"/>
              </w:rPr>
            </w:pPr>
          </w:p>
          <w:p w:rsidR="00F04793" w14:paraId="7DFD191E" w14:textId="77777777">
            <w:pPr>
              <w:pStyle w:val="Bodytext2"/>
              <w:rPr>
                <w:rFonts w:eastAsiaTheme="minorEastAsia"/>
                <w:color w:val="0F172B"/>
                <w:lang w:val="fi-FI" w:eastAsia="fi-FI"/>
              </w:rPr>
            </w:pPr>
          </w:p>
          <w:p w:rsidR="007C6C5F" w14:paraId="0AD29F5C" w14:textId="77777777">
            <w:pPr>
              <w:pStyle w:val="Heading13"/>
              <w:rPr>
                <w:rFonts w:eastAsiaTheme="minorEastAsia" w:cstheme="minorHAnsi"/>
                <w:lang w:val="fi-FI" w:eastAsia="fi-FI"/>
              </w:rPr>
            </w:pPr>
            <w:r>
              <w:rPr>
                <w:lang w:val="fi-FI"/>
              </w:rPr>
              <w:t>Käypään arvoon muiden laajan tuloksen erien kautta arvostettavat rahoitusinstrumentit</w:t>
            </w:r>
          </w:p>
          <w:p w:rsidR="007C6C5F" w14:paraId="4D38478A" w14:textId="4C4F82B4">
            <w:pPr>
              <w:pStyle w:val="Bodytext2"/>
              <w:rPr>
                <w:color w:val="0F172B"/>
                <w:lang w:val="fi-FI"/>
              </w:rPr>
            </w:pPr>
            <w:r>
              <w:rPr>
                <w:color w:val="0F172B"/>
                <w:lang w:val="fi-FI"/>
              </w:rPr>
              <w:t>Käypään arvoon muid</w:t>
            </w:r>
            <w:r>
              <w:rPr>
                <w:color w:val="0F172B"/>
                <w:lang w:val="fi-FI"/>
              </w:rPr>
              <w:t>en laajan tuloksen erien kautta arvostettavat rahoitusvarat ja rahoitusvelat sisältävät suojauslaskennan ehdot täyttävien johdannaisten tehokkaan osuuden.</w:t>
            </w:r>
          </w:p>
          <w:p w:rsidR="007C6C5F" w:rsidRPr="007C6C5F" w14:paraId="031D5F0A" w14:textId="77777777">
            <w:pPr>
              <w:pStyle w:val="Bodytext2"/>
              <w:rPr>
                <w:rFonts w:eastAsiaTheme="minorEastAsia"/>
                <w:color w:val="0F172B"/>
                <w:lang w:val="fi-FI" w:eastAsia="fi-FI"/>
              </w:rPr>
            </w:pPr>
          </w:p>
          <w:p w:rsidR="007C6C5F" w14:paraId="18D3B74F" w14:textId="77777777">
            <w:pPr>
              <w:pStyle w:val="Bodytext2"/>
              <w:rPr>
                <w:color w:val="0F172B"/>
                <w:lang w:val="fi-FI"/>
              </w:rPr>
            </w:pPr>
            <w:r>
              <w:rPr>
                <w:color w:val="0F172B"/>
                <w:lang w:val="fi-FI"/>
              </w:rPr>
              <w:t>Tietoja johdannaisinstrumenttien arvostusryhmistä sekä suojauslaskennan alla olevista rahoitusinstru</w:t>
            </w:r>
            <w:r>
              <w:rPr>
                <w:color w:val="0F172B"/>
                <w:lang w:val="fi-FI"/>
              </w:rPr>
              <w:t>menteista esitetään liitetiedossa 5.7. Johdannaisinstrumentit</w:t>
            </w:r>
            <w:r>
              <w:rPr>
                <w:color w:val="0F172B"/>
              </w:rPr>
              <w:t>.</w:t>
            </w:r>
          </w:p>
        </w:tc>
      </w:tr>
    </w:tbl>
    <w:p w:rsidR="007C6C5F" w:rsidP="007C6C5F" w14:paraId="70CBEA1C" w14:textId="77777777">
      <w:pPr>
        <w:pStyle w:val="Bodytext2"/>
        <w:rPr>
          <w:color w:val="0F172B"/>
        </w:rPr>
      </w:pPr>
    </w:p>
    <w:p w:rsidR="007C6C5F" w:rsidP="007C6C5F" w14:paraId="59E125B0" w14:textId="49941566">
      <w:pPr>
        <w:pStyle w:val="Heading13"/>
      </w:pPr>
      <w:r>
        <w:t>2021</w:t>
      </w:r>
    </w:p>
    <w:p w:rsidR="007C6C5F" w:rsidP="007C6C5F" w14:paraId="2D6FB1F9" w14:textId="77777777">
      <w:pPr>
        <w:pStyle w:val="Bodytext2"/>
        <w:rPr>
          <w:color w:val="0F172B"/>
        </w:rPr>
      </w:pPr>
    </w:p>
    <w:tbl>
      <w:tblPr>
        <w:tblStyle w:val="TableNormal"/>
        <w:tblCaption w:val="table_52_measurement_category_cur"/>
        <w:tblW w:w="7290" w:type="dxa"/>
        <w:tblLayout w:type="fixed"/>
        <w:tblLook w:val="0600"/>
      </w:tblPr>
      <w:tblGrid>
        <w:gridCol w:w="2565"/>
        <w:gridCol w:w="945"/>
        <w:gridCol w:w="945"/>
        <w:gridCol w:w="945"/>
        <w:gridCol w:w="945"/>
        <w:gridCol w:w="945"/>
      </w:tblGrid>
      <w:tr>
        <w:tblPrEx>
          <w:tblW w:w="7290" w:type="dxa"/>
          <w:tblLayout w:type="fixed"/>
          <w:tblLook w:val="0600"/>
        </w:tblPrEx>
        <w:trPr>
          <w:trHeight w:val="240"/>
        </w:trPr>
        <w:tc>
          <w:tcPr>
            <w:tcW w:w="256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94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Jaksotet-</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tuun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hankinta-</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menoon</w:t>
            </w:r>
          </w:p>
        </w:tc>
        <w:tc>
          <w:tcPr>
            <w:tcW w:w="94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Käypään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arvoon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tulosvaikut-</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teisesti </w:t>
            </w:r>
          </w:p>
        </w:tc>
        <w:tc>
          <w:tcPr>
            <w:tcW w:w="94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Käypään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arvoon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laajan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tuloksen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kautta</w:t>
            </w:r>
          </w:p>
        </w:tc>
        <w:tc>
          <w:tcPr>
            <w:tcW w:w="94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Tase-erien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kirjanpito-</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arvot</w:t>
            </w:r>
          </w:p>
        </w:tc>
        <w:tc>
          <w:tcPr>
            <w:tcW w:w="94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Käypä</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arvo</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Pitkäaikaiset rahoitusvarat</w:t>
            </w:r>
          </w:p>
        </w:tc>
        <w:tc>
          <w:tcPr>
            <w:tcW w:w="9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Korolliset sijoitukset</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Myyntisaamiset</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26</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26</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26</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Johdannaiset</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sijoitukset</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saamiset</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Lyhytaikaiset rahoitusvarat</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nil"/>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Myyntisaamiset</w:t>
            </w:r>
          </w:p>
        </w:tc>
        <w:tc>
          <w:tcPr>
            <w:tcW w:w="9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869</w:t>
            </w:r>
          </w:p>
        </w:tc>
        <w:tc>
          <w:tcPr>
            <w:tcW w:w="945"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869</w:t>
            </w:r>
          </w:p>
        </w:tc>
        <w:tc>
          <w:tcPr>
            <w:tcW w:w="9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869</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Myynnissä olevat myyntisaamiset</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Johdannaiset</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rahoitussaamiset</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8" w:space="0" w:color="0F172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Rahavarat</w:t>
            </w:r>
          </w:p>
        </w:tc>
        <w:tc>
          <w:tcPr>
            <w:tcW w:w="9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723</w:t>
            </w:r>
          </w:p>
        </w:tc>
        <w:tc>
          <w:tcPr>
            <w:tcW w:w="9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241</w:t>
            </w:r>
          </w:p>
        </w:tc>
        <w:tc>
          <w:tcPr>
            <w:tcW w:w="94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964</w:t>
            </w:r>
          </w:p>
        </w:tc>
        <w:tc>
          <w:tcPr>
            <w:tcW w:w="9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964</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Kirjanpitoarvo arvostusryhmittäin</w:t>
            </w:r>
          </w:p>
        </w:tc>
        <w:tc>
          <w:tcPr>
            <w:tcW w:w="9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1 625</w:t>
            </w:r>
          </w:p>
        </w:tc>
        <w:tc>
          <w:tcPr>
            <w:tcW w:w="9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272</w:t>
            </w:r>
          </w:p>
        </w:tc>
        <w:tc>
          <w:tcPr>
            <w:tcW w:w="9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w:t>
            </w:r>
          </w:p>
        </w:tc>
        <w:tc>
          <w:tcPr>
            <w:tcW w:w="9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1 906</w:t>
            </w:r>
          </w:p>
        </w:tc>
        <w:tc>
          <w:tcPr>
            <w:tcW w:w="9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1 906</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Pitkäaikaiset rahoitusvelat</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Korolliset velat</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851</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851</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855</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Johdannaiset</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Lyhytaikaiset rahoitusvelat</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Korolliset velat</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121</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121</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121</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Ostovelat</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714</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714</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714</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Johdannaiset</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8" w:space="0" w:color="0F172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rahoitusvelat</w:t>
            </w:r>
          </w:p>
        </w:tc>
        <w:tc>
          <w:tcPr>
            <w:tcW w:w="9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94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9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Kirjanpitoarvo arvostusryhmittäin</w:t>
            </w:r>
          </w:p>
        </w:tc>
        <w:tc>
          <w:tcPr>
            <w:tcW w:w="9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1 692</w:t>
            </w:r>
          </w:p>
        </w:tc>
        <w:tc>
          <w:tcPr>
            <w:tcW w:w="9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w:t>
            </w:r>
          </w:p>
        </w:tc>
        <w:tc>
          <w:tcPr>
            <w:tcW w:w="9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w:t>
            </w:r>
          </w:p>
        </w:tc>
        <w:tc>
          <w:tcPr>
            <w:tcW w:w="9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1 714</w:t>
            </w:r>
          </w:p>
        </w:tc>
        <w:tc>
          <w:tcPr>
            <w:tcW w:w="9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1 718</w:t>
            </w:r>
          </w:p>
        </w:tc>
      </w:tr>
    </w:tbl>
    <w:p w:rsidR="007C6C5F" w:rsidP="007C6C5F" w14:paraId="2FC24A41" w14:textId="29395780">
      <w:pPr>
        <w:pStyle w:val="Heading13"/>
      </w:pPr>
      <w:r>
        <w:t>2020</w:t>
      </w:r>
    </w:p>
    <w:p w:rsidR="007C6C5F" w:rsidP="007C6C5F" w14:paraId="4BA77482" w14:textId="77777777">
      <w:pPr>
        <w:pStyle w:val="Bodytext2"/>
        <w:rPr>
          <w:color w:val="0F172B"/>
        </w:rPr>
      </w:pPr>
    </w:p>
    <w:tbl>
      <w:tblPr>
        <w:tblStyle w:val="TableNormal"/>
        <w:tblCaption w:val="table_52_measurement_category_pre"/>
        <w:tblW w:w="7290" w:type="dxa"/>
        <w:tblLayout w:type="fixed"/>
        <w:tblLook w:val="0600"/>
      </w:tblPr>
      <w:tblGrid>
        <w:gridCol w:w="2565"/>
        <w:gridCol w:w="945"/>
        <w:gridCol w:w="945"/>
        <w:gridCol w:w="945"/>
        <w:gridCol w:w="945"/>
        <w:gridCol w:w="945"/>
      </w:tblGrid>
      <w:tr>
        <w:tblPrEx>
          <w:tblW w:w="7290" w:type="dxa"/>
          <w:tblLayout w:type="fixed"/>
          <w:tblLook w:val="0600"/>
        </w:tblPrEx>
        <w:trPr>
          <w:trHeight w:val="240"/>
        </w:trPr>
        <w:tc>
          <w:tcPr>
            <w:tcW w:w="256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94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Jaksotet-</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tuun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hankinta-</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menoon</w:t>
            </w:r>
          </w:p>
        </w:tc>
        <w:tc>
          <w:tcPr>
            <w:tcW w:w="94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Käypään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arvoon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tulosvaikut-</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teisesti </w:t>
            </w:r>
          </w:p>
        </w:tc>
        <w:tc>
          <w:tcPr>
            <w:tcW w:w="94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Käypään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arvoon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laajan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tuloksen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kautta</w:t>
            </w:r>
          </w:p>
        </w:tc>
        <w:tc>
          <w:tcPr>
            <w:tcW w:w="94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Tase-erien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kirjanpito-</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arvot</w:t>
            </w:r>
          </w:p>
        </w:tc>
        <w:tc>
          <w:tcPr>
            <w:tcW w:w="94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Käypä</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arvo</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Pitkäaikaiset rahoitusvarat</w:t>
            </w:r>
          </w:p>
        </w:tc>
        <w:tc>
          <w:tcPr>
            <w:tcW w:w="9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Korolliset sijoitukset</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Myyntisaamiset</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30</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30</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30</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Johdannaiset</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sijoitukset</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saamiset</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Lyhytaikaiset rahoitusvarat</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nil"/>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Myyntisaamiset</w:t>
            </w:r>
          </w:p>
        </w:tc>
        <w:tc>
          <w:tcPr>
            <w:tcW w:w="945"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920</w:t>
            </w:r>
          </w:p>
        </w:tc>
        <w:tc>
          <w:tcPr>
            <w:tcW w:w="945" w:type="dxa"/>
            <w:tcBorders>
              <w:top w:val="nil"/>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nil"/>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920</w:t>
            </w:r>
          </w:p>
        </w:tc>
        <w:tc>
          <w:tcPr>
            <w:tcW w:w="945"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920</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Myynnissä olevat myyntisaamiset</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Johdannaiset</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22</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37</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37</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rahoitussaamiset</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8" w:space="0" w:color="0F172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Rahavarat</w:t>
            </w:r>
          </w:p>
        </w:tc>
        <w:tc>
          <w:tcPr>
            <w:tcW w:w="9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652*</w:t>
            </w:r>
          </w:p>
        </w:tc>
        <w:tc>
          <w:tcPr>
            <w:tcW w:w="9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265</w:t>
            </w:r>
          </w:p>
        </w:tc>
        <w:tc>
          <w:tcPr>
            <w:tcW w:w="945"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919</w:t>
            </w:r>
          </w:p>
        </w:tc>
        <w:tc>
          <w:tcPr>
            <w:tcW w:w="9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919</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Kirjanpitoarvo arvostusryhmittäin</w:t>
            </w:r>
          </w:p>
        </w:tc>
        <w:tc>
          <w:tcPr>
            <w:tcW w:w="9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1 608</w:t>
            </w:r>
          </w:p>
        </w:tc>
        <w:tc>
          <w:tcPr>
            <w:tcW w:w="9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302</w:t>
            </w:r>
          </w:p>
        </w:tc>
        <w:tc>
          <w:tcPr>
            <w:tcW w:w="9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22</w:t>
            </w:r>
          </w:p>
        </w:tc>
        <w:tc>
          <w:tcPr>
            <w:tcW w:w="9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1 934</w:t>
            </w:r>
          </w:p>
        </w:tc>
        <w:tc>
          <w:tcPr>
            <w:tcW w:w="9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1 934</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Pitkäaikaiset rahoitusvelat</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Korolliset velat</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1 129</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1 129</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1 139</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Johdannaiset</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Lyhytaikaiset rahoitusvelat</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Korolliset velat</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198</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198</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198</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Ostovelat</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411</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411</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411</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Johdannaiset</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8" w:space="0" w:color="0F172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rahoitusvelat</w:t>
            </w:r>
          </w:p>
        </w:tc>
        <w:tc>
          <w:tcPr>
            <w:tcW w:w="9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c>
          <w:tcPr>
            <w:tcW w:w="945"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c>
          <w:tcPr>
            <w:tcW w:w="9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Kirjanpitoarvo arvostusryhmittäin</w:t>
            </w:r>
          </w:p>
        </w:tc>
        <w:tc>
          <w:tcPr>
            <w:tcW w:w="9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1 743</w:t>
            </w:r>
          </w:p>
        </w:tc>
        <w:tc>
          <w:tcPr>
            <w:tcW w:w="9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w:t>
            </w:r>
          </w:p>
        </w:tc>
        <w:tc>
          <w:tcPr>
            <w:tcW w:w="9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c>
          <w:tcPr>
            <w:tcW w:w="9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1 770</w:t>
            </w:r>
          </w:p>
        </w:tc>
        <w:tc>
          <w:tcPr>
            <w:tcW w:w="9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1 780</w:t>
            </w:r>
          </w:p>
        </w:tc>
      </w:tr>
    </w:tbl>
    <w:p w:rsidR="007C6C5F" w:rsidP="007C6C5F" w14:paraId="5462402B" w14:textId="77777777">
      <w:pPr>
        <w:pStyle w:val="Bodytext2"/>
        <w:rPr>
          <w:color w:val="0F172B"/>
        </w:rPr>
      </w:pPr>
    </w:p>
    <w:p w:rsidR="007C6C5F" w:rsidP="007C6C5F" w14:paraId="58448D8F" w14:textId="041FE301">
      <w:pPr>
        <w:pStyle w:val="Bodytext2"/>
        <w:rPr>
          <w:color w:val="0F172B"/>
          <w:lang w:val="fi-FI"/>
        </w:rPr>
      </w:pPr>
      <w:r>
        <w:rPr>
          <w:color w:val="0F172B"/>
          <w:lang w:val="fi-FI"/>
        </w:rPr>
        <w:t>* Lisäksi konsernilla on 14 miljoonaa euroa rahavaroja arvostettuna jaksotettuun hankintamenoon liit</w:t>
      </w:r>
      <w:r>
        <w:rPr>
          <w:color w:val="0F172B"/>
          <w:lang w:val="fi-FI"/>
        </w:rPr>
        <w:t>tyen myytävänä oleviin omaisuuseriin.</w:t>
      </w:r>
    </w:p>
    <w:p w:rsidR="007C6C5F" w:rsidP="007C6C5F" w14:paraId="58F77BEB" w14:textId="49753A56">
      <w:pPr>
        <w:pStyle w:val="Bodytext2"/>
        <w:rPr>
          <w:color w:val="0F172B"/>
          <w:lang w:val="fi-FI"/>
        </w:rPr>
      </w:pPr>
    </w:p>
    <w:p w:rsidR="003953BB" w:rsidP="007C6C5F" w14:paraId="314BC27F" w14:textId="42714007">
      <w:pPr>
        <w:pStyle w:val="Bodytext2"/>
        <w:rPr>
          <w:color w:val="0F172B"/>
          <w:lang w:val="fi-FI"/>
        </w:rPr>
      </w:pPr>
    </w:p>
    <w:p w:rsidR="003953BB" w:rsidP="007C6C5F" w14:paraId="0DB227BC" w14:textId="642146C1">
      <w:pPr>
        <w:pStyle w:val="Bodytext2"/>
        <w:rPr>
          <w:color w:val="0F172B"/>
          <w:lang w:val="fi-FI"/>
        </w:rPr>
      </w:pPr>
    </w:p>
    <w:p w:rsidR="00C93A60" w:rsidP="007C6C5F" w14:paraId="6BA45212" w14:textId="77777777">
      <w:pPr>
        <w:pStyle w:val="Bodytext2"/>
        <w:rPr>
          <w:color w:val="0F172B"/>
          <w:lang w:val="fi-FI"/>
        </w:rPr>
      </w:pPr>
    </w:p>
    <w:p w:rsidR="007C6C5F" w:rsidP="007C6C5F" w14:paraId="2959BF76" w14:textId="77777777">
      <w:pPr>
        <w:pStyle w:val="Heading13"/>
      </w:pPr>
      <w:r>
        <w:t>Käypien arvojen hierarkia</w:t>
      </w:r>
    </w:p>
    <w:tbl>
      <w:tblPr>
        <w:tblStyle w:val="TableGrid0"/>
        <w:tblW w:w="7371" w:type="dxa"/>
        <w:tblInd w:w="5" w:type="dxa"/>
        <w:tblLook w:val="04A0"/>
      </w:tblPr>
      <w:tblGrid>
        <w:gridCol w:w="7371"/>
      </w:tblGrid>
      <w:tr w14:paraId="497BE934" w14:textId="77777777" w:rsidTr="007C6C5F">
        <w:tblPrEx>
          <w:tblW w:w="7371" w:type="dxa"/>
          <w:tblInd w:w="5" w:type="dxa"/>
          <w:tblLook w:val="04A0"/>
        </w:tblPrEx>
        <w:tc>
          <w:tcPr>
            <w:tcW w:w="7371" w:type="dxa"/>
            <w:shd w:val="clear" w:color="auto" w:fill="B6C8D1"/>
          </w:tcPr>
          <w:p w:rsidR="00085206" w:rsidP="00085206" w14:paraId="41BD2600" w14:textId="77777777">
            <w:pPr>
              <w:pStyle w:val="Heading13"/>
            </w:pPr>
            <w:r>
              <w:t>Laadintaperiaatteet</w:t>
            </w:r>
          </w:p>
          <w:p w:rsidR="007C6C5F" w14:paraId="7312EA94" w14:textId="2EB71C15">
            <w:pPr>
              <w:pStyle w:val="Bodytext2"/>
              <w:rPr>
                <w:color w:val="0F172B"/>
              </w:rPr>
            </w:pPr>
            <w:r>
              <w:rPr>
                <w:color w:val="0F172B"/>
              </w:rPr>
              <w:t>Wärtsilä on luokitellut käyvän arvon määrittämisessä käytettyjen arvostusmenetelmien syöttötiedot seuraaville kolmelle tasolle:</w:t>
            </w:r>
          </w:p>
          <w:p w:rsidR="007C6C5F" w14:paraId="37BE325E" w14:textId="77777777">
            <w:pPr>
              <w:pStyle w:val="Bodytext2"/>
              <w:rPr>
                <w:color w:val="0F172B"/>
              </w:rPr>
            </w:pPr>
          </w:p>
          <w:p w:rsidR="007C6C5F" w14:paraId="169F0AB4" w14:textId="77777777">
            <w:pPr>
              <w:pStyle w:val="Bodytext2"/>
              <w:rPr>
                <w:color w:val="0F172B"/>
              </w:rPr>
            </w:pPr>
            <w:r>
              <w:rPr>
                <w:color w:val="0F172B"/>
              </w:rPr>
              <w:t xml:space="preserve">Taso 1: </w:t>
            </w:r>
            <w:r>
              <w:rPr>
                <w:color w:val="0F172B"/>
              </w:rPr>
              <w:t>Rahoitusinstrumenttien noteeratut hinnat ovat suoraan ja säännöllisesti havainnoitavissa julkisesti toimivilta markkinoilta tai muusta julkisesti saatavilla olevasta lähteestä.</w:t>
            </w:r>
          </w:p>
          <w:p w:rsidR="007C6C5F" w14:paraId="6E6A6AF6" w14:textId="77777777">
            <w:pPr>
              <w:pStyle w:val="Bodytext2"/>
              <w:rPr>
                <w:color w:val="0F172B"/>
              </w:rPr>
            </w:pPr>
          </w:p>
          <w:p w:rsidR="007C6C5F" w14:paraId="03965BD4" w14:textId="2278DBFE">
            <w:pPr>
              <w:pStyle w:val="Bodytext2"/>
              <w:rPr>
                <w:color w:val="0F172B"/>
              </w:rPr>
            </w:pPr>
            <w:r>
              <w:rPr>
                <w:color w:val="0F172B"/>
              </w:rPr>
              <w:t>Taso 2: Rahoitusinstrumenttien hinnat määritetään käyttämällä arvostusmenetelm</w:t>
            </w:r>
            <w:r>
              <w:rPr>
                <w:color w:val="0F172B"/>
              </w:rPr>
              <w:t>ää, jolle syöttötieto on suoraan tai epäsuorasti havainnoitavissa julkisilta arvopaperimarkkinoilta tai muusta julkisesti saatavilla olevasta lähteestä.</w:t>
            </w:r>
          </w:p>
          <w:p w:rsidR="007C6C5F" w14:paraId="3A4D7C41" w14:textId="77777777">
            <w:pPr>
              <w:pStyle w:val="Bodytext2"/>
              <w:rPr>
                <w:color w:val="0F172B"/>
              </w:rPr>
            </w:pPr>
          </w:p>
          <w:p w:rsidR="007C6C5F" w14:paraId="49A491D8" w14:textId="77777777">
            <w:pPr>
              <w:pStyle w:val="Bodytext2"/>
              <w:rPr>
                <w:color w:val="0F172B"/>
              </w:rPr>
            </w:pPr>
            <w:r>
              <w:rPr>
                <w:color w:val="0F172B"/>
              </w:rPr>
              <w:t>Taso 3: Rahoitusinstrumentit on luokiteltu tasolle 3, jos arvostusmenetelmän syöttötietojen hinnat eiv</w:t>
            </w:r>
            <w:r>
              <w:rPr>
                <w:color w:val="0F172B"/>
              </w:rPr>
              <w:t>ät ole julkisesti havainnoitavissa ja kun rahoitusinstrumentit arvostetaan yhteisön omalla arvostusmenetelmällä.</w:t>
            </w:r>
          </w:p>
        </w:tc>
      </w:tr>
    </w:tbl>
    <w:p w:rsidR="007C6C5F" w:rsidRPr="00F807F2" w:rsidP="00A970B9" w14:paraId="31AE52A6" w14:textId="77777777">
      <w:pPr>
        <w:pStyle w:val="Bodytext2"/>
        <w:rPr>
          <w:lang w:val="fi-FI"/>
        </w:rPr>
      </w:pPr>
    </w:p>
    <w:p w:rsidR="007C6C5F" w:rsidRPr="00F807F2" w:rsidP="00A970B9" w14:paraId="07A56D38" w14:textId="77777777">
      <w:pPr>
        <w:pStyle w:val="Bodytext2"/>
        <w:rPr>
          <w:lang w:val="fi-FI"/>
        </w:rPr>
      </w:pPr>
      <w:r w:rsidRPr="00F807F2">
        <w:rPr>
          <w:lang w:val="fi-FI"/>
        </w:rPr>
        <w:t>Rahoitusinstrumenttien arvostamiseen käytettävät arvostusmallit:</w:t>
      </w:r>
    </w:p>
    <w:p w:rsidR="007C6C5F" w:rsidRPr="00F807F2" w:rsidP="00A970B9" w14:paraId="705BB8AF" w14:textId="77777777">
      <w:pPr>
        <w:pStyle w:val="Bodytext2"/>
        <w:rPr>
          <w:lang w:val="fi-FI"/>
        </w:rPr>
      </w:pPr>
      <w:r w:rsidRPr="00F807F2">
        <w:rPr>
          <w:lang w:val="fi-FI"/>
        </w:rPr>
        <w:t>• valuuttatermiinisopimusten käyvän arvon määrittely tilinpäätöspäivän termi</w:t>
      </w:r>
      <w:r w:rsidRPr="00F807F2">
        <w:rPr>
          <w:lang w:val="fi-FI"/>
        </w:rPr>
        <w:t>inikursseilla</w:t>
      </w:r>
    </w:p>
    <w:p w:rsidR="007C6C5F" w:rsidRPr="00F807F2" w:rsidP="00A970B9" w14:paraId="09C90C63" w14:textId="77777777">
      <w:pPr>
        <w:pStyle w:val="Bodytext2"/>
        <w:rPr>
          <w:lang w:val="fi-FI"/>
        </w:rPr>
      </w:pPr>
      <w:r w:rsidRPr="00F807F2">
        <w:rPr>
          <w:lang w:val="fi-FI"/>
        </w:rPr>
        <w:t>• koronvaihtosopimusten käypien arvojen laskeminen havainnoitavissa olevien tuottokäyrien perusteella arvioituihin tulevaisuuden rahavirtojen nykyarvoihin</w:t>
      </w:r>
    </w:p>
    <w:p w:rsidR="007C6C5F" w:rsidRPr="00F807F2" w:rsidP="00A970B9" w14:paraId="00ECDA5B" w14:textId="77777777">
      <w:pPr>
        <w:pStyle w:val="Bodytext2"/>
        <w:rPr>
          <w:lang w:val="fi-FI"/>
        </w:rPr>
      </w:pPr>
      <w:r w:rsidRPr="00F807F2">
        <w:rPr>
          <w:lang w:val="fi-FI"/>
        </w:rPr>
        <w:t>• noteerattujen markkinahintojen tai välittäjän samankaltaisille instrumenteille tarjoa</w:t>
      </w:r>
      <w:r w:rsidRPr="00F807F2">
        <w:rPr>
          <w:lang w:val="fi-FI"/>
        </w:rPr>
        <w:t>mien hintojen käyttäminen</w:t>
      </w:r>
    </w:p>
    <w:p w:rsidR="007C6C5F" w:rsidRPr="00F807F2" w:rsidP="00A970B9" w14:paraId="198184DE" w14:textId="77777777">
      <w:pPr>
        <w:pStyle w:val="Bodytext2"/>
        <w:rPr>
          <w:lang w:val="fi-FI"/>
        </w:rPr>
      </w:pPr>
    </w:p>
    <w:tbl>
      <w:tblPr>
        <w:tblStyle w:val="TableNormal"/>
        <w:tblCaption w:val="table_52_fair_value_hierarchy"/>
        <w:tblW w:w="7290" w:type="dxa"/>
        <w:tblLayout w:type="fixed"/>
        <w:tblLook w:val="0600"/>
      </w:tblPr>
      <w:tblGrid>
        <w:gridCol w:w="2565"/>
        <w:gridCol w:w="945"/>
        <w:gridCol w:w="945"/>
        <w:gridCol w:w="945"/>
        <w:gridCol w:w="945"/>
        <w:gridCol w:w="945"/>
      </w:tblGrid>
      <w:tr>
        <w:tblPrEx>
          <w:tblW w:w="7290" w:type="dxa"/>
          <w:tblLayout w:type="fixed"/>
          <w:tblLook w:val="0600"/>
        </w:tblPrEx>
        <w:trPr>
          <w:trHeight w:hRule="exact" w:val="240"/>
        </w:trPr>
        <w:tc>
          <w:tcPr>
            <w:tcW w:w="2565"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945"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nil"/>
              <w:left w:val="nil"/>
              <w:bottom w:val="nil"/>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945"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nil"/>
              <w:left w:val="nil"/>
              <w:bottom w:val="nil"/>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56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945"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Taso 2</w:t>
            </w:r>
          </w:p>
        </w:tc>
        <w:tc>
          <w:tcPr>
            <w:tcW w:w="9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Taso 3</w:t>
            </w:r>
          </w:p>
        </w:tc>
        <w:tc>
          <w:tcPr>
            <w:tcW w:w="9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Taso 2</w:t>
            </w:r>
          </w:p>
        </w:tc>
        <w:tc>
          <w:tcPr>
            <w:tcW w:w="9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Taso 3</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10" w:type="dxa"/>
            <w:gridSpan w:val="2"/>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Rahoitusvarat</w:t>
            </w:r>
          </w:p>
        </w:tc>
        <w:tc>
          <w:tcPr>
            <w:tcW w:w="9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10" w:type="dxa"/>
            <w:gridSpan w:val="2"/>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sijoitukset</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510" w:type="dxa"/>
            <w:gridSpan w:val="2"/>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Korolliset sijoitukset, pitkäaikaiset</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10" w:type="dxa"/>
            <w:gridSpan w:val="2"/>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saamiset, pitkäaikaiset</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10" w:type="dxa"/>
            <w:gridSpan w:val="2"/>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Johdannaiset</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37</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10" w:type="dxa"/>
            <w:gridSpan w:val="2"/>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Rahoitusvelat</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10" w:type="dxa"/>
            <w:gridSpan w:val="2"/>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Korolliset velat, pitkäaikaiset*</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855</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1 139</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510" w:type="dxa"/>
            <w:gridSpan w:val="2"/>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Johdannaiset</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23</w:t>
            </w:r>
          </w:p>
        </w:tc>
        <w:tc>
          <w:tcPr>
            <w:tcW w:w="9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bl>
    <w:p w:rsidR="007C6C5F" w:rsidP="007C6C5F" w14:paraId="6E12AC4C" w14:textId="77777777">
      <w:pPr>
        <w:pStyle w:val="Bodytext2"/>
        <w:rPr>
          <w:color w:val="0F172B"/>
        </w:rPr>
      </w:pPr>
    </w:p>
    <w:p w:rsidR="007C6C5F" w:rsidP="007C6C5F" w14:paraId="5D68D07D" w14:textId="2F44E3DC">
      <w:pPr>
        <w:pStyle w:val="Bodytext2"/>
        <w:rPr>
          <w:color w:val="0F172B"/>
          <w:lang w:val="fi-FI"/>
        </w:rPr>
      </w:pPr>
      <w:r>
        <w:rPr>
          <w:color w:val="0F172B"/>
          <w:lang w:val="fi-FI"/>
        </w:rPr>
        <w:t>* Arvostettu jaksotettuun hankintamenoon taseessa.</w:t>
      </w:r>
    </w:p>
    <w:p w:rsidR="007C6C5F" w:rsidP="007C6C5F" w14:paraId="19132ACC" w14:textId="77777777">
      <w:pPr>
        <w:pStyle w:val="Bodytext2"/>
        <w:rPr>
          <w:color w:val="0F172B"/>
          <w:lang w:val="fi-FI"/>
        </w:rPr>
      </w:pPr>
    </w:p>
    <w:p w:rsidR="007C6C5F" w:rsidP="007C6C5F" w14:paraId="0F5D905B" w14:textId="77777777">
      <w:pPr>
        <w:pStyle w:val="Bodytext2"/>
        <w:rPr>
          <w:color w:val="0F172B"/>
          <w:lang w:val="fi-FI"/>
        </w:rPr>
      </w:pPr>
      <w:r>
        <w:rPr>
          <w:color w:val="0F172B"/>
          <w:lang w:val="fi-FI"/>
        </w:rPr>
        <w:t>Lisätietoja rahoitusveloista esitetään liitetiedossa 5.6. Rahoitusvelkojen maturiteettianalyysi.</w:t>
      </w:r>
    </w:p>
    <w:p w:rsidR="007C6C5F" w:rsidP="007C6C5F" w14:paraId="1377A809" w14:textId="40061ED3">
      <w:pPr>
        <w:pStyle w:val="Bodytext2"/>
        <w:rPr>
          <w:color w:val="0F172B"/>
          <w:lang w:val="fi-FI"/>
        </w:rPr>
      </w:pPr>
    </w:p>
    <w:p w:rsidR="000A3BC5" w:rsidP="007C6C5F" w14:paraId="45D94F6E" w14:textId="77777777">
      <w:pPr>
        <w:pStyle w:val="Bodytext2"/>
        <w:rPr>
          <w:color w:val="0F172B"/>
          <w:lang w:val="fi-FI"/>
        </w:rPr>
      </w:pPr>
    </w:p>
    <w:p w:rsidR="007C6C5F" w:rsidP="007C6C5F" w14:paraId="707624DA" w14:textId="77777777">
      <w:pPr>
        <w:pStyle w:val="Heading13"/>
        <w:rPr>
          <w:lang w:val="fi-FI"/>
        </w:rPr>
      </w:pPr>
      <w:r>
        <w:rPr>
          <w:lang w:val="fi-FI"/>
        </w:rPr>
        <w:t>Muut sijoitukset</w:t>
      </w:r>
    </w:p>
    <w:p w:rsidR="007C6C5F" w:rsidRPr="00F807F2" w:rsidP="00A970B9" w14:paraId="7F70B940" w14:textId="77777777">
      <w:pPr>
        <w:pStyle w:val="Bodytext2"/>
        <w:rPr>
          <w:lang w:val="fi-FI"/>
        </w:rPr>
      </w:pPr>
      <w:r w:rsidRPr="00F807F2">
        <w:rPr>
          <w:lang w:val="fi-FI"/>
        </w:rPr>
        <w:t xml:space="preserve">Muut </w:t>
      </w:r>
      <w:r w:rsidRPr="00F807F2">
        <w:rPr>
          <w:lang w:val="fi-FI"/>
        </w:rPr>
        <w:t>sijoitukset sisältävät käypään arvoon arvostettuja noteeraamattomia osakkeita. Näitä sijoituksia tarkastellaan DCF-mallien avulla, joissa kriittiset oletukset liittyvät WACC:in tasoon ja odotettuihin rahavirtoihin osingoista. Eri skenaarioilla saadaan kuit</w:t>
      </w:r>
      <w:r w:rsidRPr="00F807F2">
        <w:rPr>
          <w:lang w:val="fi-FI"/>
        </w:rPr>
        <w:t>enkin niin erilaisia tuloksia, että johdon arvioiden mukaan jaksotettuun hankintamenoon arvostaminen on lähinnä käypää arvoa.</w:t>
      </w:r>
    </w:p>
    <w:p w:rsidR="007C6C5F" w:rsidRPr="00F807F2" w:rsidP="00A970B9" w14:paraId="227FC869" w14:textId="77777777">
      <w:pPr>
        <w:pStyle w:val="Bodytext2"/>
        <w:rPr>
          <w:lang w:val="fi-FI"/>
        </w:rPr>
      </w:pPr>
    </w:p>
    <w:tbl>
      <w:tblPr>
        <w:tblStyle w:val="TableNormal"/>
        <w:tblCaption w:val="table_52_other_investments"/>
        <w:tblW w:w="7290" w:type="dxa"/>
        <w:tblLayout w:type="fixed"/>
        <w:tblLook w:val="0600"/>
      </w:tblPr>
      <w:tblGrid>
        <w:gridCol w:w="2565"/>
        <w:gridCol w:w="945"/>
        <w:gridCol w:w="945"/>
        <w:gridCol w:w="945"/>
        <w:gridCol w:w="945"/>
        <w:gridCol w:w="945"/>
      </w:tblGrid>
      <w:tr>
        <w:tblPrEx>
          <w:tblW w:w="7290" w:type="dxa"/>
          <w:tblLayout w:type="fixed"/>
          <w:tblLook w:val="0600"/>
        </w:tblPrEx>
        <w:trPr>
          <w:trHeight w:hRule="exact" w:val="240"/>
        </w:trPr>
        <w:tc>
          <w:tcPr>
            <w:tcW w:w="256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945"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9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400" w:type="dxa"/>
            <w:gridSpan w:val="4"/>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Kirjanpitoarvo 1.1.</w:t>
            </w:r>
          </w:p>
        </w:tc>
        <w:tc>
          <w:tcPr>
            <w:tcW w:w="9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19</w:t>
            </w:r>
          </w:p>
        </w:tc>
        <w:tc>
          <w:tcPr>
            <w:tcW w:w="9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400" w:type="dxa"/>
            <w:gridSpan w:val="4"/>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Osakkeiden hankinnat</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400" w:type="dxa"/>
            <w:gridSpan w:val="4"/>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Alaskirjaukset</w:t>
            </w:r>
          </w:p>
        </w:tc>
        <w:tc>
          <w:tcPr>
            <w:tcW w:w="945" w:type="dxa"/>
            <w:tcBorders>
              <w:top w:val="nil"/>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945" w:type="dxa"/>
            <w:tcBorders>
              <w:top w:val="nil"/>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400" w:type="dxa"/>
            <w:gridSpan w:val="4"/>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Kirjanpitoarvo 31.12.</w:t>
            </w:r>
          </w:p>
        </w:tc>
        <w:tc>
          <w:tcPr>
            <w:tcW w:w="9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w:t>
            </w:r>
          </w:p>
        </w:tc>
        <w:tc>
          <w:tcPr>
            <w:tcW w:w="9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w:t>
            </w:r>
          </w:p>
        </w:tc>
      </w:tr>
    </w:tbl>
    <w:p w:rsidR="007C6C5F" w:rsidP="007C6C5F" w14:paraId="51D241BA" w14:textId="77777777">
      <w:pPr>
        <w:pStyle w:val="Bodytext2"/>
        <w:rPr>
          <w:color w:val="0F172B"/>
          <w:lang w:val="fi-FI"/>
        </w:rPr>
      </w:pPr>
    </w:p>
    <w:p w:rsidR="007C6C5F" w:rsidRPr="00D317A0" w:rsidP="007C6C5F" w14:paraId="0A3058D0" w14:textId="339304D9">
      <w:pPr>
        <w:pStyle w:val="Bodytext2"/>
        <w:rPr>
          <w:sz w:val="2"/>
          <w:szCs w:val="2"/>
          <w:lang w:val="fi-FI"/>
        </w:rPr>
      </w:pPr>
      <w:r>
        <w:rPr>
          <w:lang w:val="fi-FI"/>
        </w:rPr>
        <w:t>Vuonna 2021 noteeraamattomien muiden osakkeiden (taso 3) hankintameno oli 18 miljoonaa euroa (19</w:t>
      </w:r>
      <w:r>
        <w:rPr>
          <w:lang w:val="fi-FI"/>
        </w:rPr>
        <w:t>), ja niiden markkina-arvo oli 18 miljoonaa euroa (19).</w:t>
      </w:r>
    </w:p>
    <w:p/>
    <w:p w:rsidR="00397641" w:rsidP="00397641" w14:paraId="280D61DE" w14:textId="66C010B0">
      <w:pPr>
        <w:pStyle w:val="Heading12"/>
      </w:pPr>
      <w:bookmarkStart w:id="1476" w:name="RG_MARKER_7449"/>
      <w:r>
        <w:t>5.3. RAHAVARAT</w:t>
      </w:r>
      <w:bookmarkEnd w:id="1476"/>
    </w:p>
    <w:tbl>
      <w:tblPr>
        <w:tblStyle w:val="TableGrid"/>
        <w:tblW w:w="7371" w:type="dxa"/>
        <w:tblLook w:val="04A0"/>
      </w:tblPr>
      <w:tblGrid>
        <w:gridCol w:w="7371"/>
      </w:tblGrid>
      <w:tr w14:paraId="2130E9EB" w14:textId="77777777" w:rsidTr="00397641">
        <w:tblPrEx>
          <w:tblW w:w="7371" w:type="dxa"/>
          <w:tblLook w:val="04A0"/>
        </w:tblPrEx>
        <w:tc>
          <w:tcPr>
            <w:tcW w:w="7371" w:type="dxa"/>
            <w:tcBorders>
              <w:top w:val="nil"/>
              <w:left w:val="nil"/>
              <w:bottom w:val="nil"/>
              <w:right w:val="nil"/>
            </w:tcBorders>
            <w:shd w:val="clear" w:color="auto" w:fill="B6C8D1"/>
            <w:hideMark/>
          </w:tcPr>
          <w:p w:rsidR="00397641" w:rsidRPr="004B34D5" w14:paraId="2470490F" w14:textId="313779FA">
            <w:pPr>
              <w:pStyle w:val="Heading13"/>
              <w:rPr>
                <w:rFonts w:eastAsiaTheme="minorEastAsia" w:cstheme="minorHAnsi"/>
                <w:lang w:val="fi-FI" w:eastAsia="fi-FI"/>
              </w:rPr>
            </w:pPr>
            <w:r w:rsidRPr="004B34D5">
              <w:rPr>
                <w:rFonts w:eastAsiaTheme="minorEastAsia"/>
                <w:lang w:val="fi-FI" w:eastAsia="fi-FI"/>
              </w:rPr>
              <w:t>Laadintaperiaatteet</w:t>
            </w:r>
          </w:p>
          <w:p w:rsidR="00397641" w:rsidP="00397641" w14:paraId="02AF7BE6" w14:textId="0F7E5A46">
            <w:pPr>
              <w:pStyle w:val="Bodytext2"/>
              <w:rPr>
                <w:rFonts w:eastAsiaTheme="minorEastAsia"/>
                <w:lang w:val="en-GB" w:eastAsia="fi-FI"/>
              </w:rPr>
            </w:pPr>
            <w:r w:rsidRPr="00397641">
              <w:rPr>
                <w:rFonts w:eastAsiaTheme="minorEastAsia"/>
                <w:lang w:val="fi-FI" w:eastAsia="fi-FI"/>
              </w:rPr>
              <w:t xml:space="preserve">Rahavarat koostuvat käteisvaroista, vaadittaessa nostettavissa olevista pankkitalletuksista sekä muista lyhytaikaisista rahavaroista. Muut lyhytaikaiset rahavarat ovat lyhytaikaisia likvidejä sijoituksia, joiden arvo </w:t>
            </w:r>
            <w:r w:rsidRPr="00397641">
              <w:rPr>
                <w:rFonts w:eastAsiaTheme="minorEastAsia"/>
                <w:lang w:val="fi-FI" w:eastAsia="fi-FI"/>
              </w:rPr>
              <w:t>vaihtelee vähäisessä määrin ja joiden maturiteetti on korkeintaan kolme kuukautta hankintahetkestä. Käteisvarat ja vaadittaessa nostettavissa olevat pankkitalletukset on arvostettu jaksotettuun hankintamenoon. Muut käteissijoitukset arvostetaan pääsääntöis</w:t>
            </w:r>
            <w:r w:rsidRPr="00397641">
              <w:rPr>
                <w:rFonts w:eastAsiaTheme="minorEastAsia"/>
                <w:lang w:val="fi-FI" w:eastAsia="fi-FI"/>
              </w:rPr>
              <w:t xml:space="preserve">esti käypään arvoon lukuun ottamatta sijoituksia yritystodistuksiin, jotka arvostetaan jaksotettuun hankintamenoon. </w:t>
            </w:r>
            <w:r w:rsidRPr="00397641">
              <w:rPr>
                <w:rFonts w:eastAsiaTheme="minorEastAsia"/>
                <w:lang w:val="en-GB" w:eastAsia="fi-FI"/>
              </w:rPr>
              <w:t>Konsernin</w:t>
            </w:r>
            <w:r w:rsidRPr="00397641">
              <w:rPr>
                <w:rFonts w:eastAsiaTheme="minorEastAsia"/>
                <w:lang w:val="en-GB" w:eastAsia="fi-FI"/>
              </w:rPr>
              <w:t xml:space="preserve"> cash pool -</w:t>
            </w:r>
            <w:r w:rsidRPr="00397641">
              <w:rPr>
                <w:rFonts w:eastAsiaTheme="minorEastAsia"/>
                <w:lang w:val="en-GB" w:eastAsia="fi-FI"/>
              </w:rPr>
              <w:t>tileihin</w:t>
            </w:r>
            <w:r w:rsidRPr="00397641">
              <w:rPr>
                <w:rFonts w:eastAsiaTheme="minorEastAsia"/>
                <w:lang w:val="en-GB" w:eastAsia="fi-FI"/>
              </w:rPr>
              <w:t xml:space="preserve"> </w:t>
            </w:r>
            <w:r w:rsidRPr="00397641">
              <w:rPr>
                <w:rFonts w:eastAsiaTheme="minorEastAsia"/>
                <w:lang w:val="en-GB" w:eastAsia="fi-FI"/>
              </w:rPr>
              <w:t>liittyvät</w:t>
            </w:r>
            <w:r w:rsidRPr="00397641">
              <w:rPr>
                <w:rFonts w:eastAsiaTheme="minorEastAsia"/>
                <w:lang w:val="en-GB" w:eastAsia="fi-FI"/>
              </w:rPr>
              <w:t xml:space="preserve"> </w:t>
            </w:r>
            <w:r w:rsidRPr="00397641">
              <w:rPr>
                <w:rFonts w:eastAsiaTheme="minorEastAsia"/>
                <w:lang w:val="en-GB" w:eastAsia="fi-FI"/>
              </w:rPr>
              <w:t>luotot</w:t>
            </w:r>
            <w:r w:rsidRPr="00397641">
              <w:rPr>
                <w:rFonts w:eastAsiaTheme="minorEastAsia"/>
                <w:lang w:val="en-GB" w:eastAsia="fi-FI"/>
              </w:rPr>
              <w:t xml:space="preserve"> </w:t>
            </w:r>
            <w:r w:rsidRPr="00397641">
              <w:rPr>
                <w:rFonts w:eastAsiaTheme="minorEastAsia"/>
                <w:lang w:val="en-GB" w:eastAsia="fi-FI"/>
              </w:rPr>
              <w:t>sisältyvät</w:t>
            </w:r>
            <w:r w:rsidRPr="00397641">
              <w:rPr>
                <w:rFonts w:eastAsiaTheme="minorEastAsia"/>
                <w:lang w:val="en-GB" w:eastAsia="fi-FI"/>
              </w:rPr>
              <w:t xml:space="preserve"> </w:t>
            </w:r>
            <w:r w:rsidRPr="00397641">
              <w:rPr>
                <w:rFonts w:eastAsiaTheme="minorEastAsia"/>
                <w:lang w:val="en-GB" w:eastAsia="fi-FI"/>
              </w:rPr>
              <w:t>lyhytaikaisiin</w:t>
            </w:r>
            <w:r w:rsidRPr="00397641">
              <w:rPr>
                <w:rFonts w:eastAsiaTheme="minorEastAsia"/>
                <w:lang w:val="en-GB" w:eastAsia="fi-FI"/>
              </w:rPr>
              <w:t xml:space="preserve"> </w:t>
            </w:r>
            <w:r w:rsidRPr="00397641">
              <w:rPr>
                <w:rFonts w:eastAsiaTheme="minorEastAsia"/>
                <w:lang w:val="en-GB" w:eastAsia="fi-FI"/>
              </w:rPr>
              <w:t>rahoitusvelkoihin</w:t>
            </w:r>
            <w:r w:rsidRPr="00397641">
              <w:rPr>
                <w:rFonts w:eastAsiaTheme="minorEastAsia"/>
                <w:lang w:val="en-GB" w:eastAsia="fi-FI"/>
              </w:rPr>
              <w:t>.</w:t>
            </w:r>
          </w:p>
        </w:tc>
      </w:tr>
    </w:tbl>
    <w:p w:rsidR="00397641" w:rsidP="00397641" w14:paraId="6C8A9B29" w14:textId="77777777">
      <w:pPr>
        <w:pStyle w:val="Bodytext2"/>
        <w:rPr>
          <w:lang w:val="en-GB"/>
        </w:rPr>
      </w:pPr>
    </w:p>
    <w:tbl>
      <w:tblPr>
        <w:tblStyle w:val="TableNormal"/>
        <w:tblCaption w:val="table_53"/>
        <w:tblW w:w="7320" w:type="dxa"/>
        <w:tblLayout w:type="fixed"/>
        <w:tblLook w:val="0600"/>
      </w:tblPr>
      <w:tblGrid>
        <w:gridCol w:w="4830"/>
        <w:gridCol w:w="1245"/>
        <w:gridCol w:w="1245"/>
      </w:tblGrid>
      <w:tr>
        <w:tblPrEx>
          <w:tblW w:w="7320" w:type="dxa"/>
          <w:tblLayout w:type="fixed"/>
          <w:tblLook w:val="0600"/>
        </w:tblPrEx>
        <w:trPr>
          <w:trHeight w:hRule="exact" w:val="240"/>
        </w:trPr>
        <w:tc>
          <w:tcPr>
            <w:tcW w:w="48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Rahat ja pankkisaamiset*</w:t>
            </w:r>
          </w:p>
        </w:tc>
        <w:tc>
          <w:tcPr>
            <w:tcW w:w="12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708</w:t>
            </w:r>
          </w:p>
        </w:tc>
        <w:tc>
          <w:tcPr>
            <w:tcW w:w="12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628</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rahavarat</w:t>
            </w:r>
          </w:p>
        </w:tc>
        <w:tc>
          <w:tcPr>
            <w:tcW w:w="12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256</w:t>
            </w:r>
          </w:p>
        </w:tc>
        <w:tc>
          <w:tcPr>
            <w:tcW w:w="12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290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2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964</w:t>
            </w:r>
          </w:p>
        </w:tc>
        <w:tc>
          <w:tcPr>
            <w:tcW w:w="12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919</w:t>
            </w:r>
          </w:p>
        </w:tc>
      </w:tr>
    </w:tbl>
    <w:p w:rsidR="00397641" w:rsidP="00397641" w14:paraId="03C35D6F" w14:textId="78E427F0">
      <w:pPr>
        <w:pStyle w:val="Bodytext2"/>
      </w:pPr>
    </w:p>
    <w:p w:rsidR="00397641" w:rsidRPr="00397641" w:rsidP="00397641" w14:paraId="7A05AED6" w14:textId="09EBC5EF">
      <w:pPr>
        <w:pStyle w:val="Bodytext2"/>
        <w:rPr>
          <w:lang w:val="fi-FI"/>
        </w:rPr>
      </w:pPr>
      <w:r w:rsidRPr="00397641">
        <w:rPr>
          <w:lang w:val="fi-FI"/>
        </w:rPr>
        <w:t xml:space="preserve">* </w:t>
      </w:r>
      <w:r>
        <w:rPr>
          <w:lang w:val="fi-FI"/>
        </w:rPr>
        <w:t>178</w:t>
      </w:r>
      <w:r w:rsidRPr="00397641">
        <w:rPr>
          <w:lang w:val="fi-FI"/>
        </w:rPr>
        <w:t xml:space="preserve"> milj</w:t>
      </w:r>
      <w:r>
        <w:rPr>
          <w:lang w:val="fi-FI"/>
        </w:rPr>
        <w:t>oonaa</w:t>
      </w:r>
      <w:r w:rsidRPr="00397641">
        <w:rPr>
          <w:lang w:val="fi-FI"/>
        </w:rPr>
        <w:t xml:space="preserve"> euroa (1</w:t>
      </w:r>
      <w:r>
        <w:rPr>
          <w:lang w:val="fi-FI"/>
        </w:rPr>
        <w:t>75</w:t>
      </w:r>
      <w:r w:rsidRPr="00397641">
        <w:rPr>
          <w:lang w:val="fi-FI"/>
        </w:rPr>
        <w:t>) rah</w:t>
      </w:r>
      <w:r w:rsidRPr="00397641">
        <w:rPr>
          <w:lang w:val="fi-FI"/>
        </w:rPr>
        <w:t>oista ja pankkisaamisista on maissa, joissa kotiuttamista on rajoitettu paikallisella lainsäädännöllä, eikä raha näin ollen ollut välittömästi emoyhtiön käytettävissä.</w:t>
      </w:r>
    </w:p>
    <w:p w:rsidR="00397641" w:rsidRPr="00397641" w:rsidP="00397641" w14:paraId="47115129" w14:textId="0904E05C">
      <w:pPr>
        <w:pStyle w:val="Bodytext2"/>
        <w:rPr>
          <w:lang w:val="fi-FI"/>
        </w:rPr>
      </w:pPr>
    </w:p>
    <w:p w:rsidR="00397641" w:rsidRPr="005758DA" w:rsidP="005758DA" w14:paraId="20FDF9CC" w14:textId="44924B6B">
      <w:pPr>
        <w:pStyle w:val="Bodytext2"/>
        <w:spacing w:before="0"/>
        <w:rPr>
          <w:sz w:val="2"/>
          <w:szCs w:val="2"/>
          <w:lang w:val="fi-FI"/>
        </w:rPr>
      </w:pPr>
      <w:r>
        <w:rPr>
          <w:lang w:val="fi-FI"/>
        </w:rPr>
        <w:t>L</w:t>
      </w:r>
      <w:r w:rsidRPr="00397641">
        <w:rPr>
          <w:lang w:val="fi-FI"/>
        </w:rPr>
        <w:t xml:space="preserve">isäksi </w:t>
      </w:r>
      <w:r>
        <w:rPr>
          <w:lang w:val="fi-FI"/>
        </w:rPr>
        <w:t>konsernilla oli vuonna 2020 14</w:t>
      </w:r>
      <w:r w:rsidRPr="00397641">
        <w:rPr>
          <w:lang w:val="fi-FI"/>
        </w:rPr>
        <w:t xml:space="preserve"> milj</w:t>
      </w:r>
      <w:r>
        <w:rPr>
          <w:lang w:val="fi-FI"/>
        </w:rPr>
        <w:t>oonaa</w:t>
      </w:r>
      <w:r w:rsidRPr="00397641">
        <w:rPr>
          <w:lang w:val="fi-FI"/>
        </w:rPr>
        <w:t xml:space="preserve"> euroa</w:t>
      </w:r>
      <w:r>
        <w:rPr>
          <w:lang w:val="fi-FI"/>
        </w:rPr>
        <w:t xml:space="preserve"> </w:t>
      </w:r>
      <w:r w:rsidRPr="00397641">
        <w:rPr>
          <w:lang w:val="fi-FI"/>
        </w:rPr>
        <w:t>rahavaroja liittyen myytävänä ol</w:t>
      </w:r>
      <w:r w:rsidRPr="00397641">
        <w:rPr>
          <w:lang w:val="fi-FI"/>
        </w:rPr>
        <w:t>eviin omaisuuseriin.</w:t>
      </w:r>
      <w:r>
        <w:rPr>
          <w:lang w:val="fi-FI"/>
        </w:rPr>
        <w:br w:type="column"/>
      </w:r>
      <w:r w:rsidRPr="005758DA">
        <w:rPr>
          <w:sz w:val="2"/>
          <w:szCs w:val="2"/>
          <w:lang w:val="fi-FI"/>
        </w:rPr>
        <w:t xml:space="preserve">     </w:t>
      </w:r>
    </w:p>
    <w:p w:rsidR="00C0585E" w:rsidRPr="006F0C4E" w:rsidP="00C0585E" w14:paraId="6DD16B79" w14:textId="7CB4315F">
      <w:pPr>
        <w:pStyle w:val="Heading12"/>
        <w:rPr>
          <w:lang w:val="fi-FI"/>
        </w:rPr>
      </w:pPr>
      <w:bookmarkStart w:id="1477" w:name="RG_MARKER_7448"/>
      <w:r w:rsidRPr="006F0C4E">
        <w:rPr>
          <w:lang w:val="fi-FI"/>
        </w:rPr>
        <w:t>5.4. NETTOVELAN TÄSMÄYTYS</w:t>
      </w:r>
      <w:bookmarkEnd w:id="1477"/>
    </w:p>
    <w:p w:rsidR="00B87159" w:rsidP="00C0585E" w14:paraId="416F9260" w14:textId="77777777">
      <w:pPr>
        <w:pStyle w:val="Heading13"/>
        <w:rPr>
          <w:lang w:val="fi-FI"/>
        </w:rPr>
      </w:pPr>
    </w:p>
    <w:p w:rsidR="00C0585E" w:rsidRPr="006F0C4E" w:rsidP="00C0585E" w14:paraId="1614E6A3" w14:textId="1C7EA43E">
      <w:pPr>
        <w:pStyle w:val="Heading13"/>
        <w:rPr>
          <w:lang w:val="fi-FI"/>
        </w:rPr>
      </w:pPr>
      <w:r w:rsidRPr="006F0C4E">
        <w:rPr>
          <w:lang w:val="fi-FI"/>
        </w:rPr>
        <w:t>Korolliset nettovelat</w:t>
      </w:r>
    </w:p>
    <w:p w:rsidR="00C0585E" w:rsidRPr="006570C1" w:rsidP="00C0585E" w14:paraId="3AE0C16C" w14:textId="77777777">
      <w:pPr>
        <w:pStyle w:val="Bodytext2"/>
        <w:rPr>
          <w:sz w:val="13"/>
          <w:szCs w:val="16"/>
          <w:lang w:val="fi-FI"/>
        </w:rPr>
      </w:pPr>
    </w:p>
    <w:tbl>
      <w:tblPr>
        <w:tblStyle w:val="TableNormal"/>
        <w:tblCaption w:val="table_54_net_ib_debt"/>
        <w:tblW w:w="7350" w:type="dxa"/>
        <w:tblLayout w:type="fixed"/>
        <w:tblLook w:val="0600"/>
      </w:tblPr>
      <w:tblGrid>
        <w:gridCol w:w="2130"/>
        <w:gridCol w:w="870"/>
        <w:gridCol w:w="870"/>
        <w:gridCol w:w="870"/>
        <w:gridCol w:w="870"/>
        <w:gridCol w:w="870"/>
        <w:gridCol w:w="870"/>
      </w:tblGrid>
      <w:tr>
        <w:tblPrEx>
          <w:tblW w:w="7350" w:type="dxa"/>
          <w:tblLayout w:type="fixed"/>
          <w:tblLook w:val="0600"/>
        </w:tblPrEx>
        <w:trPr>
          <w:trHeight w:hRule="exact" w:val="240"/>
        </w:trPr>
        <w:tc>
          <w:tcPr>
            <w:tcW w:w="21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870"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87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610" w:type="dxa"/>
            <w:gridSpan w:val="5"/>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Pitkäaikaiset vuokrasopimusvelat</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157</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124</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610" w:type="dxa"/>
            <w:gridSpan w:val="5"/>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pitkäaikaiset korolliset velat</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694</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1 005</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610" w:type="dxa"/>
            <w:gridSpan w:val="5"/>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Lyhytaikaiset vuokrasopimusvelat</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39</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610" w:type="dxa"/>
            <w:gridSpan w:val="5"/>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lyhytaikaiset korolliset velat</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82</w:t>
            </w: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156</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610" w:type="dxa"/>
            <w:gridSpan w:val="5"/>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Korolliset velat yhteensä</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973</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1 327</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610" w:type="dxa"/>
            <w:gridSpan w:val="5"/>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Korolliset saamiset</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610" w:type="dxa"/>
            <w:gridSpan w:val="5"/>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Rahavarat</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-964</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-919</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610" w:type="dxa"/>
            <w:gridSpan w:val="5"/>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Myytävänä oleviin omaisuuseriin liittyvät rahavarat</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610" w:type="dxa"/>
            <w:gridSpan w:val="5"/>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Korolliset saamiset yhteensä</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-969</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-933</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610" w:type="dxa"/>
            <w:gridSpan w:val="5"/>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Korolliset nettovelat yhteensä</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394</w:t>
            </w:r>
          </w:p>
        </w:tc>
      </w:tr>
    </w:tbl>
    <w:p w:rsidR="00B87159" w:rsidRPr="006570C1" w:rsidP="00C0585E" w14:paraId="64212452" w14:textId="77777777">
      <w:pPr>
        <w:pStyle w:val="Heading13"/>
        <w:rPr>
          <w:sz w:val="13"/>
          <w:szCs w:val="20"/>
          <w:lang w:val="fi-FI"/>
        </w:rPr>
      </w:pPr>
    </w:p>
    <w:p w:rsidR="00C0585E" w:rsidP="00C0585E" w14:paraId="05743FC1" w14:textId="667B5778">
      <w:pPr>
        <w:pStyle w:val="Heading13"/>
      </w:pPr>
      <w:r>
        <w:t>Nettovelan täsmäytys</w:t>
      </w:r>
    </w:p>
    <w:p w:rsidR="00C0585E" w:rsidRPr="006570C1" w:rsidP="00C0585E" w14:paraId="57BE7699" w14:textId="77777777">
      <w:pPr>
        <w:pStyle w:val="Bodytext2"/>
        <w:rPr>
          <w:sz w:val="13"/>
          <w:szCs w:val="16"/>
        </w:rPr>
      </w:pPr>
    </w:p>
    <w:p w:rsidR="00C0585E" w:rsidP="00C0585E" w14:paraId="40D8C138" w14:textId="43F32652">
      <w:pPr>
        <w:pStyle w:val="Heading13"/>
      </w:pPr>
      <w:r>
        <w:t>2021</w:t>
      </w:r>
    </w:p>
    <w:tbl>
      <w:tblPr>
        <w:tblStyle w:val="TableNormal"/>
        <w:tblCaption w:val="table_54_net_debt_recon_cur"/>
        <w:tblW w:w="7350" w:type="dxa"/>
        <w:tblLayout w:type="fixed"/>
        <w:tblLook w:val="0600"/>
      </w:tblPr>
      <w:tblGrid>
        <w:gridCol w:w="2130"/>
        <w:gridCol w:w="870"/>
        <w:gridCol w:w="870"/>
        <w:gridCol w:w="870"/>
        <w:gridCol w:w="870"/>
        <w:gridCol w:w="870"/>
        <w:gridCol w:w="870"/>
      </w:tblGrid>
      <w:tr>
        <w:tblPrEx>
          <w:tblW w:w="7350" w:type="dxa"/>
          <w:tblLayout w:type="fixed"/>
          <w:tblLook w:val="0600"/>
        </w:tblPrEx>
        <w:trPr>
          <w:trHeight w:val="240"/>
        </w:trPr>
        <w:tc>
          <w:tcPr>
            <w:tcW w:w="21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Kirjanpito-</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arvo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1.1.2021</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Raha-</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virrat</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Valuutta-</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kurssi-</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muutokset</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Muut muutokset</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Yrityshan-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kinnat ja yri-</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tysmyynnit</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Kirjanpito-</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arvo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31.12.2021</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Vuokrasopimusvelat</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166</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-51</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78</w:t>
            </w: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197</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pitkäaikaiset korolliset velat</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1 005</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-303</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w:t>
            </w: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694</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lyhytaikaiset korolliset velat</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156</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-72</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Korolliset saamiset</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Rahavarat*</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-932</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-30</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w:t>
            </w: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-964</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Nettovelka</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394</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-457</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-19</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78</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r>
    </w:tbl>
    <w:p w:rsidR="009C2320" w:rsidRPr="00CE1318" w:rsidP="00B87159" w14:paraId="781E642D" w14:textId="77777777">
      <w:pPr>
        <w:pStyle w:val="Bodytext2"/>
        <w:rPr>
          <w:sz w:val="9"/>
          <w:szCs w:val="12"/>
        </w:rPr>
      </w:pPr>
    </w:p>
    <w:p w:rsidR="00083182" w:rsidRPr="00083182" w:rsidP="00B87159" w14:paraId="422F599F" w14:textId="23AB27B1">
      <w:pPr>
        <w:pStyle w:val="Bodytext2"/>
        <w:rPr>
          <w:lang w:val="fi-FI"/>
        </w:rPr>
      </w:pPr>
      <w:r w:rsidRPr="00C0585E">
        <w:rPr>
          <w:lang w:val="fi-FI"/>
        </w:rPr>
        <w:t>* Sisältää myytävänä oleviin omaisuuseriin liittyvät rahavarat</w:t>
      </w:r>
      <w:r>
        <w:rPr>
          <w:lang w:val="fi-FI"/>
        </w:rPr>
        <w:t>.</w:t>
      </w:r>
    </w:p>
    <w:p w:rsidR="00C0585E" w:rsidRPr="006570C1" w:rsidP="00C0585E" w14:paraId="09AEA01C" w14:textId="77777777">
      <w:pPr>
        <w:pStyle w:val="Bodytext2"/>
        <w:rPr>
          <w:sz w:val="13"/>
          <w:szCs w:val="16"/>
          <w:lang w:val="fi-FI"/>
        </w:rPr>
      </w:pPr>
    </w:p>
    <w:p w:rsidR="00C0585E" w:rsidP="00C0585E" w14:paraId="47036047" w14:textId="59704232">
      <w:pPr>
        <w:pStyle w:val="Heading13"/>
      </w:pPr>
      <w:r>
        <w:t>2020</w:t>
      </w:r>
    </w:p>
    <w:tbl>
      <w:tblPr>
        <w:tblStyle w:val="TableNormal"/>
        <w:tblCaption w:val="table_54_net_debt_recon_pre"/>
        <w:tblW w:w="7350" w:type="dxa"/>
        <w:tblLayout w:type="fixed"/>
        <w:tblLook w:val="0600"/>
      </w:tblPr>
      <w:tblGrid>
        <w:gridCol w:w="2130"/>
        <w:gridCol w:w="870"/>
        <w:gridCol w:w="870"/>
        <w:gridCol w:w="870"/>
        <w:gridCol w:w="870"/>
        <w:gridCol w:w="870"/>
        <w:gridCol w:w="870"/>
      </w:tblGrid>
      <w:tr>
        <w:tblPrEx>
          <w:tblW w:w="7350" w:type="dxa"/>
          <w:tblLayout w:type="fixed"/>
          <w:tblLook w:val="0600"/>
        </w:tblPrEx>
        <w:trPr>
          <w:trHeight w:val="240"/>
        </w:trPr>
        <w:tc>
          <w:tcPr>
            <w:tcW w:w="21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Kirjanpito-</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arvo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1.1.2020</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Raha-</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virrat</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Valuutta-</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kurssi-</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muutokset</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Muut muutokset</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Yrityshan-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kinnat ja yri-</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tysmyynnit</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Kirjanpito-</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arvo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31.12.2020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Vuokrasopimusvelat</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188</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-49</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34</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166</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pitkäaikaiset korolliset velat</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851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155</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1 005</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lyhytaikaiset korolliset velat</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58</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156</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Korolliset saamiset</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Rahavarat*</w:t>
            </w: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-369</w:t>
            </w: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-601</w:t>
            </w: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22</w:t>
            </w: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w:t>
            </w: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-932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Nettovelka</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726</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-374</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34</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394</w:t>
            </w:r>
          </w:p>
        </w:tc>
      </w:tr>
    </w:tbl>
    <w:p w:rsidR="009C2320" w:rsidRPr="00CE1318" w:rsidP="00B87159" w14:paraId="375E4925" w14:textId="77777777">
      <w:pPr>
        <w:pStyle w:val="Bodytext2"/>
        <w:rPr>
          <w:sz w:val="9"/>
          <w:szCs w:val="12"/>
          <w:lang w:val="en-GB"/>
        </w:rPr>
      </w:pPr>
    </w:p>
    <w:p w:rsidR="004A0DF2" w:rsidRPr="00C0585E" w:rsidP="00B87159" w14:textId="40F5F900">
      <w:pPr>
        <w:pStyle w:val="Bodytext2"/>
        <w:rPr>
          <w:lang w:val="fi-FI"/>
        </w:rPr>
      </w:pPr>
      <w:r w:rsidRPr="00C0585E">
        <w:rPr>
          <w:lang w:val="fi-FI"/>
        </w:rPr>
        <w:t>* Sisältää myytävänä oleviin omaisuuseriin liittyvät rahavarat.</w:t>
      </w:r>
    </w:p>
    <w:p/>
    <w:p w:rsidR="00FA1706" w:rsidRPr="00FA1706" w:rsidP="00FA1706" w14:paraId="199C71DA" w14:textId="10504D3B">
      <w:pPr>
        <w:pStyle w:val="Heading12"/>
        <w:rPr>
          <w:lang w:val="fi-FI"/>
        </w:rPr>
      </w:pPr>
      <w:bookmarkStart w:id="1478" w:name="RG_MARKER_7447"/>
      <w:r w:rsidRPr="00FA1706">
        <w:rPr>
          <w:lang w:val="fi-FI"/>
        </w:rPr>
        <w:t>5.5. OMA PÄÄOMA</w:t>
      </w:r>
      <w:bookmarkEnd w:id="1478"/>
    </w:p>
    <w:p w:rsidR="00FA1706" w:rsidP="00FA1706" w14:paraId="341B0E23" w14:textId="01DD6477">
      <w:pPr>
        <w:pStyle w:val="Bodytext2"/>
        <w:rPr>
          <w:lang w:val="fi-FI"/>
        </w:rPr>
      </w:pPr>
      <w:r w:rsidRPr="00FA1706">
        <w:rPr>
          <w:lang w:val="fi-FI"/>
        </w:rPr>
        <w:t>Oma pääoma koostuu osakepääomasta, ylikurssirahastosta, muuntoeroista, arvonmuutosrahastosta, etuuspohjaisen nettovelan uudelleenmäärittämisestä johtuvista eristä ja kertyneistä voittovaroista.</w:t>
      </w:r>
    </w:p>
    <w:p w:rsidR="00213558" w:rsidP="00FA1706" w14:paraId="7CEEFB9E" w14:textId="77777777">
      <w:pPr>
        <w:pStyle w:val="Heading13"/>
        <w:rPr>
          <w:lang w:val="fi-FI"/>
        </w:rPr>
      </w:pPr>
    </w:p>
    <w:p w:rsidR="00FA1706" w:rsidRPr="007B07F5" w:rsidP="00FA1706" w14:paraId="7984E69F" w14:textId="7737C61C">
      <w:pPr>
        <w:pStyle w:val="Heading13"/>
        <w:rPr>
          <w:lang w:val="fi-FI"/>
        </w:rPr>
      </w:pPr>
      <w:r>
        <w:rPr>
          <w:lang w:val="fi-FI"/>
        </w:rPr>
        <w:t>O</w:t>
      </w:r>
      <w:r w:rsidRPr="007B07F5">
        <w:rPr>
          <w:lang w:val="fi-FI"/>
        </w:rPr>
        <w:t>sakepääoma ja osakkeiden lukumäärä</w:t>
      </w:r>
    </w:p>
    <w:p w:rsidR="00FA1706" w:rsidRPr="003A7F3F" w:rsidP="00542575" w14:paraId="70EF427D" w14:textId="77777777">
      <w:pPr>
        <w:pStyle w:val="Bodytext2"/>
        <w:rPr>
          <w:lang w:val="fi-FI"/>
        </w:rPr>
      </w:pPr>
    </w:p>
    <w:tbl>
      <w:tblPr>
        <w:tblStyle w:val="TableNormal"/>
        <w:tblCaption w:val="table_55_share_capital"/>
        <w:tblW w:w="7335" w:type="dxa"/>
        <w:tblLayout w:type="fixed"/>
        <w:tblLook w:val="0600"/>
      </w:tblPr>
      <w:tblGrid>
        <w:gridCol w:w="3960"/>
        <w:gridCol w:w="1125"/>
        <w:gridCol w:w="1125"/>
        <w:gridCol w:w="1125"/>
      </w:tblGrid>
      <w:tr>
        <w:tblPrEx>
          <w:tblW w:w="7335" w:type="dxa"/>
          <w:tblLayout w:type="fixed"/>
          <w:tblLook w:val="0600"/>
        </w:tblPrEx>
        <w:trPr>
          <w:trHeight w:val="240"/>
        </w:trPr>
        <w:tc>
          <w:tcPr>
            <w:tcW w:w="396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125"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25"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25"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8" w:space="0" w:color="0F172B"/>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Osakepääoma</w:t>
            </w:r>
          </w:p>
        </w:tc>
        <w:tc>
          <w:tcPr>
            <w:tcW w:w="1125" w:type="dxa"/>
            <w:tcBorders>
              <w:top w:val="single" w:sz="8" w:space="0" w:color="0F172B"/>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Osake-</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pääoma</w:t>
            </w:r>
          </w:p>
        </w:tc>
        <w:tc>
          <w:tcPr>
            <w:tcW w:w="1125" w:type="dxa"/>
            <w:tcBorders>
              <w:top w:val="single" w:sz="8" w:space="0" w:color="0F172B"/>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Ylikurssi-</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rahasto</w:t>
            </w:r>
          </w:p>
        </w:tc>
        <w:tc>
          <w:tcPr>
            <w:tcW w:w="1125" w:type="dxa"/>
            <w:tcBorders>
              <w:top w:val="single" w:sz="8" w:space="0" w:color="0F172B"/>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Yhteensä </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96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1.1.2020</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336</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61</w:t>
            </w:r>
          </w:p>
        </w:tc>
        <w:tc>
          <w:tcPr>
            <w:tcW w:w="112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397</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31.12.2020</w:t>
            </w:r>
          </w:p>
        </w:tc>
        <w:tc>
          <w:tcPr>
            <w:tcW w:w="1125"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336</w:t>
            </w:r>
          </w:p>
        </w:tc>
        <w:tc>
          <w:tcPr>
            <w:tcW w:w="1125"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61</w:t>
            </w:r>
          </w:p>
        </w:tc>
        <w:tc>
          <w:tcPr>
            <w:tcW w:w="1125"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397</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96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31.12.2021</w:t>
            </w:r>
          </w:p>
        </w:tc>
        <w:tc>
          <w:tcPr>
            <w:tcW w:w="112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336</w:t>
            </w:r>
          </w:p>
        </w:tc>
        <w:tc>
          <w:tcPr>
            <w:tcW w:w="112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61</w:t>
            </w:r>
          </w:p>
        </w:tc>
        <w:tc>
          <w:tcPr>
            <w:tcW w:w="112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397</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960" w:type="dxa"/>
            <w:tcBorders>
              <w:top w:val="single" w:sz="8" w:space="0" w:color="0F172B"/>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125" w:type="dxa"/>
            <w:tcBorders>
              <w:top w:val="single" w:sz="8" w:space="0" w:color="0F172B"/>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8" w:space="0" w:color="0F172B"/>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8" w:space="0" w:color="0F172B"/>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96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125"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960" w:type="dxa"/>
            <w:tcBorders>
              <w:top w:val="nil"/>
              <w:left w:val="nil"/>
              <w:bottom w:val="single" w:sz="8" w:space="0" w:color="000000"/>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Osakkeiden ja äänien lukumäärä</w:t>
            </w:r>
          </w:p>
        </w:tc>
        <w:tc>
          <w:tcPr>
            <w:tcW w:w="1125" w:type="dxa"/>
            <w:tcBorders>
              <w:top w:val="nil"/>
              <w:left w:val="nil"/>
              <w:bottom w:val="single" w:sz="8" w:space="0" w:color="000000"/>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nil"/>
              <w:left w:val="nil"/>
              <w:bottom w:val="single" w:sz="8" w:space="0" w:color="000000"/>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nil"/>
              <w:left w:val="nil"/>
              <w:bottom w:val="single" w:sz="8" w:space="0" w:color="000000"/>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8" w:space="0" w:color="000000"/>
              <w:left w:val="nil"/>
              <w:bottom w:val="single" w:sz="4" w:space="0" w:color="000000"/>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Ulkona olevien osakkeiden lukumäärä 31.12.2020</w:t>
            </w:r>
          </w:p>
        </w:tc>
        <w:tc>
          <w:tcPr>
            <w:tcW w:w="1125" w:type="dxa"/>
            <w:tcBorders>
              <w:top w:val="single" w:sz="8" w:space="0" w:color="000000"/>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8" w:space="0" w:color="000000"/>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8" w:space="0" w:color="000000"/>
              <w:left w:val="nil"/>
              <w:bottom w:val="single" w:sz="4" w:space="0" w:color="000000"/>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591 723 390</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0000"/>
              <w:left w:val="nil"/>
              <w:bottom w:val="single" w:sz="4" w:space="0" w:color="000000"/>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Omien osakkeiden osto 27.4.2021</w:t>
            </w:r>
          </w:p>
        </w:tc>
        <w:tc>
          <w:tcPr>
            <w:tcW w:w="1125" w:type="dxa"/>
            <w:tcBorders>
              <w:top w:val="single" w:sz="4" w:space="0" w:color="000000"/>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0000"/>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0000"/>
              <w:left w:val="nil"/>
              <w:bottom w:val="single" w:sz="4" w:space="0" w:color="000000"/>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-250 000</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0000"/>
              <w:left w:val="nil"/>
              <w:bottom w:val="single" w:sz="4" w:space="0" w:color="000000"/>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Omien osakkeiden osto 28.4.2021</w:t>
            </w:r>
          </w:p>
        </w:tc>
        <w:tc>
          <w:tcPr>
            <w:tcW w:w="1125" w:type="dxa"/>
            <w:tcBorders>
              <w:top w:val="single" w:sz="4" w:space="0" w:color="000000"/>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0000"/>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0000"/>
              <w:left w:val="nil"/>
              <w:bottom w:val="single" w:sz="4" w:space="0" w:color="000000"/>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-290 000</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0000"/>
              <w:left w:val="nil"/>
              <w:bottom w:val="single" w:sz="4" w:space="0" w:color="000000"/>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Omien osakkeiden osto 29.4.2021</w:t>
            </w:r>
          </w:p>
        </w:tc>
        <w:tc>
          <w:tcPr>
            <w:tcW w:w="1125" w:type="dxa"/>
            <w:tcBorders>
              <w:top w:val="single" w:sz="4" w:space="0" w:color="000000"/>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0000"/>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0000"/>
              <w:left w:val="nil"/>
              <w:bottom w:val="single" w:sz="4" w:space="0" w:color="000000"/>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-400 000</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0000"/>
              <w:left w:val="nil"/>
              <w:bottom w:val="single" w:sz="4" w:space="0" w:color="000000"/>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Omien osakkeiden osto 30.4.2021</w:t>
            </w:r>
          </w:p>
        </w:tc>
        <w:tc>
          <w:tcPr>
            <w:tcW w:w="1125" w:type="dxa"/>
            <w:tcBorders>
              <w:top w:val="single" w:sz="4" w:space="0" w:color="000000"/>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0000"/>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0000"/>
              <w:left w:val="nil"/>
              <w:bottom w:val="single" w:sz="4" w:space="0" w:color="000000"/>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-160 000</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0000"/>
              <w:left w:val="nil"/>
              <w:bottom w:val="single" w:sz="4" w:space="0" w:color="000000"/>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Omien osakkeiden osto 3.5.2021</w:t>
            </w:r>
          </w:p>
        </w:tc>
        <w:tc>
          <w:tcPr>
            <w:tcW w:w="1125" w:type="dxa"/>
            <w:tcBorders>
              <w:top w:val="single" w:sz="4" w:space="0" w:color="000000"/>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0000"/>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0000"/>
              <w:left w:val="nil"/>
              <w:bottom w:val="single" w:sz="4" w:space="0" w:color="000000"/>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-200 000</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0000"/>
              <w:left w:val="nil"/>
              <w:bottom w:val="single" w:sz="4" w:space="0" w:color="000000"/>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Omien osakkeiden osto 4.5.2021</w:t>
            </w:r>
          </w:p>
        </w:tc>
        <w:tc>
          <w:tcPr>
            <w:tcW w:w="1125" w:type="dxa"/>
            <w:tcBorders>
              <w:top w:val="single" w:sz="4" w:space="0" w:color="000000"/>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0000"/>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0000"/>
              <w:left w:val="nil"/>
              <w:bottom w:val="single" w:sz="4" w:space="0" w:color="000000"/>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-250 000</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0000"/>
              <w:left w:val="nil"/>
              <w:bottom w:val="single" w:sz="8" w:space="0" w:color="0F172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Omien osakkeiden osto 5.5.2021</w:t>
            </w:r>
          </w:p>
        </w:tc>
        <w:tc>
          <w:tcPr>
            <w:tcW w:w="1125" w:type="dxa"/>
            <w:tcBorders>
              <w:top w:val="single" w:sz="4" w:space="0" w:color="000000"/>
              <w:left w:val="nil"/>
              <w:bottom w:val="single" w:sz="8" w:space="0" w:color="0F172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0000"/>
              <w:left w:val="nil"/>
              <w:bottom w:val="single" w:sz="8" w:space="0" w:color="0F172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0000"/>
              <w:left w:val="nil"/>
              <w:bottom w:val="single" w:sz="8" w:space="0" w:color="0F172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-150 000</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8" w:space="0" w:color="0F172B"/>
              <w:left w:val="nil"/>
              <w:bottom w:val="single" w:sz="4" w:space="0" w:color="000000"/>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Ulkona olevien osakkeiden lukumäärä 31.12.2021</w:t>
            </w:r>
          </w:p>
        </w:tc>
        <w:tc>
          <w:tcPr>
            <w:tcW w:w="1125" w:type="dxa"/>
            <w:tcBorders>
              <w:top w:val="single" w:sz="8" w:space="0" w:color="0F172B"/>
              <w:left w:val="nil"/>
              <w:bottom w:val="single" w:sz="4" w:space="0" w:color="000000"/>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8" w:space="0" w:color="0F172B"/>
              <w:left w:val="nil"/>
              <w:bottom w:val="single" w:sz="4" w:space="0" w:color="000000"/>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8" w:space="0" w:color="0F172B"/>
              <w:left w:val="nil"/>
              <w:bottom w:val="single" w:sz="4" w:space="0" w:color="000000"/>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590 023 390</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0000"/>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125" w:type="dxa"/>
            <w:tcBorders>
              <w:top w:val="single" w:sz="4" w:space="0" w:color="000000"/>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0000"/>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0000"/>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Ulkona olevien osakkeiden lukumäärän painotettu keskiarvo kauden aikana</w:t>
            </w: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590 579 335</w:t>
            </w:r>
          </w:p>
        </w:tc>
      </w:tr>
    </w:tbl>
    <w:p w:rsidR="00FA1706" w:rsidRPr="007B07F5" w:rsidP="00FA1706" w14:paraId="0DC0ACDD" w14:textId="77777777">
      <w:pPr>
        <w:pStyle w:val="Bodytext2"/>
        <w:rPr>
          <w:lang w:val="fi-FI"/>
        </w:rPr>
      </w:pPr>
    </w:p>
    <w:p w:rsidR="00FA1706" w:rsidRPr="00FA1706" w:rsidP="00FA1706" w14:paraId="7E6A1B13" w14:textId="77777777">
      <w:pPr>
        <w:pStyle w:val="Bodytext2"/>
        <w:rPr>
          <w:lang w:val="fi-FI"/>
        </w:rPr>
      </w:pPr>
      <w:r w:rsidRPr="00FA1706">
        <w:rPr>
          <w:lang w:val="fi-FI"/>
        </w:rPr>
        <w:t>Wärtsilän osakkeella ei ole nimellisarvoa. Wärtsilällä on yksi osakelaji. Kaikilla osakkeilla on yksi ääni yhtiökokouksessa ja niillä on yhtälainen oikeus osingonjakoon.</w:t>
      </w:r>
    </w:p>
    <w:p w:rsidR="00FA1706" w:rsidP="00FA1706" w14:paraId="234A84FB" w14:textId="77777777">
      <w:pPr>
        <w:pStyle w:val="Bodytext2"/>
        <w:rPr>
          <w:lang w:val="fi-FI"/>
        </w:rPr>
      </w:pPr>
    </w:p>
    <w:p w:rsidR="00FA1706" w:rsidRPr="00FA1706" w:rsidP="00FA1706" w14:paraId="07EA92AD" w14:textId="0F5AA3CC">
      <w:pPr>
        <w:pStyle w:val="Heading13"/>
        <w:rPr>
          <w:lang w:val="fi-FI"/>
        </w:rPr>
      </w:pPr>
      <w:r w:rsidRPr="00FA1706">
        <w:rPr>
          <w:lang w:val="fi-FI"/>
        </w:rPr>
        <w:t>Osakepääoma</w:t>
      </w:r>
    </w:p>
    <w:p w:rsidR="00FA1706" w:rsidRPr="00FA1706" w:rsidP="00FA1706" w14:paraId="09A3C3A0" w14:textId="77777777">
      <w:pPr>
        <w:pStyle w:val="Bodytext2"/>
        <w:rPr>
          <w:lang w:val="fi-FI"/>
        </w:rPr>
      </w:pPr>
      <w:r w:rsidRPr="00FA1706">
        <w:rPr>
          <w:lang w:val="fi-FI"/>
        </w:rPr>
        <w:t>Osakeannin yhteydessä yhtiön saamat osakkeen</w:t>
      </w:r>
      <w:r w:rsidRPr="00FA1706">
        <w:rPr>
          <w:lang w:val="fi-FI"/>
        </w:rPr>
        <w:t xml:space="preserve"> merkintähinnat kirjataan osakepääomaan, ellei osakeantipäätöksen yhteydessä olla päätetty, että osa merkintähinnasta kirjataan sijoitetun vapaan oman pääoman rahastoon.</w:t>
      </w:r>
    </w:p>
    <w:p w:rsidR="00FA1706" w:rsidRPr="00FA1706" w:rsidP="00FA1706" w14:paraId="6A948DD1" w14:textId="64327B06">
      <w:pPr>
        <w:pStyle w:val="Bodytext2"/>
        <w:rPr>
          <w:lang w:val="fi-FI"/>
        </w:rPr>
      </w:pPr>
    </w:p>
    <w:p w:rsidR="00FA1706" w:rsidRPr="00FA1706" w:rsidP="00FA1706" w14:paraId="601169B5" w14:textId="77777777">
      <w:pPr>
        <w:pStyle w:val="Heading13"/>
        <w:rPr>
          <w:lang w:val="fi-FI"/>
        </w:rPr>
      </w:pPr>
      <w:r w:rsidRPr="00FA1706">
        <w:rPr>
          <w:lang w:val="fi-FI"/>
        </w:rPr>
        <w:t>Ylikurssirahasto</w:t>
      </w:r>
    </w:p>
    <w:p w:rsidR="00FA1706" w:rsidRPr="00FA1706" w:rsidP="00FA1706" w14:paraId="0B44AB8D" w14:textId="77777777">
      <w:pPr>
        <w:pStyle w:val="Bodytext2"/>
        <w:rPr>
          <w:lang w:val="fi-FI"/>
        </w:rPr>
      </w:pPr>
      <w:r w:rsidRPr="00FA1706">
        <w:rPr>
          <w:lang w:val="fi-FI"/>
        </w:rPr>
        <w:t>Ylikurssirahasto on sidottua omaa pääomaa. Sitä voidaan alentaa noud</w:t>
      </w:r>
      <w:r w:rsidRPr="00FA1706">
        <w:rPr>
          <w:lang w:val="fi-FI"/>
        </w:rPr>
        <w:t>attaen, mitä osakepääoman alentamisesta säädetään osakeyhtiölaissa. Osakepääomaa voidaan myös korottaa siirtämällä varoja ylikurssirahastosta.</w:t>
      </w:r>
    </w:p>
    <w:p w:rsidR="00FA1706" w:rsidRPr="00FA1706" w:rsidP="00FA1706" w14:paraId="647600CF" w14:textId="3B650D52">
      <w:pPr>
        <w:pStyle w:val="Bodytext2"/>
        <w:rPr>
          <w:lang w:val="fi-FI"/>
        </w:rPr>
      </w:pPr>
    </w:p>
    <w:p w:rsidR="00FA1706" w:rsidRPr="00FA1706" w:rsidP="00FA1706" w14:paraId="1E09F512" w14:textId="77777777">
      <w:pPr>
        <w:pStyle w:val="Heading13"/>
        <w:rPr>
          <w:lang w:val="fi-FI"/>
        </w:rPr>
      </w:pPr>
      <w:r w:rsidRPr="00FA1706">
        <w:rPr>
          <w:lang w:val="fi-FI"/>
        </w:rPr>
        <w:t>Muuntoerot</w:t>
      </w:r>
    </w:p>
    <w:p w:rsidR="00FA1706" w:rsidRPr="00FA1706" w:rsidP="00FA1706" w14:paraId="7492A994" w14:textId="77777777">
      <w:pPr>
        <w:pStyle w:val="Bodytext2"/>
        <w:rPr>
          <w:lang w:val="fi-FI"/>
        </w:rPr>
      </w:pPr>
      <w:r w:rsidRPr="00FA1706">
        <w:rPr>
          <w:lang w:val="fi-FI"/>
        </w:rPr>
        <w:t>Ulkomaisten tytäryhtiöiden tilinpäätösten muuntaminen eri kursseilla laajassa tuloslaskelmassa ja tas</w:t>
      </w:r>
      <w:r w:rsidRPr="00FA1706">
        <w:rPr>
          <w:lang w:val="fi-FI"/>
        </w:rPr>
        <w:t xml:space="preserve">eessa aiheuttaa muuntoeron, joka kirjataan omaan pääomaan. Ulkomaisten yritysten hankintamenon eliminoinnista sekä hankinnan jälkeen kertyneiden oman pääoman erien muuntamisesta syntyvät muuntoerot esitetään myös omassa pääomassa. Lisäksi omassa pääomassa </w:t>
      </w:r>
      <w:r w:rsidRPr="00FA1706">
        <w:rPr>
          <w:lang w:val="fi-FI"/>
        </w:rPr>
        <w:t>esitetään tytäryrityksen nettoinvestoinneista ja pitkäaikaisesta tytäryhtiölainasta ilman sovittua suorituspäivää syntyvät muuntoerot. Muuntoerojen muutokset kirjataan muihin laajan tuloksen eriin.</w:t>
      </w:r>
    </w:p>
    <w:p w:rsidR="00FA1706" w:rsidRPr="00FA1706" w:rsidP="00FA1706" w14:paraId="3980827C" w14:textId="7A3CF291">
      <w:pPr>
        <w:pStyle w:val="Bodytext2"/>
        <w:rPr>
          <w:lang w:val="fi-FI"/>
        </w:rPr>
      </w:pPr>
    </w:p>
    <w:p w:rsidR="00FA1706" w:rsidRPr="00FA1706" w:rsidP="00FA1706" w14:paraId="121AA24C" w14:textId="2273B9F0">
      <w:pPr>
        <w:pStyle w:val="Heading13"/>
        <w:rPr>
          <w:lang w:val="fi-FI"/>
        </w:rPr>
      </w:pPr>
      <w:r>
        <w:rPr>
          <w:lang w:val="fi-FI"/>
        </w:rPr>
        <w:t>A</w:t>
      </w:r>
      <w:r w:rsidRPr="00FA1706">
        <w:rPr>
          <w:lang w:val="fi-FI"/>
        </w:rPr>
        <w:t>rvonmuutosrahasto</w:t>
      </w:r>
    </w:p>
    <w:p w:rsidR="00FA1706" w:rsidP="00FA1706" w14:paraId="211B91E6" w14:textId="45321325">
      <w:pPr>
        <w:pStyle w:val="Bodytext2"/>
        <w:rPr>
          <w:lang w:val="fi-FI"/>
        </w:rPr>
      </w:pPr>
      <w:r w:rsidRPr="00FA1706">
        <w:rPr>
          <w:lang w:val="fi-FI"/>
        </w:rPr>
        <w:t>Arvonmuutosrahasto sisältää rahavirran</w:t>
      </w:r>
      <w:r w:rsidRPr="00FA1706">
        <w:rPr>
          <w:lang w:val="fi-FI"/>
        </w:rPr>
        <w:t xml:space="preserve"> suojauksessa käytettyjen instrumenttien käyvän arvon muutokset, jos suojaus on tehokas ja täyttää suojauslaskennan edellytykset. Muutokset arvonmuutosrahastoon sisältyvissä erissä kirjataan muihin laajan tuloksen eriin.</w:t>
      </w:r>
    </w:p>
    <w:p w:rsidR="00FA1706" w:rsidRPr="00FA1706" w:rsidP="00FA1706" w14:paraId="2D1547F0" w14:textId="77777777">
      <w:pPr>
        <w:pStyle w:val="Bodytext2"/>
        <w:rPr>
          <w:lang w:val="fi-FI"/>
        </w:rPr>
      </w:pPr>
    </w:p>
    <w:p w:rsidR="00FA1706" w:rsidP="00FA1706" w14:paraId="07C248DA" w14:textId="7F295B58">
      <w:pPr>
        <w:pStyle w:val="Bodytext2"/>
        <w:rPr>
          <w:lang w:val="fi-FI"/>
        </w:rPr>
      </w:pPr>
      <w:r w:rsidRPr="00FA1706">
        <w:rPr>
          <w:lang w:val="fi-FI"/>
        </w:rPr>
        <w:t>Vuoden 20</w:t>
      </w:r>
      <w:r>
        <w:rPr>
          <w:lang w:val="fi-FI"/>
        </w:rPr>
        <w:t>21</w:t>
      </w:r>
      <w:r w:rsidRPr="00FA1706">
        <w:rPr>
          <w:lang w:val="fi-FI"/>
        </w:rPr>
        <w:t xml:space="preserve"> aikana on rahavirtasuo</w:t>
      </w:r>
      <w:r w:rsidRPr="00FA1706">
        <w:rPr>
          <w:lang w:val="fi-FI"/>
        </w:rPr>
        <w:t xml:space="preserve">jausten käypien arvojen muutoksia kirjattu omaan pääomaan </w:t>
      </w:r>
      <w:r>
        <w:rPr>
          <w:lang w:val="fi-FI"/>
        </w:rPr>
        <w:t>-12</w:t>
      </w:r>
      <w:r w:rsidRPr="00FA1706">
        <w:rPr>
          <w:lang w:val="fi-FI"/>
        </w:rPr>
        <w:t xml:space="preserve"> milj</w:t>
      </w:r>
      <w:r>
        <w:rPr>
          <w:lang w:val="fi-FI"/>
        </w:rPr>
        <w:t>oonaa</w:t>
      </w:r>
      <w:r w:rsidRPr="00FA1706">
        <w:rPr>
          <w:lang w:val="fi-FI"/>
        </w:rPr>
        <w:t xml:space="preserve"> euroa (</w:t>
      </w:r>
      <w:r>
        <w:rPr>
          <w:lang w:val="fi-FI"/>
        </w:rPr>
        <w:t>-</w:t>
      </w:r>
      <w:r w:rsidRPr="00FA1706">
        <w:rPr>
          <w:lang w:val="fi-FI"/>
        </w:rPr>
        <w:t xml:space="preserve">4). Omasta pääomasta on vuoden aikana kirjattu tuloslaskelmaan </w:t>
      </w:r>
      <w:r>
        <w:rPr>
          <w:lang w:val="fi-FI"/>
        </w:rPr>
        <w:t>4</w:t>
      </w:r>
      <w:r w:rsidRPr="00FA1706">
        <w:rPr>
          <w:lang w:val="fi-FI"/>
        </w:rPr>
        <w:t xml:space="preserve"> milj</w:t>
      </w:r>
      <w:r>
        <w:rPr>
          <w:lang w:val="fi-FI"/>
        </w:rPr>
        <w:t>oonaa</w:t>
      </w:r>
      <w:r w:rsidRPr="00FA1706">
        <w:rPr>
          <w:lang w:val="fi-FI"/>
        </w:rPr>
        <w:t xml:space="preserve"> euroa (</w:t>
      </w:r>
      <w:r>
        <w:rPr>
          <w:lang w:val="fi-FI"/>
        </w:rPr>
        <w:t>6</w:t>
      </w:r>
      <w:r w:rsidRPr="00FA1706">
        <w:rPr>
          <w:lang w:val="fi-FI"/>
        </w:rPr>
        <w:t>) myynnin tai ostojen oikaisun</w:t>
      </w:r>
      <w:r>
        <w:rPr>
          <w:lang w:val="fi-FI"/>
        </w:rPr>
        <w:t>a.</w:t>
      </w:r>
    </w:p>
    <w:p w:rsidR="00213558" w:rsidP="00FA1706" w14:paraId="3353ADE8" w14:textId="77777777">
      <w:pPr>
        <w:pStyle w:val="Bodytext2"/>
        <w:rPr>
          <w:lang w:val="fi-FI"/>
        </w:rPr>
      </w:pPr>
    </w:p>
    <w:tbl>
      <w:tblPr>
        <w:tblStyle w:val="TableNormal"/>
        <w:tblCaption w:val="table_55_FV_reserve"/>
        <w:tblW w:w="7335" w:type="dxa"/>
        <w:tblLayout w:type="fixed"/>
        <w:tblLook w:val="0600"/>
      </w:tblPr>
      <w:tblGrid>
        <w:gridCol w:w="3960"/>
        <w:gridCol w:w="1125"/>
        <w:gridCol w:w="1125"/>
        <w:gridCol w:w="1125"/>
      </w:tblGrid>
      <w:tr>
        <w:tblPrEx>
          <w:tblW w:w="7335" w:type="dxa"/>
          <w:tblLayout w:type="fixed"/>
          <w:tblLook w:val="0600"/>
        </w:tblPrEx>
        <w:trPr>
          <w:trHeight w:val="240"/>
        </w:trPr>
        <w:tc>
          <w:tcPr>
            <w:tcW w:w="396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125"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12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Rahavirran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suojaukset</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Arvonmuutosrahasto 1.1.2020</w:t>
            </w:r>
          </w:p>
        </w:tc>
        <w:tc>
          <w:tcPr>
            <w:tcW w:w="112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8" w:space="0" w:color="0F172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Käyvän arvon muutoksiin liittyvät verot</w:t>
            </w:r>
          </w:p>
        </w:tc>
        <w:tc>
          <w:tcPr>
            <w:tcW w:w="1125" w:type="dxa"/>
            <w:tcBorders>
              <w:top w:val="single" w:sz="4" w:space="0" w:color="004A6B"/>
              <w:left w:val="nil"/>
              <w:bottom w:val="single" w:sz="8" w:space="0" w:color="0F172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8" w:space="0" w:color="0F172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8" w:space="0" w:color="0F172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Arvonmuutosrahasto 1.1.2020</w:t>
            </w:r>
          </w:p>
        </w:tc>
        <w:tc>
          <w:tcPr>
            <w:tcW w:w="112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8" w:space="0" w:color="0F172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Siirretty tuloslaskelmaan, veroilla vähennettynä</w:t>
            </w: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Käyvän arvon muutokset</w:t>
            </w: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Käyvän arvon muutoksiin liittyvät verot</w:t>
            </w:r>
          </w:p>
        </w:tc>
        <w:tc>
          <w:tcPr>
            <w:tcW w:w="1125" w:type="dxa"/>
            <w:tcBorders>
              <w:top w:val="single" w:sz="4" w:space="0" w:color="004A6B"/>
              <w:left w:val="nil"/>
              <w:bottom w:val="single" w:sz="8" w:space="0" w:color="0F172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8" w:space="0" w:color="0F172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8" w:space="0" w:color="0F172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Arvonmuutosrahasto 31.12.2020</w:t>
            </w:r>
          </w:p>
        </w:tc>
        <w:tc>
          <w:tcPr>
            <w:tcW w:w="112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8" w:space="0" w:color="0F172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Siirretty tuloslaskelmaan, veroilla vähennettynä</w:t>
            </w: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Käyvän arvon muutokset</w:t>
            </w: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Käyvän arvon muutoksiin liittyvät verot</w:t>
            </w:r>
          </w:p>
        </w:tc>
        <w:tc>
          <w:tcPr>
            <w:tcW w:w="1125" w:type="dxa"/>
            <w:tcBorders>
              <w:top w:val="single" w:sz="4" w:space="0" w:color="004A6B"/>
              <w:left w:val="nil"/>
              <w:bottom w:val="single" w:sz="8" w:space="0" w:color="0F172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8" w:space="0" w:color="0F172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4" w:space="0" w:color="004A6B"/>
              <w:left w:val="nil"/>
              <w:bottom w:val="single" w:sz="8" w:space="0" w:color="0F172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r>
      <w:tr>
        <w:tblPrEx>
          <w:tblW w:w="7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960"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Arvonmuutosrahasto 31.12.2021</w:t>
            </w:r>
          </w:p>
        </w:tc>
        <w:tc>
          <w:tcPr>
            <w:tcW w:w="1125" w:type="dxa"/>
            <w:tcBorders>
              <w:top w:val="single" w:sz="8" w:space="0" w:color="0F172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8" w:space="0" w:color="0F172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125" w:type="dxa"/>
            <w:tcBorders>
              <w:top w:val="single" w:sz="8" w:space="0" w:color="0F172B"/>
              <w:left w:val="nil"/>
              <w:bottom w:val="single" w:sz="8" w:space="0" w:color="0F172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w:t>
            </w:r>
          </w:p>
        </w:tc>
      </w:tr>
    </w:tbl>
    <w:p w:rsidR="00FA1706" w:rsidRPr="007B07F5" w:rsidP="00FA1706" w14:paraId="756504DC" w14:textId="77777777">
      <w:pPr>
        <w:pStyle w:val="Bodytext2"/>
        <w:rPr>
          <w:lang w:val="fi-FI"/>
        </w:rPr>
      </w:pPr>
    </w:p>
    <w:p w:rsidR="00FA1706" w:rsidRPr="007B07F5" w:rsidP="00FA1706" w14:paraId="3F7868D4" w14:textId="0AE9AD9E">
      <w:pPr>
        <w:pStyle w:val="Heading13"/>
        <w:rPr>
          <w:lang w:val="fi-FI"/>
        </w:rPr>
      </w:pPr>
      <w:r w:rsidRPr="007B07F5">
        <w:rPr>
          <w:lang w:val="fi-FI"/>
        </w:rPr>
        <w:t>Emoyhtiön voitonjakokelpoiset var</w:t>
      </w:r>
      <w:r w:rsidRPr="007B07F5">
        <w:rPr>
          <w:lang w:val="fi-FI"/>
        </w:rPr>
        <w:t>at</w:t>
      </w:r>
    </w:p>
    <w:tbl>
      <w:tblPr>
        <w:tblStyle w:val="TableGrid0"/>
        <w:tblW w:w="7371" w:type="dxa"/>
        <w:tblInd w:w="5" w:type="dxa"/>
        <w:tblLook w:val="04A0"/>
      </w:tblPr>
      <w:tblGrid>
        <w:gridCol w:w="7371"/>
      </w:tblGrid>
      <w:tr w14:paraId="2388F932" w14:textId="77777777" w:rsidTr="00FA1706">
        <w:tblPrEx>
          <w:tblW w:w="7371" w:type="dxa"/>
          <w:tblInd w:w="5" w:type="dxa"/>
          <w:tblLook w:val="04A0"/>
        </w:tblPrEx>
        <w:tc>
          <w:tcPr>
            <w:tcW w:w="7361" w:type="dxa"/>
            <w:shd w:val="clear" w:color="auto" w:fill="B6C8D1"/>
            <w:hideMark/>
          </w:tcPr>
          <w:p w:rsidR="00FA1706" w:rsidRPr="00FA1706" w14:paraId="095A5F11" w14:textId="1E7E18CE">
            <w:pPr>
              <w:pStyle w:val="Heading13"/>
              <w:rPr>
                <w:rFonts w:cstheme="minorHAnsi"/>
                <w:color w:val="auto"/>
              </w:rPr>
            </w:pPr>
            <w:r w:rsidRPr="00FA1706">
              <w:t>Laadintaperiaatteet</w:t>
            </w:r>
          </w:p>
          <w:p w:rsidR="00FA1706" w:rsidRPr="00FA1706" w14:paraId="6AFDBEAE" w14:textId="797BBF66">
            <w:pPr>
              <w:pStyle w:val="Bodytext2"/>
            </w:pPr>
            <w:r w:rsidRPr="00FA1706">
              <w:t>Hallituksen yhtiökokoukselle ehdottamat osingot vähennetään voitonjakokelpoisesta omasta pääomasta yhtiökokouksen päätöksen jälkeen. Maksamattomat osingot esitetään velkana konsernitilinpäätöksessä.</w:t>
            </w:r>
          </w:p>
        </w:tc>
      </w:tr>
    </w:tbl>
    <w:p w:rsidR="00FA1706" w:rsidRPr="00FA1706" w:rsidP="00FA1706" w14:paraId="58CCC0DD" w14:textId="77777777">
      <w:pPr>
        <w:pStyle w:val="Bodytext2"/>
        <w:rPr>
          <w:b/>
          <w:bCs/>
          <w:lang w:val="fi-FI" w:eastAsia="fi-FI"/>
        </w:rPr>
      </w:pPr>
    </w:p>
    <w:p w:rsidR="00FA1706" w:rsidRPr="007B07F5" w:rsidP="00FA1706" w14:paraId="26DBBA5F" w14:textId="0A9BB8E4">
      <w:pPr>
        <w:pStyle w:val="Bodytext2"/>
        <w:rPr>
          <w:lang w:val="fi-FI"/>
        </w:rPr>
      </w:pPr>
      <w:r w:rsidRPr="00FA1706">
        <w:rPr>
          <w:lang w:val="fi-FI"/>
        </w:rPr>
        <w:t>Tilinpäätöspäivän jälkeen hallitus on esittänyt, että 31.12.20</w:t>
      </w:r>
      <w:r>
        <w:rPr>
          <w:lang w:val="fi-FI"/>
        </w:rPr>
        <w:t>21</w:t>
      </w:r>
      <w:r w:rsidRPr="00FA1706">
        <w:rPr>
          <w:lang w:val="fi-FI"/>
        </w:rPr>
        <w:t xml:space="preserve"> päättyneeltä tilikaudelta jaetaan osinkona </w:t>
      </w:r>
      <w:r>
        <w:rPr>
          <w:lang w:val="fi-FI"/>
        </w:rPr>
        <w:t>0,24</w:t>
      </w:r>
      <w:r w:rsidRPr="00FA1706">
        <w:rPr>
          <w:lang w:val="fi-FI"/>
        </w:rPr>
        <w:t xml:space="preserve"> euroa osakkeelta. Näin osingonjako on yhteensä </w:t>
      </w:r>
      <w:r>
        <w:rPr>
          <w:lang w:val="fi-FI"/>
        </w:rPr>
        <w:t>142</w:t>
      </w:r>
      <w:r w:rsidRPr="00FA1706">
        <w:rPr>
          <w:lang w:val="fi-FI"/>
        </w:rPr>
        <w:t xml:space="preserve"> milj</w:t>
      </w:r>
      <w:r>
        <w:rPr>
          <w:lang w:val="fi-FI"/>
        </w:rPr>
        <w:t>oonaa</w:t>
      </w:r>
      <w:r w:rsidRPr="00FA1706">
        <w:rPr>
          <w:lang w:val="fi-FI"/>
        </w:rPr>
        <w:t xml:space="preserve"> euroa. </w:t>
      </w:r>
      <w:r w:rsidRPr="007B07F5">
        <w:rPr>
          <w:lang w:val="fi-FI"/>
        </w:rPr>
        <w:t>Jäljelle jäävä osa kertyneistä voittovaroista jätetään vapaaseen omaan pääo</w:t>
      </w:r>
      <w:r w:rsidRPr="007B07F5">
        <w:rPr>
          <w:lang w:val="fi-FI"/>
        </w:rPr>
        <w:t xml:space="preserve">maan. </w:t>
      </w:r>
      <w:r w:rsidRPr="00FA1706">
        <w:rPr>
          <w:lang w:val="fi-FI"/>
        </w:rPr>
        <w:t>Tilikauden 20</w:t>
      </w:r>
      <w:r>
        <w:rPr>
          <w:lang w:val="fi-FI"/>
        </w:rPr>
        <w:t>20</w:t>
      </w:r>
      <w:r w:rsidRPr="00FA1706">
        <w:rPr>
          <w:lang w:val="fi-FI"/>
        </w:rPr>
        <w:t xml:space="preserve"> voitosta jaettiin osinkona 0,</w:t>
      </w:r>
      <w:r>
        <w:rPr>
          <w:lang w:val="fi-FI"/>
        </w:rPr>
        <w:t>20</w:t>
      </w:r>
      <w:r w:rsidRPr="00FA1706">
        <w:rPr>
          <w:lang w:val="fi-FI"/>
        </w:rPr>
        <w:t xml:space="preserve"> euroa osakkeelta osingonjaon ollessa yhteensä </w:t>
      </w:r>
      <w:r>
        <w:rPr>
          <w:lang w:val="fi-FI"/>
        </w:rPr>
        <w:t>118</w:t>
      </w:r>
      <w:r w:rsidRPr="00FA1706">
        <w:rPr>
          <w:lang w:val="fi-FI"/>
        </w:rPr>
        <w:t xml:space="preserve"> milj</w:t>
      </w:r>
      <w:r>
        <w:rPr>
          <w:lang w:val="fi-FI"/>
        </w:rPr>
        <w:t>oonaa</w:t>
      </w:r>
      <w:r w:rsidRPr="00FA1706">
        <w:rPr>
          <w:lang w:val="fi-FI"/>
        </w:rPr>
        <w:t xml:space="preserve"> euroa. </w:t>
      </w:r>
      <w:r w:rsidRPr="007B07F5">
        <w:rPr>
          <w:lang w:val="fi-FI"/>
        </w:rPr>
        <w:t>Jäljelle jäänyt osa kertyneistä voittovaroista jätettiin yhtiön vapaaseen omaan pääomaan.</w:t>
      </w:r>
    </w:p>
    <w:p w:rsidR="00FA1706" w:rsidRPr="007B07F5" w:rsidP="00FA1706" w14:paraId="568999AA" w14:textId="4C27009A">
      <w:pPr>
        <w:pStyle w:val="Bodytext2"/>
        <w:rPr>
          <w:lang w:val="fi-FI"/>
        </w:rPr>
      </w:pPr>
    </w:p>
    <w:p w:rsidR="00FA1706" w:rsidRPr="00FA1706" w:rsidP="00FA1706" w14:paraId="49AC79D9" w14:textId="77D8EFB6">
      <w:pPr>
        <w:pStyle w:val="Bodytext2"/>
        <w:rPr>
          <w:lang w:val="fi-FI"/>
        </w:rPr>
      </w:pPr>
      <w:r w:rsidRPr="00FA1706">
        <w:rPr>
          <w:lang w:val="fi-FI"/>
        </w:rPr>
        <w:t>Lisätietoja omasta pääomasta esitetään emoyh</w:t>
      </w:r>
      <w:r w:rsidRPr="00FA1706">
        <w:rPr>
          <w:lang w:val="fi-FI"/>
        </w:rPr>
        <w:t>tiön tilinpäätöksen liitetiedoissa, liitetiedossa 10. Oma pääoma.</w:t>
      </w:r>
    </w:p>
    <w:p/>
    <w:p w:rsidR="00A9507E" w:rsidRPr="008E6277" w:rsidP="00A9507E" w14:paraId="2A55769C" w14:textId="0C6DFAC3">
      <w:pPr>
        <w:pStyle w:val="Heading12"/>
        <w:rPr>
          <w:lang w:val="fi-FI"/>
        </w:rPr>
      </w:pPr>
      <w:bookmarkStart w:id="1479" w:name="RG_MARKER_7446"/>
      <w:r w:rsidRPr="008E6277">
        <w:rPr>
          <w:lang w:val="fi-FI"/>
        </w:rPr>
        <w:t>5.6. RAHOITUSVELKOJEN MATURITEETTIANALYYSI</w:t>
      </w:r>
      <w:bookmarkEnd w:id="1479"/>
    </w:p>
    <w:p w:rsidR="00A9507E" w:rsidRPr="008E6277" w:rsidP="00A9507E" w14:paraId="2BB4087A" w14:textId="77777777">
      <w:pPr>
        <w:pStyle w:val="Bodytext2"/>
        <w:rPr>
          <w:lang w:val="fi-FI"/>
        </w:rPr>
      </w:pPr>
    </w:p>
    <w:p w:rsidR="00A9507E" w:rsidP="00A9507E" w14:paraId="34B606F0" w14:textId="72333F9D">
      <w:pPr>
        <w:pStyle w:val="Heading13"/>
        <w:rPr>
          <w:lang w:val="fi-FI"/>
        </w:rPr>
      </w:pPr>
      <w:r w:rsidRPr="008E6277">
        <w:rPr>
          <w:lang w:val="fi-FI"/>
        </w:rPr>
        <w:t>202</w:t>
      </w:r>
      <w:r w:rsidR="003D5F42">
        <w:rPr>
          <w:lang w:val="fi-FI"/>
        </w:rPr>
        <w:t>1</w:t>
      </w:r>
    </w:p>
    <w:p w:rsidR="0040557D" w:rsidRPr="0040557D" w:rsidP="0040557D" w14:paraId="331C6BAA" w14:textId="77777777">
      <w:pPr>
        <w:pStyle w:val="Bodytext2"/>
        <w:rPr>
          <w:lang w:val="fi-FI"/>
        </w:rPr>
      </w:pPr>
    </w:p>
    <w:tbl>
      <w:tblPr>
        <w:tblStyle w:val="TableNormal"/>
        <w:tblCaption w:val="table_56_cur"/>
        <w:tblW w:w="7290" w:type="dxa"/>
        <w:tblLayout w:type="fixed"/>
        <w:tblLook w:val="0600"/>
      </w:tblPr>
      <w:tblGrid>
        <w:gridCol w:w="2565"/>
        <w:gridCol w:w="945"/>
        <w:gridCol w:w="945"/>
        <w:gridCol w:w="945"/>
        <w:gridCol w:w="945"/>
        <w:gridCol w:w="945"/>
      </w:tblGrid>
      <w:tr>
        <w:tblPrEx>
          <w:tblW w:w="7290" w:type="dxa"/>
          <w:tblLayout w:type="fixed"/>
          <w:tblLook w:val="0600"/>
        </w:tblPrEx>
        <w:trPr>
          <w:trHeight w:val="240"/>
        </w:trPr>
        <w:tc>
          <w:tcPr>
            <w:tcW w:w="2565"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945" w:type="dxa"/>
            <w:tcBorders>
              <w:top w:val="nil"/>
              <w:left w:val="nil"/>
              <w:bottom w:val="nil"/>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Lyhyt-</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aikainen</w:t>
            </w:r>
          </w:p>
        </w:tc>
        <w:tc>
          <w:tcPr>
            <w:tcW w:w="945" w:type="dxa"/>
            <w:tcBorders>
              <w:top w:val="nil"/>
              <w:left w:val="nil"/>
              <w:bottom w:val="nil"/>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Pitkä-</w:t>
            </w:r>
          </w:p>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aikainen</w:t>
            </w:r>
          </w:p>
        </w:tc>
        <w:tc>
          <w:tcPr>
            <w:tcW w:w="945"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56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9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&lt; 1 vuosi</w:t>
            </w:r>
          </w:p>
        </w:tc>
        <w:tc>
          <w:tcPr>
            <w:tcW w:w="9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 vuotta</w:t>
            </w:r>
          </w:p>
        </w:tc>
        <w:tc>
          <w:tcPr>
            <w:tcW w:w="9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3–5 vuotta</w:t>
            </w:r>
          </w:p>
        </w:tc>
        <w:tc>
          <w:tcPr>
            <w:tcW w:w="9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&gt; 5 vuotta</w:t>
            </w:r>
          </w:p>
        </w:tc>
        <w:tc>
          <w:tcPr>
            <w:tcW w:w="9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nil"/>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Lainat muilta rahoituslaitoksilta*</w:t>
            </w:r>
          </w:p>
        </w:tc>
        <w:tc>
          <w:tcPr>
            <w:tcW w:w="9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82</w:t>
            </w:r>
          </w:p>
        </w:tc>
        <w:tc>
          <w:tcPr>
            <w:tcW w:w="9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287</w:t>
            </w:r>
          </w:p>
        </w:tc>
        <w:tc>
          <w:tcPr>
            <w:tcW w:w="9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302</w:t>
            </w:r>
          </w:p>
        </w:tc>
        <w:tc>
          <w:tcPr>
            <w:tcW w:w="9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104</w:t>
            </w:r>
          </w:p>
        </w:tc>
        <w:tc>
          <w:tcPr>
            <w:tcW w:w="9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776</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56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Vuokrasopimusvelat</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43</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61</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40</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71</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216</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565"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Ostovelat</w:t>
            </w:r>
          </w:p>
        </w:tc>
        <w:tc>
          <w:tcPr>
            <w:tcW w:w="9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714</w:t>
            </w:r>
          </w:p>
        </w:tc>
        <w:tc>
          <w:tcPr>
            <w:tcW w:w="945"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714</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56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Johdannaiset**</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9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23</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56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velat</w:t>
            </w:r>
          </w:p>
        </w:tc>
        <w:tc>
          <w:tcPr>
            <w:tcW w:w="9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94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56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9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858</w:t>
            </w:r>
          </w:p>
        </w:tc>
        <w:tc>
          <w:tcPr>
            <w:tcW w:w="9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356</w:t>
            </w:r>
          </w:p>
        </w:tc>
        <w:tc>
          <w:tcPr>
            <w:tcW w:w="9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342</w:t>
            </w:r>
          </w:p>
        </w:tc>
        <w:tc>
          <w:tcPr>
            <w:tcW w:w="9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178</w:t>
            </w:r>
          </w:p>
        </w:tc>
        <w:tc>
          <w:tcPr>
            <w:tcW w:w="9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1 733</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56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 Arvioidut korkokustannukset yhteensä</w:t>
            </w:r>
          </w:p>
        </w:tc>
        <w:tc>
          <w:tcPr>
            <w:tcW w:w="9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9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9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9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9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56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Arvioidut sopimusperusteiset rahavirrat</w:t>
            </w:r>
          </w:p>
        </w:tc>
        <w:tc>
          <w:tcPr>
            <w:tcW w:w="9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863</w:t>
            </w:r>
          </w:p>
        </w:tc>
        <w:tc>
          <w:tcPr>
            <w:tcW w:w="9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363</w:t>
            </w:r>
          </w:p>
        </w:tc>
        <w:tc>
          <w:tcPr>
            <w:tcW w:w="9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345</w:t>
            </w:r>
          </w:p>
        </w:tc>
        <w:tc>
          <w:tcPr>
            <w:tcW w:w="9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178</w:t>
            </w:r>
          </w:p>
        </w:tc>
        <w:tc>
          <w:tcPr>
            <w:tcW w:w="9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1 749</w:t>
            </w:r>
          </w:p>
        </w:tc>
      </w:tr>
    </w:tbl>
    <w:p w:rsidR="00A9507E" w:rsidP="00A9507E" w14:paraId="7A0602C3" w14:textId="429D0812">
      <w:pPr>
        <w:pStyle w:val="Bodytext2"/>
        <w:rPr>
          <w:lang w:val="fi-FI"/>
        </w:rPr>
      </w:pPr>
    </w:p>
    <w:p w:rsidR="00215EAC" w:rsidRPr="008E6277" w:rsidP="00A9507E" w14:paraId="1D4B72CF" w14:textId="77777777">
      <w:pPr>
        <w:pStyle w:val="Bodytext2"/>
        <w:rPr>
          <w:lang w:val="fi-FI"/>
        </w:rPr>
      </w:pPr>
    </w:p>
    <w:p w:rsidR="00A9507E" w:rsidRPr="008E6277" w:rsidP="00A9507E" w14:paraId="53A4FDAE" w14:textId="7A671374">
      <w:pPr>
        <w:pStyle w:val="Heading13"/>
        <w:rPr>
          <w:lang w:val="fi-FI"/>
        </w:rPr>
      </w:pPr>
      <w:r w:rsidRPr="008E6277">
        <w:rPr>
          <w:lang w:val="fi-FI"/>
        </w:rPr>
        <w:t>20</w:t>
      </w:r>
      <w:r w:rsidR="003D5F42">
        <w:rPr>
          <w:lang w:val="fi-FI"/>
        </w:rPr>
        <w:t>20</w:t>
      </w:r>
    </w:p>
    <w:p w:rsidR="0040557D" w:rsidP="00A9507E" w14:paraId="15559B6F" w14:textId="77777777">
      <w:pPr>
        <w:pStyle w:val="Bodytext2"/>
        <w:rPr>
          <w:lang w:val="fi-FI"/>
        </w:rPr>
      </w:pPr>
    </w:p>
    <w:tbl>
      <w:tblPr>
        <w:tblStyle w:val="TableNormal"/>
        <w:tblCaption w:val="table_56_pre"/>
        <w:tblW w:w="7290" w:type="dxa"/>
        <w:tblLayout w:type="fixed"/>
        <w:tblLook w:val="0600"/>
      </w:tblPr>
      <w:tblGrid>
        <w:gridCol w:w="2565"/>
        <w:gridCol w:w="945"/>
        <w:gridCol w:w="945"/>
        <w:gridCol w:w="945"/>
        <w:gridCol w:w="945"/>
        <w:gridCol w:w="945"/>
      </w:tblGrid>
      <w:tr>
        <w:tblPrEx>
          <w:tblW w:w="7290" w:type="dxa"/>
          <w:tblLayout w:type="fixed"/>
          <w:tblLook w:val="0600"/>
        </w:tblPrEx>
        <w:trPr>
          <w:trHeight w:val="240"/>
        </w:trPr>
        <w:tc>
          <w:tcPr>
            <w:tcW w:w="2565"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945" w:type="dxa"/>
            <w:tcBorders>
              <w:top w:val="nil"/>
              <w:left w:val="nil"/>
              <w:bottom w:val="nil"/>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Lyhyt-</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aikainen</w:t>
            </w:r>
          </w:p>
        </w:tc>
        <w:tc>
          <w:tcPr>
            <w:tcW w:w="945" w:type="dxa"/>
            <w:tcBorders>
              <w:top w:val="nil"/>
              <w:left w:val="nil"/>
              <w:bottom w:val="nil"/>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Pitkä-</w:t>
            </w:r>
          </w:p>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aikainen</w:t>
            </w:r>
          </w:p>
        </w:tc>
        <w:tc>
          <w:tcPr>
            <w:tcW w:w="945"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45"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56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9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&lt; 1 vuosi</w:t>
            </w:r>
          </w:p>
        </w:tc>
        <w:tc>
          <w:tcPr>
            <w:tcW w:w="9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 vuotta</w:t>
            </w:r>
          </w:p>
        </w:tc>
        <w:tc>
          <w:tcPr>
            <w:tcW w:w="9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3–5 vuotta</w:t>
            </w:r>
          </w:p>
        </w:tc>
        <w:tc>
          <w:tcPr>
            <w:tcW w:w="9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&gt; 5 vuotta</w:t>
            </w:r>
          </w:p>
        </w:tc>
        <w:tc>
          <w:tcPr>
            <w:tcW w:w="9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Lainat muilta rahoituslaitoksilta*</w:t>
            </w:r>
          </w:p>
        </w:tc>
        <w:tc>
          <w:tcPr>
            <w:tcW w:w="9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155</w:t>
            </w:r>
          </w:p>
        </w:tc>
        <w:tc>
          <w:tcPr>
            <w:tcW w:w="9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481</w:t>
            </w:r>
          </w:p>
        </w:tc>
        <w:tc>
          <w:tcPr>
            <w:tcW w:w="9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232</w:t>
            </w:r>
          </w:p>
        </w:tc>
        <w:tc>
          <w:tcPr>
            <w:tcW w:w="9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292</w:t>
            </w:r>
          </w:p>
        </w:tc>
        <w:tc>
          <w:tcPr>
            <w:tcW w:w="9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1 160</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56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Vuokrasopimusvelat</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45</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59</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35</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51</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190</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56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korolliset lainat*</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56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Ostovelat</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411</w:t>
            </w: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411</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56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Johdannaiset**</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w:t>
            </w:r>
          </w:p>
        </w:tc>
        <w:tc>
          <w:tcPr>
            <w:tcW w:w="9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56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velat</w:t>
            </w:r>
          </w:p>
        </w:tc>
        <w:tc>
          <w:tcPr>
            <w:tcW w:w="9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c>
          <w:tcPr>
            <w:tcW w:w="945"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56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9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629</w:t>
            </w:r>
          </w:p>
        </w:tc>
        <w:tc>
          <w:tcPr>
            <w:tcW w:w="9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545</w:t>
            </w:r>
          </w:p>
        </w:tc>
        <w:tc>
          <w:tcPr>
            <w:tcW w:w="9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270</w:t>
            </w:r>
          </w:p>
        </w:tc>
        <w:tc>
          <w:tcPr>
            <w:tcW w:w="9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350</w:t>
            </w:r>
          </w:p>
        </w:tc>
        <w:tc>
          <w:tcPr>
            <w:tcW w:w="9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1 794</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56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56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 Arvioidut korkokustannukset yhteensä</w:t>
            </w:r>
          </w:p>
        </w:tc>
        <w:tc>
          <w:tcPr>
            <w:tcW w:w="9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c>
          <w:tcPr>
            <w:tcW w:w="9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w:t>
            </w:r>
          </w:p>
        </w:tc>
        <w:tc>
          <w:tcPr>
            <w:tcW w:w="9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c>
          <w:tcPr>
            <w:tcW w:w="9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9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28</w:t>
            </w:r>
          </w:p>
        </w:tc>
      </w:tr>
      <w:tr>
        <w:tblPrEx>
          <w:tblW w:w="7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56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Arvioidut sopimusperusteiset rahavirrat</w:t>
            </w:r>
          </w:p>
        </w:tc>
        <w:tc>
          <w:tcPr>
            <w:tcW w:w="9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637</w:t>
            </w:r>
          </w:p>
        </w:tc>
        <w:tc>
          <w:tcPr>
            <w:tcW w:w="9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557</w:t>
            </w:r>
          </w:p>
        </w:tc>
        <w:tc>
          <w:tcPr>
            <w:tcW w:w="9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276</w:t>
            </w:r>
          </w:p>
        </w:tc>
        <w:tc>
          <w:tcPr>
            <w:tcW w:w="9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353</w:t>
            </w:r>
          </w:p>
        </w:tc>
        <w:tc>
          <w:tcPr>
            <w:tcW w:w="9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1 822</w:t>
            </w:r>
          </w:p>
        </w:tc>
      </w:tr>
    </w:tbl>
    <w:p w:rsidR="00A9507E" w:rsidRPr="008E6277" w:rsidP="00A9507E" w14:paraId="010D1BDC" w14:textId="77777777">
      <w:pPr>
        <w:pStyle w:val="Bodytext2"/>
        <w:rPr>
          <w:lang w:val="fi-FI"/>
        </w:rPr>
      </w:pPr>
    </w:p>
    <w:p w:rsidR="00A9507E" w:rsidRPr="00A9507E" w:rsidP="00A9507E" w14:paraId="76155001" w14:textId="417FF885">
      <w:pPr>
        <w:pStyle w:val="Bodytext2"/>
        <w:rPr>
          <w:lang w:val="fi-FI"/>
        </w:rPr>
      </w:pPr>
      <w:r w:rsidRPr="00A9507E">
        <w:rPr>
          <w:lang w:val="fi-FI"/>
        </w:rPr>
        <w:t>** Markkina-arvoltaan negatiivisten johdannaisten arvostus eräpäivän mukaan. Sopimusten mukaiset nimellisarvot esitetään liit</w:t>
      </w:r>
      <w:r w:rsidRPr="00A9507E">
        <w:rPr>
          <w:lang w:val="fi-FI"/>
        </w:rPr>
        <w:t>e</w:t>
      </w:r>
      <w:r>
        <w:rPr>
          <w:lang w:val="fi-FI"/>
        </w:rPr>
        <w:t>tiedossa</w:t>
      </w:r>
      <w:r w:rsidRPr="00A9507E">
        <w:rPr>
          <w:lang w:val="fi-FI"/>
        </w:rPr>
        <w:t xml:space="preserve"> </w:t>
      </w:r>
      <w:r>
        <w:rPr>
          <w:lang w:val="fi-FI"/>
        </w:rPr>
        <w:t>5.7</w:t>
      </w:r>
      <w:r w:rsidRPr="00A9507E">
        <w:rPr>
          <w:lang w:val="fi-FI"/>
        </w:rPr>
        <w:t xml:space="preserve">. </w:t>
      </w:r>
      <w:r w:rsidRPr="00A9507E">
        <w:rPr>
          <w:lang w:val="fi-FI"/>
        </w:rPr>
        <w:t>Johdannaisinstrumentit.</w:t>
      </w:r>
    </w:p>
    <w:p w:rsidR="00A9507E" w:rsidRPr="00A9507E" w:rsidP="00A9507E" w14:paraId="2AAB307F" w14:textId="07665225">
      <w:pPr>
        <w:pStyle w:val="Bodytext2"/>
        <w:rPr>
          <w:lang w:val="fi-FI"/>
        </w:rPr>
      </w:pPr>
    </w:p>
    <w:p w:rsidR="008E6277" w:rsidP="00A9507E" w14:paraId="120370D8" w14:textId="593CDFC9">
      <w:pPr>
        <w:pStyle w:val="Bodytext2"/>
        <w:rPr>
          <w:lang w:val="fi-FI"/>
        </w:rPr>
      </w:pPr>
      <w:r w:rsidRPr="00A9507E">
        <w:rPr>
          <w:lang w:val="fi-FI"/>
        </w:rPr>
        <w:t>Pitkäaikaisten lainojen korkokulut lasketaan 31.12.20</w:t>
      </w:r>
      <w:r>
        <w:rPr>
          <w:lang w:val="fi-FI"/>
        </w:rPr>
        <w:t>2</w:t>
      </w:r>
      <w:r w:rsidR="003D5F42">
        <w:rPr>
          <w:lang w:val="fi-FI"/>
        </w:rPr>
        <w:t>1</w:t>
      </w:r>
      <w:r w:rsidRPr="00A9507E">
        <w:rPr>
          <w:lang w:val="fi-FI"/>
        </w:rPr>
        <w:t xml:space="preserve"> vallitsevien keskimääräisten korkojen perusteella.</w:t>
      </w:r>
    </w:p>
    <w:p w:rsidR="008E6277" w:rsidP="00A9507E" w14:paraId="6842C08D" w14:textId="77777777">
      <w:pPr>
        <w:pStyle w:val="Bodytext2"/>
        <w:rPr>
          <w:lang w:val="fi-FI"/>
        </w:rPr>
      </w:pPr>
    </w:p>
    <w:p w:rsidR="00A9507E" w:rsidRPr="00A9507E" w:rsidP="00A9507E" w14:paraId="15984792" w14:textId="1B9502C9">
      <w:pPr>
        <w:pStyle w:val="Bodytext2"/>
        <w:rPr>
          <w:lang w:val="fi-FI"/>
        </w:rPr>
      </w:pPr>
      <w:r w:rsidRPr="00A9507E">
        <w:rPr>
          <w:lang w:val="fi-FI"/>
        </w:rPr>
        <w:t>Rahoitusvelkojen käyvät arvot</w:t>
      </w:r>
      <w:r>
        <w:rPr>
          <w:lang w:val="fi-FI"/>
        </w:rPr>
        <w:t xml:space="preserve"> sekä</w:t>
      </w:r>
      <w:r w:rsidRPr="00A9507E">
        <w:rPr>
          <w:lang w:val="fi-FI"/>
        </w:rPr>
        <w:t xml:space="preserve"> </w:t>
      </w:r>
      <w:r>
        <w:rPr>
          <w:lang w:val="fi-FI"/>
        </w:rPr>
        <w:t>l</w:t>
      </w:r>
      <w:r w:rsidRPr="00A9507E">
        <w:rPr>
          <w:lang w:val="fi-FI"/>
        </w:rPr>
        <w:t xml:space="preserve">isätietoa rahoitusvelkojen arvostusryhmistä on esitetty liitetiedossa </w:t>
      </w:r>
      <w:r>
        <w:rPr>
          <w:lang w:val="fi-FI"/>
        </w:rPr>
        <w:t>5.2</w:t>
      </w:r>
      <w:r w:rsidRPr="00A9507E">
        <w:rPr>
          <w:lang w:val="fi-FI"/>
        </w:rPr>
        <w:t>. Rahoitusvara</w:t>
      </w:r>
      <w:r w:rsidRPr="00A9507E">
        <w:rPr>
          <w:lang w:val="fi-FI"/>
        </w:rPr>
        <w:t>t ja -velat arvostusryhmittäin</w:t>
      </w:r>
      <w:r>
        <w:rPr>
          <w:lang w:val="fi-FI"/>
        </w:rPr>
        <w:t>.</w:t>
      </w:r>
    </w:p>
    <w:p/>
    <w:p w:rsidR="00030F0B" w:rsidP="00030F0B" w14:paraId="52762EAE" w14:textId="3D2FC52A">
      <w:pPr>
        <w:pStyle w:val="Heading12"/>
      </w:pPr>
      <w:bookmarkStart w:id="1480" w:name="RG_MARKER_7445"/>
      <w:r>
        <w:t xml:space="preserve">5.7. </w:t>
      </w:r>
      <w:bookmarkEnd w:id="1480"/>
      <w:r w:rsidR="006C36EB">
        <w:t>JOHDANNAISINSTRUMENTIT</w:t>
      </w:r>
    </w:p>
    <w:tbl>
      <w:tblPr>
        <w:tblStyle w:val="TableGrid"/>
        <w:tblW w:w="7371" w:type="dxa"/>
        <w:tblLook w:val="04A0"/>
      </w:tblPr>
      <w:tblGrid>
        <w:gridCol w:w="7371"/>
      </w:tblGrid>
      <w:tr w14:paraId="4804451C" w14:textId="77777777" w:rsidTr="00030F0B">
        <w:tblPrEx>
          <w:tblW w:w="7371" w:type="dxa"/>
          <w:tblLook w:val="04A0"/>
        </w:tblPrEx>
        <w:tc>
          <w:tcPr>
            <w:tcW w:w="7371" w:type="dxa"/>
            <w:tcBorders>
              <w:top w:val="nil"/>
              <w:left w:val="nil"/>
              <w:bottom w:val="nil"/>
              <w:right w:val="nil"/>
            </w:tcBorders>
            <w:shd w:val="clear" w:color="auto" w:fill="B6C8D1"/>
          </w:tcPr>
          <w:p w:rsidR="00030F0B" w:rsidRPr="00B339E6" w14:paraId="1AE9A094" w14:textId="35088B44">
            <w:pPr>
              <w:pStyle w:val="Heading13"/>
              <w:rPr>
                <w:rFonts w:eastAsiaTheme="minorEastAsia" w:cstheme="minorHAnsi"/>
                <w:lang w:val="fi-FI" w:eastAsia="fi-FI"/>
              </w:rPr>
            </w:pPr>
            <w:r w:rsidRPr="00B339E6">
              <w:rPr>
                <w:lang w:val="fi-FI"/>
              </w:rPr>
              <w:t>Laadintaperiaatteet</w:t>
            </w:r>
          </w:p>
          <w:p w:rsidR="00030F0B" w:rsidRPr="00B339E6" w14:paraId="0FC21FAA" w14:textId="598C09BF">
            <w:pPr>
              <w:pStyle w:val="Heading13"/>
              <w:rPr>
                <w:rFonts w:eastAsiaTheme="minorEastAsia" w:cstheme="minorHAnsi"/>
                <w:color w:val="0F172B"/>
                <w:lang w:val="fi-FI" w:eastAsia="fi-FI"/>
              </w:rPr>
            </w:pPr>
            <w:r w:rsidRPr="00B339E6">
              <w:rPr>
                <w:color w:val="0F172B"/>
                <w:lang w:val="fi-FI"/>
              </w:rPr>
              <w:t>Johdannaiset ja suojauslaskenta</w:t>
            </w:r>
          </w:p>
          <w:p w:rsidR="00030F0B" w14:paraId="77003C29" w14:textId="604450DC">
            <w:pPr>
              <w:pStyle w:val="Bodytext2"/>
              <w:rPr>
                <w:color w:val="0F172B"/>
                <w:lang w:val="fi-FI"/>
              </w:rPr>
            </w:pPr>
            <w:r w:rsidRPr="006C36EB">
              <w:rPr>
                <w:color w:val="0F172B"/>
                <w:lang w:val="fi-FI"/>
              </w:rPr>
              <w:t>Johdannaiset kirjataan alun</w:t>
            </w:r>
            <w:r>
              <w:rPr>
                <w:color w:val="0F172B"/>
                <w:lang w:val="fi-FI"/>
              </w:rPr>
              <w:t xml:space="preserve"> </w:t>
            </w:r>
            <w:r w:rsidRPr="006C36EB">
              <w:rPr>
                <w:color w:val="0F172B"/>
                <w:lang w:val="fi-FI"/>
              </w:rPr>
              <w:t>perin t</w:t>
            </w:r>
            <w:r>
              <w:rPr>
                <w:color w:val="0F172B"/>
                <w:lang w:val="fi-FI"/>
              </w:rPr>
              <w:t xml:space="preserve">aseeseen käypään arvoon ja myöhemmin ne luokitellaan ja arvostetaan kunkin raportointikauden päättymispäivän mukaiseen käypään arvoon. </w:t>
            </w:r>
            <w:r w:rsidRPr="00C1185E">
              <w:rPr>
                <w:color w:val="0F172B"/>
                <w:lang w:val="fi-FI"/>
              </w:rPr>
              <w:t>Voitot ja tappiot käypään arvoon arvostamisesta kirjataan tuloslaskelmalle</w:t>
            </w:r>
            <w:r w:rsidRPr="00C1185E" w:rsidR="00C1185E">
              <w:rPr>
                <w:color w:val="0F172B"/>
                <w:lang w:val="fi-FI"/>
              </w:rPr>
              <w:t xml:space="preserve"> johdannaisen k</w:t>
            </w:r>
            <w:r w:rsidR="00C1185E">
              <w:rPr>
                <w:color w:val="0F172B"/>
                <w:lang w:val="fi-FI"/>
              </w:rPr>
              <w:t>äyttötarkoituksen määräämällä tavalla.</w:t>
            </w:r>
          </w:p>
          <w:p w:rsidR="00C1185E" w:rsidRPr="00C1185E" w14:paraId="6E67445B" w14:textId="77777777">
            <w:pPr>
              <w:pStyle w:val="Bodytext2"/>
              <w:rPr>
                <w:color w:val="0F172B"/>
                <w:lang w:val="fi-FI"/>
              </w:rPr>
            </w:pPr>
          </w:p>
          <w:p w:rsidR="00030F0B" w:rsidRPr="00B339E6" w14:paraId="5F10E422" w14:textId="7DD9F114">
            <w:pPr>
              <w:pStyle w:val="Heading13"/>
              <w:rPr>
                <w:rFonts w:eastAsiaTheme="minorEastAsia" w:cstheme="minorHAnsi"/>
                <w:lang w:val="fi-FI" w:eastAsia="fi-FI"/>
              </w:rPr>
            </w:pPr>
            <w:r w:rsidRPr="00B339E6">
              <w:rPr>
                <w:lang w:val="fi-FI"/>
              </w:rPr>
              <w:t>Suojauslaskenta</w:t>
            </w:r>
          </w:p>
          <w:p w:rsidR="00AC21B7" w:rsidRPr="00B339E6" w14:paraId="6C0657D3" w14:textId="387865E1">
            <w:pPr>
              <w:pStyle w:val="Bodytext2"/>
              <w:rPr>
                <w:color w:val="0F172B"/>
                <w:lang w:val="fi-FI"/>
              </w:rPr>
            </w:pPr>
            <w:r w:rsidRPr="00C1185E">
              <w:rPr>
                <w:color w:val="0F172B"/>
                <w:lang w:val="fi-FI"/>
              </w:rPr>
              <w:t xml:space="preserve">Wärtsilä </w:t>
            </w:r>
            <w:r w:rsidRPr="00C1185E" w:rsidR="00C1185E">
              <w:rPr>
                <w:color w:val="0F172B"/>
                <w:lang w:val="fi-FI"/>
              </w:rPr>
              <w:t xml:space="preserve">suojaa </w:t>
            </w:r>
            <w:r w:rsidR="00C1185E">
              <w:rPr>
                <w:color w:val="0F172B"/>
                <w:lang w:val="fi-FI"/>
              </w:rPr>
              <w:t>m</w:t>
            </w:r>
            <w:r w:rsidRPr="00C1185E" w:rsidR="00C1185E">
              <w:rPr>
                <w:color w:val="0F172B"/>
                <w:lang w:val="fi-FI"/>
              </w:rPr>
              <w:t>yynteihin ja ostoihin liittyviä ulkomaan valuutan määräisiä rahavirtoja valuuttatermiineillä tai -optioilla</w:t>
            </w:r>
            <w:r w:rsidR="00C1185E">
              <w:rPr>
                <w:color w:val="0F172B"/>
                <w:lang w:val="fi-FI"/>
              </w:rPr>
              <w:t xml:space="preserve"> sekä soveltaa IFRS 9:n mukaista suojauslaskentaa enemmistöön näistä valuuttatermiineistä. </w:t>
            </w:r>
            <w:r w:rsidR="003F2116">
              <w:rPr>
                <w:color w:val="0F172B"/>
                <w:lang w:val="fi-FI"/>
              </w:rPr>
              <w:t>Termiinipisteet</w:t>
            </w:r>
            <w:r w:rsidRPr="003F2116" w:rsidR="003F2116">
              <w:rPr>
                <w:color w:val="0F172B"/>
                <w:lang w:val="fi-FI"/>
              </w:rPr>
              <w:t xml:space="preserve"> jätetään suojaussuhteen ulkopuolelle, ja jos suoja on k</w:t>
            </w:r>
            <w:r w:rsidR="003F2116">
              <w:rPr>
                <w:color w:val="0F172B"/>
                <w:lang w:val="fi-FI"/>
              </w:rPr>
              <w:t xml:space="preserve">okonaan tai osittain tehoton, tehoton osuus kirjataan välittömästi </w:t>
            </w:r>
            <w:r>
              <w:rPr>
                <w:color w:val="0F172B"/>
                <w:lang w:val="fi-FI"/>
              </w:rPr>
              <w:t>raportointi</w:t>
            </w:r>
            <w:r w:rsidR="003F2116">
              <w:rPr>
                <w:color w:val="0F172B"/>
                <w:lang w:val="fi-FI"/>
              </w:rPr>
              <w:t xml:space="preserve">kauden rahoituseriin. </w:t>
            </w:r>
            <w:r w:rsidRPr="00B339E6" w:rsidR="003F2116">
              <w:rPr>
                <w:color w:val="0F172B"/>
                <w:lang w:val="fi-FI"/>
              </w:rPr>
              <w:t xml:space="preserve">Wärtsilä saattaa </w:t>
            </w:r>
            <w:r w:rsidRPr="00B339E6">
              <w:rPr>
                <w:color w:val="0F172B"/>
                <w:lang w:val="fi-FI"/>
              </w:rPr>
              <w:t>soveltaa myös rahavirran suojausta osaan korkojohdannaisistaan.</w:t>
            </w:r>
          </w:p>
          <w:p w:rsidR="00030F0B" w:rsidRPr="00B339E6" w14:paraId="55387F29" w14:textId="77777777">
            <w:pPr>
              <w:pStyle w:val="Bodytext2"/>
              <w:rPr>
                <w:rFonts w:eastAsiaTheme="minorEastAsia"/>
                <w:color w:val="0F172B"/>
                <w:lang w:val="fi-FI" w:eastAsia="fi-FI"/>
              </w:rPr>
            </w:pPr>
          </w:p>
          <w:p w:rsidR="00030F0B" w:rsidRPr="00B339E6" w14:paraId="737319CA" w14:textId="4FC72269">
            <w:pPr>
              <w:pStyle w:val="Bodytext2"/>
              <w:rPr>
                <w:rFonts w:eastAsiaTheme="minorEastAsia"/>
                <w:lang w:val="fi-FI" w:eastAsia="fi-FI"/>
              </w:rPr>
            </w:pPr>
            <w:r w:rsidRPr="00AC21B7">
              <w:rPr>
                <w:lang w:val="fi-FI"/>
              </w:rPr>
              <w:t xml:space="preserve">Konserni </w:t>
            </w:r>
            <w:r w:rsidRPr="00AC21B7">
              <w:rPr>
                <w:lang w:val="fi-FI"/>
              </w:rPr>
              <w:t>dokumentoi suojausjärjestelyn alussa kunkin suojausinstrumentin ja suojatun omaisuuserän välisen suhteen sekä riskinhallintatavoitteen ja siihen sovelle</w:t>
            </w:r>
            <w:r>
              <w:rPr>
                <w:lang w:val="fi-FI"/>
              </w:rPr>
              <w:t>ttava</w:t>
            </w:r>
            <w:r w:rsidRPr="00AC21B7">
              <w:rPr>
                <w:lang w:val="fi-FI"/>
              </w:rPr>
              <w:t xml:space="preserve">n strategian. </w:t>
            </w:r>
            <w:r w:rsidRPr="00B339E6">
              <w:rPr>
                <w:lang w:val="fi-FI"/>
              </w:rPr>
              <w:t>Tämän prosessin kautta suojausinstrumentti kytketään siihen liittyviin varoihin ja ve</w:t>
            </w:r>
            <w:r w:rsidRPr="00B339E6">
              <w:rPr>
                <w:lang w:val="fi-FI"/>
              </w:rPr>
              <w:t>lkoihin, ennakoituihin liiketapahtumiin tai sitoviin sopimuksiin.</w:t>
            </w:r>
          </w:p>
          <w:p w:rsidR="00030F0B" w:rsidRPr="00B339E6" w14:paraId="21B148AE" w14:textId="77777777">
            <w:pPr>
              <w:pStyle w:val="Bodytext2"/>
              <w:rPr>
                <w:rFonts w:eastAsiaTheme="minorEastAsia"/>
                <w:color w:val="0F172B"/>
                <w:lang w:val="fi-FI" w:eastAsia="fi-FI"/>
              </w:rPr>
            </w:pPr>
          </w:p>
          <w:p w:rsidR="00030F0B" w:rsidRPr="00F4153D" w14:paraId="293DFD13" w14:textId="2276B957">
            <w:pPr>
              <w:pStyle w:val="Bodytext2"/>
              <w:rPr>
                <w:rFonts w:eastAsiaTheme="minorEastAsia"/>
                <w:color w:val="0F172B"/>
                <w:lang w:val="fi-FI" w:eastAsia="fi-FI"/>
              </w:rPr>
            </w:pPr>
            <w:r w:rsidRPr="00F4153D">
              <w:rPr>
                <w:color w:val="0F172B"/>
                <w:lang w:val="fi-FI"/>
              </w:rPr>
              <w:t xml:space="preserve">Wärtsilä </w:t>
            </w:r>
            <w:r w:rsidRPr="00F4153D" w:rsidR="001B28EB">
              <w:rPr>
                <w:color w:val="0F172B"/>
                <w:lang w:val="fi-FI"/>
              </w:rPr>
              <w:t>määritt</w:t>
            </w:r>
            <w:r w:rsidR="00D75939">
              <w:rPr>
                <w:color w:val="0F172B"/>
                <w:lang w:val="fi-FI"/>
              </w:rPr>
              <w:t>ää</w:t>
            </w:r>
            <w:r w:rsidRPr="00F4153D" w:rsidR="001B28EB">
              <w:rPr>
                <w:color w:val="0F172B"/>
                <w:lang w:val="fi-FI"/>
              </w:rPr>
              <w:t xml:space="preserve"> </w:t>
            </w:r>
            <w:r w:rsidRPr="00F4153D" w:rsidR="00F4153D">
              <w:rPr>
                <w:color w:val="0F172B"/>
                <w:lang w:val="fi-FI"/>
              </w:rPr>
              <w:t xml:space="preserve">valuuttajohdannaisten </w:t>
            </w:r>
            <w:r w:rsidRPr="00F4153D" w:rsidR="001B28EB">
              <w:rPr>
                <w:color w:val="0F172B"/>
                <w:lang w:val="fi-FI"/>
              </w:rPr>
              <w:t xml:space="preserve">suojaussuhteet </w:t>
            </w:r>
            <w:r w:rsidRPr="00F4153D" w:rsidR="00F4153D">
              <w:rPr>
                <w:color w:val="0F172B"/>
                <w:lang w:val="fi-FI"/>
              </w:rPr>
              <w:t xml:space="preserve">joko </w:t>
            </w:r>
            <w:r w:rsidR="00F4153D">
              <w:rPr>
                <w:color w:val="0F172B"/>
                <w:lang w:val="fi-FI"/>
              </w:rPr>
              <w:t xml:space="preserve">erittäin todennäköisen ennakoidun liiketoimen suojaksi tai </w:t>
            </w:r>
            <w:r w:rsidRPr="00F4153D" w:rsidR="00F4153D">
              <w:rPr>
                <w:color w:val="0F172B"/>
                <w:lang w:val="fi-FI"/>
              </w:rPr>
              <w:t>kiinteäehtoise</w:t>
            </w:r>
            <w:r w:rsidR="00F4153D">
              <w:rPr>
                <w:color w:val="0F172B"/>
                <w:lang w:val="fi-FI"/>
              </w:rPr>
              <w:t>n</w:t>
            </w:r>
            <w:r w:rsidRPr="00F4153D" w:rsidR="00F4153D">
              <w:rPr>
                <w:color w:val="0F172B"/>
                <w:lang w:val="fi-FI"/>
              </w:rPr>
              <w:t xml:space="preserve"> si</w:t>
            </w:r>
            <w:r w:rsidR="00F4153D">
              <w:rPr>
                <w:color w:val="0F172B"/>
                <w:lang w:val="fi-FI"/>
              </w:rPr>
              <w:t>toumuksen suojaksi</w:t>
            </w:r>
            <w:r w:rsidRPr="00F4153D">
              <w:rPr>
                <w:color w:val="0F172B"/>
                <w:lang w:val="fi-FI"/>
              </w:rPr>
              <w:t>.</w:t>
            </w:r>
          </w:p>
          <w:p w:rsidR="00030F0B" w:rsidRPr="00F4153D" w14:paraId="4A228EC7" w14:textId="77777777">
            <w:pPr>
              <w:pStyle w:val="Bodytext2"/>
              <w:rPr>
                <w:rFonts w:eastAsiaTheme="minorEastAsia"/>
                <w:color w:val="0F172B"/>
                <w:lang w:val="fi-FI" w:eastAsia="fi-FI"/>
              </w:rPr>
            </w:pPr>
          </w:p>
          <w:p w:rsidR="00030F0B" w:rsidRPr="00D75939" w14:paraId="2ACC5012" w14:textId="7F6CBEE9">
            <w:pPr>
              <w:pStyle w:val="Bodytext2"/>
              <w:rPr>
                <w:color w:val="0F172B"/>
                <w:lang w:val="fi-FI"/>
              </w:rPr>
            </w:pPr>
            <w:r w:rsidRPr="00185E42">
              <w:rPr>
                <w:color w:val="0F172B"/>
                <w:lang w:val="fi-FI"/>
              </w:rPr>
              <w:t>Konserni käyttää</w:t>
            </w:r>
            <w:r w:rsidRPr="00185E42" w:rsidR="00185E42">
              <w:rPr>
                <w:color w:val="0F172B"/>
                <w:lang w:val="fi-FI"/>
              </w:rPr>
              <w:t xml:space="preserve"> </w:t>
            </w:r>
            <w:r w:rsidR="00D75939">
              <w:rPr>
                <w:color w:val="0F172B"/>
                <w:lang w:val="fi-FI"/>
              </w:rPr>
              <w:t>määritettyjä suojia</w:t>
            </w:r>
            <w:r w:rsidR="00185E42">
              <w:rPr>
                <w:color w:val="0F172B"/>
                <w:lang w:val="fi-FI"/>
              </w:rPr>
              <w:t xml:space="preserve"> valuuttajohdannaisiin, joissa </w:t>
            </w:r>
            <w:r w:rsidR="00814679">
              <w:rPr>
                <w:color w:val="0F172B"/>
                <w:lang w:val="fi-FI"/>
              </w:rPr>
              <w:t xml:space="preserve">suojausinstrumentin ja suojauskohteen </w:t>
            </w:r>
            <w:r w:rsidR="00185E42">
              <w:rPr>
                <w:color w:val="0F172B"/>
                <w:lang w:val="fi-FI"/>
              </w:rPr>
              <w:t>keskeiset ehdot täsmäävät</w:t>
            </w:r>
            <w:r w:rsidR="00814679">
              <w:rPr>
                <w:color w:val="0F172B"/>
                <w:lang w:val="fi-FI"/>
              </w:rPr>
              <w:t xml:space="preserve"> tai lähes täsmäävät. </w:t>
            </w:r>
            <w:r w:rsidRPr="00B339E6" w:rsidR="00814679">
              <w:rPr>
                <w:color w:val="0F172B"/>
                <w:lang w:val="fi-FI"/>
              </w:rPr>
              <w:t xml:space="preserve">Suojausaste on yleensä 100%. </w:t>
            </w:r>
            <w:r w:rsidRPr="00814679" w:rsidR="00814679">
              <w:rPr>
                <w:color w:val="0F172B"/>
                <w:lang w:val="fi-FI"/>
              </w:rPr>
              <w:t xml:space="preserve">Koska alla olevat riskit täsmäävät, suojausinstrumenttien katsotaan kumoavan kaikki </w:t>
            </w:r>
            <w:r w:rsidR="00DD46EF">
              <w:rPr>
                <w:color w:val="0F172B"/>
                <w:lang w:val="fi-FI"/>
              </w:rPr>
              <w:t xml:space="preserve">suojattuihin liiketoimiin liittyvät </w:t>
            </w:r>
            <w:r w:rsidRPr="00814679" w:rsidR="00814679">
              <w:rPr>
                <w:color w:val="0F172B"/>
                <w:lang w:val="fi-FI"/>
              </w:rPr>
              <w:t>m</w:t>
            </w:r>
            <w:r w:rsidR="00814679">
              <w:rPr>
                <w:color w:val="0F172B"/>
                <w:lang w:val="fi-FI"/>
              </w:rPr>
              <w:t>uutokset</w:t>
            </w:r>
            <w:r w:rsidR="00DD46EF">
              <w:rPr>
                <w:color w:val="0F172B"/>
                <w:lang w:val="fi-FI"/>
              </w:rPr>
              <w:t xml:space="preserve">. </w:t>
            </w:r>
            <w:r w:rsidRPr="00F71631" w:rsidR="00DD46EF">
              <w:rPr>
                <w:color w:val="0F172B"/>
                <w:lang w:val="fi-FI"/>
              </w:rPr>
              <w:t xml:space="preserve">Wärtsilä tunnistaa, että </w:t>
            </w:r>
            <w:r w:rsidRPr="00F71631" w:rsidR="00F71631">
              <w:rPr>
                <w:color w:val="0F172B"/>
                <w:lang w:val="fi-FI"/>
              </w:rPr>
              <w:t xml:space="preserve">suojattujen liiketoimien viivästymiset tai peruuntumiset </w:t>
            </w:r>
            <w:r w:rsidR="00F71631">
              <w:rPr>
                <w:color w:val="0F172B"/>
                <w:lang w:val="fi-FI"/>
              </w:rPr>
              <w:t xml:space="preserve">saattavat aiheuttaa </w:t>
            </w:r>
            <w:r w:rsidRPr="00F71631" w:rsidR="00DD46EF">
              <w:rPr>
                <w:color w:val="0F172B"/>
                <w:lang w:val="fi-FI"/>
              </w:rPr>
              <w:t>tehott</w:t>
            </w:r>
            <w:r w:rsidR="00F71631">
              <w:rPr>
                <w:color w:val="0F172B"/>
                <w:lang w:val="fi-FI"/>
              </w:rPr>
              <w:t xml:space="preserve">omuutta. Wärtsilä kuitenkin soveltaa </w:t>
            </w:r>
            <w:r w:rsidR="007C2B24">
              <w:rPr>
                <w:color w:val="0F172B"/>
                <w:lang w:val="fi-FI"/>
              </w:rPr>
              <w:t>jatko</w:t>
            </w:r>
            <w:r w:rsidR="00F71631">
              <w:rPr>
                <w:color w:val="0F172B"/>
                <w:lang w:val="fi-FI"/>
              </w:rPr>
              <w:t>strategiaa, j</w:t>
            </w:r>
            <w:r w:rsidR="007C2B24">
              <w:rPr>
                <w:color w:val="0F172B"/>
                <w:lang w:val="fi-FI"/>
              </w:rPr>
              <w:t>onka mukaan</w:t>
            </w:r>
            <w:r w:rsidR="00F71631">
              <w:rPr>
                <w:color w:val="0F172B"/>
                <w:lang w:val="fi-FI"/>
              </w:rPr>
              <w:t xml:space="preserve"> johdannaisia jatketaan tai päätetään </w:t>
            </w:r>
            <w:r w:rsidR="007C2B24">
              <w:rPr>
                <w:color w:val="0F172B"/>
                <w:lang w:val="fi-FI"/>
              </w:rPr>
              <w:t xml:space="preserve">ennenaikaisesti, jotta alla olevat liiketoimet saadaan täsmäämään. </w:t>
            </w:r>
            <w:r w:rsidR="004F0A14">
              <w:rPr>
                <w:color w:val="0F172B"/>
                <w:lang w:val="fi-FI"/>
              </w:rPr>
              <w:t>Suojauksen tehokkuutta koskevia vaatimuksia arvioidaan IFRS 9:n vaatimusten mukaisesti huomioiden vaatimukset taloudellise</w:t>
            </w:r>
            <w:r w:rsidR="00D75939">
              <w:rPr>
                <w:color w:val="0F172B"/>
                <w:lang w:val="fi-FI"/>
              </w:rPr>
              <w:t>en suhteeseen</w:t>
            </w:r>
            <w:r w:rsidR="004F0A14">
              <w:rPr>
                <w:color w:val="0F172B"/>
                <w:lang w:val="fi-FI"/>
              </w:rPr>
              <w:t>, luottoriski</w:t>
            </w:r>
            <w:r w:rsidR="00D75939">
              <w:rPr>
                <w:color w:val="0F172B"/>
                <w:lang w:val="fi-FI"/>
              </w:rPr>
              <w:t>in ja suojausasteeseen liittyen.</w:t>
            </w:r>
          </w:p>
          <w:p w:rsidR="00030F0B" w:rsidRPr="00D75939" w14:paraId="7B288BF7" w14:textId="77777777">
            <w:pPr>
              <w:pStyle w:val="Bodytext2"/>
              <w:rPr>
                <w:rFonts w:eastAsiaTheme="minorEastAsia"/>
                <w:color w:val="0F172B"/>
                <w:lang w:val="fi-FI" w:eastAsia="fi-FI"/>
              </w:rPr>
            </w:pPr>
          </w:p>
          <w:p w:rsidR="00030F0B" w:rsidRPr="004A206B" w14:paraId="5D8E833B" w14:textId="217F3718">
            <w:pPr>
              <w:pStyle w:val="Bodytext2"/>
              <w:rPr>
                <w:rFonts w:eastAsiaTheme="minorEastAsia"/>
                <w:color w:val="0F172B"/>
                <w:lang w:val="fi-FI" w:eastAsia="fi-FI"/>
              </w:rPr>
            </w:pPr>
            <w:r w:rsidRPr="004A206B">
              <w:rPr>
                <w:color w:val="0F172B"/>
                <w:lang w:val="fi-FI"/>
              </w:rPr>
              <w:t xml:space="preserve">Ulkopuoliset suojaukset </w:t>
            </w:r>
            <w:r w:rsidRPr="004A206B">
              <w:rPr>
                <w:color w:val="0F172B"/>
                <w:lang w:val="fi-FI"/>
              </w:rPr>
              <w:t xml:space="preserve">tehdään tyypillisesti lyhyillä maturiteeteilla (enintään yksi vuosi) ja käyttäen vain korkean luottoluokituksen (A- vähimmäisluottoluokkavaatimus) vastapuolia, </w:t>
            </w:r>
            <w:r>
              <w:rPr>
                <w:color w:val="0F172B"/>
                <w:lang w:val="fi-FI"/>
              </w:rPr>
              <w:t xml:space="preserve">joten </w:t>
            </w:r>
            <w:r w:rsidRPr="004A206B">
              <w:rPr>
                <w:color w:val="0F172B"/>
                <w:lang w:val="fi-FI"/>
              </w:rPr>
              <w:t>vastapuoliriskillä on vähäinen vaikutus suojien markkina-arvon määrittämiseen. Koska joidenkin suojattavien rahavirtojen maturiteetti on pidempi kuin niitä suojaavien instrumenttien, suojausten ja alla</w:t>
            </w:r>
            <w:r w:rsidR="00814679">
              <w:rPr>
                <w:color w:val="0F172B"/>
                <w:lang w:val="fi-FI"/>
              </w:rPr>
              <w:t xml:space="preserve"> </w:t>
            </w:r>
            <w:r w:rsidRPr="004A206B">
              <w:rPr>
                <w:color w:val="0F172B"/>
                <w:lang w:val="fi-FI"/>
              </w:rPr>
              <w:t>olevien rahavirtojen nykyarvo</w:t>
            </w:r>
            <w:r>
              <w:rPr>
                <w:color w:val="0F172B"/>
                <w:lang w:val="fi-FI"/>
              </w:rPr>
              <w:t>je</w:t>
            </w:r>
            <w:r w:rsidRPr="004A206B">
              <w:rPr>
                <w:color w:val="0F172B"/>
                <w:lang w:val="fi-FI"/>
              </w:rPr>
              <w:t xml:space="preserve">n muutokset eivät aina </w:t>
            </w:r>
            <w:r w:rsidRPr="004A206B">
              <w:rPr>
                <w:color w:val="0F172B"/>
                <w:lang w:val="fi-FI"/>
              </w:rPr>
              <w:t xml:space="preserve">täysin </w:t>
            </w:r>
            <w:r>
              <w:rPr>
                <w:color w:val="0F172B"/>
                <w:lang w:val="fi-FI"/>
              </w:rPr>
              <w:t>kumoa</w:t>
            </w:r>
            <w:r w:rsidRPr="004A206B">
              <w:rPr>
                <w:color w:val="0F172B"/>
                <w:lang w:val="fi-FI"/>
              </w:rPr>
              <w:t xml:space="preserve"> toisiaan suojauksen elinaikana. Maturiteettierosta johtuva tehottomuus lasketaan vuosineljänneksittäin ja kirjataan rahoituseriin.</w:t>
            </w:r>
          </w:p>
          <w:p w:rsidR="00030F0B" w:rsidRPr="004A206B" w14:paraId="3F4D5C0E" w14:textId="77777777">
            <w:pPr>
              <w:pStyle w:val="Bodytext2"/>
              <w:rPr>
                <w:rFonts w:eastAsiaTheme="minorEastAsia"/>
                <w:color w:val="0F172B"/>
                <w:lang w:val="fi-FI" w:eastAsia="fi-FI"/>
              </w:rPr>
            </w:pPr>
          </w:p>
          <w:p w:rsidR="00030F0B" w:rsidRPr="00B339E6" w14:paraId="15D154F6" w14:textId="139178DB">
            <w:pPr>
              <w:pStyle w:val="Heading13"/>
              <w:rPr>
                <w:rFonts w:eastAsiaTheme="minorEastAsia" w:cstheme="minorHAnsi"/>
                <w:lang w:val="fi-FI" w:eastAsia="fi-FI"/>
              </w:rPr>
            </w:pPr>
            <w:r w:rsidRPr="00B339E6">
              <w:rPr>
                <w:lang w:val="fi-FI"/>
              </w:rPr>
              <w:t>Rahavirran suojaaminen</w:t>
            </w:r>
          </w:p>
          <w:p w:rsidR="00030F0B" w:rsidRPr="00B339E6" w14:paraId="1AB52CF9" w14:textId="0A68330F">
            <w:pPr>
              <w:pStyle w:val="Bodytext2"/>
              <w:rPr>
                <w:rFonts w:eastAsiaTheme="minorEastAsia"/>
                <w:color w:val="auto"/>
                <w:lang w:val="fi-FI" w:eastAsia="fi-FI"/>
              </w:rPr>
            </w:pPr>
            <w:r>
              <w:rPr>
                <w:lang w:val="fi-FI"/>
              </w:rPr>
              <w:t xml:space="preserve">Jos </w:t>
            </w:r>
            <w:r w:rsidRPr="00FB15C0" w:rsidR="00FB15C0">
              <w:rPr>
                <w:lang w:val="fi-FI"/>
              </w:rPr>
              <w:t>johdannais</w:t>
            </w:r>
            <w:r>
              <w:rPr>
                <w:lang w:val="fi-FI"/>
              </w:rPr>
              <w:t>s</w:t>
            </w:r>
            <w:r w:rsidRPr="00FB15C0" w:rsidR="00FB15C0">
              <w:rPr>
                <w:lang w:val="fi-FI"/>
              </w:rPr>
              <w:t>opimu</w:t>
            </w:r>
            <w:r>
              <w:rPr>
                <w:lang w:val="fi-FI"/>
              </w:rPr>
              <w:t>s</w:t>
            </w:r>
            <w:r w:rsidRPr="00FB15C0" w:rsidR="00FB15C0">
              <w:rPr>
                <w:lang w:val="fi-FI"/>
              </w:rPr>
              <w:t xml:space="preserve"> on m</w:t>
            </w:r>
            <w:r w:rsidR="00FB15C0">
              <w:rPr>
                <w:lang w:val="fi-FI"/>
              </w:rPr>
              <w:t xml:space="preserve">ääritetty </w:t>
            </w:r>
            <w:r>
              <w:rPr>
                <w:lang w:val="fi-FI"/>
              </w:rPr>
              <w:t>rahavirtaa suojaavaksi ja se täyttää rahavirtasuojan</w:t>
            </w:r>
            <w:r>
              <w:rPr>
                <w:lang w:val="fi-FI"/>
              </w:rPr>
              <w:t xml:space="preserve"> vaatimukset, siihen liittyvät käyvän arvon muutokset </w:t>
            </w:r>
            <w:r w:rsidRPr="00FB15C0">
              <w:rPr>
                <w:lang w:val="fi-FI"/>
              </w:rPr>
              <w:t>kirjataan muihin laajan tuloksen eriin</w:t>
            </w:r>
            <w:r>
              <w:rPr>
                <w:lang w:val="fi-FI"/>
              </w:rPr>
              <w:t xml:space="preserve">, jotka </w:t>
            </w:r>
            <w:r w:rsidRPr="00FB15C0">
              <w:rPr>
                <w:lang w:val="fi-FI"/>
              </w:rPr>
              <w:t>esitetään oman pääoman arvonmuutosrahastossa, mikäli suojaus on tehokas.</w:t>
            </w:r>
            <w:r>
              <w:rPr>
                <w:lang w:val="fi-FI"/>
              </w:rPr>
              <w:t xml:space="preserve"> </w:t>
            </w:r>
            <w:r w:rsidRPr="00EE07C5">
              <w:rPr>
                <w:lang w:val="fi-FI"/>
              </w:rPr>
              <w:t>Valuuttatermiinien osalta spot-osuus sisältyy suojaussuhteeseen, kun termiinipistee</w:t>
            </w:r>
            <w:r w:rsidRPr="00EE07C5">
              <w:rPr>
                <w:lang w:val="fi-FI"/>
              </w:rPr>
              <w:t>t on j</w:t>
            </w:r>
            <w:r>
              <w:rPr>
                <w:lang w:val="fi-FI"/>
              </w:rPr>
              <w:t>ätetty suojan määrittämisen ulkopuolelle.</w:t>
            </w:r>
            <w:r w:rsidR="007F6626">
              <w:rPr>
                <w:lang w:val="fi-FI"/>
              </w:rPr>
              <w:t xml:space="preserve"> </w:t>
            </w:r>
            <w:r w:rsidRPr="007F6626" w:rsidR="007F6626">
              <w:rPr>
                <w:lang w:val="fi-FI"/>
              </w:rPr>
              <w:t xml:space="preserve">Muiden laajan tuloksen erien kautta johdannaisiin liittyvään arvonmuutosrahastoon kertynyt voitto tai tappio esitetään samalla </w:t>
            </w:r>
            <w:r>
              <w:rPr>
                <w:lang w:val="fi-FI"/>
              </w:rPr>
              <w:t>raportointi</w:t>
            </w:r>
            <w:r w:rsidRPr="007F6626" w:rsidR="007F6626">
              <w:rPr>
                <w:lang w:val="fi-FI"/>
              </w:rPr>
              <w:t xml:space="preserve">kaudella kuin suojattuihin velvoitteisiin tai ennusteisiin liittyvät tapahtumat, esimerkiksi myynnin tai ostojen oikaisuna. Suojauksesta johtuvan voiton tai tappion tehoton osuus kirjataan välittömästi tulosvaikutteisesti </w:t>
            </w:r>
            <w:r>
              <w:rPr>
                <w:lang w:val="fi-FI"/>
              </w:rPr>
              <w:t>raportointi</w:t>
            </w:r>
            <w:r w:rsidRPr="007F6626" w:rsidR="007F6626">
              <w:rPr>
                <w:lang w:val="fi-FI"/>
              </w:rPr>
              <w:t xml:space="preserve">kauden aikana. </w:t>
            </w:r>
            <w:r w:rsidRPr="00B339E6" w:rsidR="007F6626">
              <w:rPr>
                <w:lang w:val="fi-FI"/>
              </w:rPr>
              <w:t>Korkoerosta johtuvat valuuttatermiinien käyvän arvon muutokset kirjataan</w:t>
            </w:r>
            <w:r>
              <w:rPr>
                <w:lang w:val="fi-FI"/>
              </w:rPr>
              <w:t xml:space="preserve"> </w:t>
            </w:r>
            <w:r w:rsidRPr="00B339E6" w:rsidR="007F6626">
              <w:rPr>
                <w:lang w:val="fi-FI"/>
              </w:rPr>
              <w:t>tuloslaskelmaan.</w:t>
            </w:r>
          </w:p>
          <w:p w:rsidR="00030F0B" w:rsidRPr="00B339E6" w14:paraId="338B0A80" w14:textId="77777777">
            <w:pPr>
              <w:pStyle w:val="Bodytext2"/>
              <w:rPr>
                <w:rFonts w:eastAsiaTheme="minorEastAsia"/>
                <w:color w:val="0F172B"/>
                <w:lang w:val="fi-FI" w:eastAsia="fi-FI"/>
              </w:rPr>
            </w:pPr>
          </w:p>
          <w:p w:rsidR="00030F0B" w:rsidRPr="00FB15C0" w14:paraId="781E9342" w14:textId="7B84D5F6">
            <w:pPr>
              <w:pStyle w:val="Bodytext2"/>
              <w:rPr>
                <w:rFonts w:eastAsiaTheme="minorEastAsia"/>
                <w:color w:val="0F172B"/>
                <w:lang w:val="fi-FI" w:eastAsia="fi-FI"/>
              </w:rPr>
            </w:pPr>
            <w:r w:rsidRPr="00275510">
              <w:rPr>
                <w:color w:val="0F172B"/>
                <w:lang w:val="fi-FI"/>
              </w:rPr>
              <w:t>Lisätietoja rahavirtasuojausten käypien arvojen muutoksista</w:t>
            </w:r>
            <w:r w:rsidRPr="00275510" w:rsidR="007F6626">
              <w:rPr>
                <w:color w:val="0F172B"/>
                <w:lang w:val="fi-FI"/>
              </w:rPr>
              <w:t xml:space="preserve"> </w:t>
            </w:r>
            <w:r w:rsidRPr="00275510">
              <w:rPr>
                <w:color w:val="0F172B"/>
                <w:lang w:val="fi-FI"/>
              </w:rPr>
              <w:t>es</w:t>
            </w:r>
            <w:r>
              <w:rPr>
                <w:color w:val="0F172B"/>
                <w:lang w:val="fi-FI"/>
              </w:rPr>
              <w:t>itetään liitetiedossa</w:t>
            </w:r>
            <w:r w:rsidRPr="00275510" w:rsidR="007F6626">
              <w:rPr>
                <w:color w:val="0F172B"/>
                <w:lang w:val="fi-FI"/>
              </w:rPr>
              <w:t xml:space="preserve"> 5.5. </w:t>
            </w:r>
            <w:r w:rsidRPr="00FB15C0">
              <w:rPr>
                <w:color w:val="0F172B"/>
                <w:lang w:val="fi-FI"/>
              </w:rPr>
              <w:t>Oma pääoma</w:t>
            </w:r>
            <w:r w:rsidRPr="00FB15C0" w:rsidR="007F6626">
              <w:rPr>
                <w:color w:val="0F172B"/>
                <w:lang w:val="fi-FI"/>
              </w:rPr>
              <w:t xml:space="preserve">, </w:t>
            </w:r>
            <w:r w:rsidRPr="00FB15C0">
              <w:rPr>
                <w:color w:val="0F172B"/>
                <w:lang w:val="fi-FI"/>
              </w:rPr>
              <w:t xml:space="preserve">ja lisätietoja </w:t>
            </w:r>
            <w:r w:rsidRPr="00FB15C0" w:rsidR="00FB15C0">
              <w:rPr>
                <w:color w:val="0F172B"/>
                <w:lang w:val="fi-FI"/>
              </w:rPr>
              <w:t>rahavirtasuojausten tehottomasta osuudesta es</w:t>
            </w:r>
            <w:r w:rsidR="00FB15C0">
              <w:rPr>
                <w:color w:val="0F172B"/>
                <w:lang w:val="fi-FI"/>
              </w:rPr>
              <w:t>itetään liitetiedossa</w:t>
            </w:r>
            <w:r w:rsidRPr="00FB15C0" w:rsidR="007F6626">
              <w:rPr>
                <w:color w:val="0F172B"/>
                <w:lang w:val="fi-FI"/>
              </w:rPr>
              <w:t xml:space="preserve"> 5.1. </w:t>
            </w:r>
            <w:r w:rsidR="00FB15C0">
              <w:rPr>
                <w:color w:val="0F172B"/>
                <w:lang w:val="fi-FI"/>
              </w:rPr>
              <w:t>Rahoitustuotot ja -kulut</w:t>
            </w:r>
            <w:r w:rsidRPr="00FB15C0" w:rsidR="007F6626">
              <w:rPr>
                <w:color w:val="0F172B"/>
                <w:lang w:val="fi-FI"/>
              </w:rPr>
              <w:t>.</w:t>
            </w:r>
          </w:p>
        </w:tc>
      </w:tr>
    </w:tbl>
    <w:p w:rsidR="00030F0B" w:rsidRPr="00FB15C0" w:rsidP="00030F0B" w14:paraId="66DC2002" w14:textId="77777777">
      <w:pPr>
        <w:pStyle w:val="Bodytext2"/>
        <w:rPr>
          <w:color w:val="0F172B"/>
          <w:lang w:val="fi-FI"/>
        </w:rPr>
      </w:pPr>
    </w:p>
    <w:p w:rsidR="00030F0B" w:rsidRPr="002B09EE" w:rsidP="00030F0B" w14:paraId="25C4C897" w14:textId="07595C57">
      <w:pPr>
        <w:pStyle w:val="Bodytext2"/>
        <w:rPr>
          <w:color w:val="0F172B"/>
          <w:lang w:val="fi-FI"/>
        </w:rPr>
      </w:pPr>
      <w:bookmarkStart w:id="1481" w:name="_Hlk49249124"/>
      <w:r w:rsidRPr="002B09EE">
        <w:rPr>
          <w:color w:val="0F172B"/>
          <w:lang w:val="fi-FI"/>
        </w:rPr>
        <w:t>Konserni soveltaa suojauslaskentaa enemmistöön valuuttatermiineistä.</w:t>
      </w:r>
    </w:p>
    <w:p w:rsidR="00030F0B" w:rsidRPr="002B09EE" w:rsidP="00030F0B" w14:paraId="095016DC" w14:textId="77777777">
      <w:pPr>
        <w:pStyle w:val="Bodytext2"/>
        <w:rPr>
          <w:color w:val="0F172B"/>
          <w:lang w:val="fi-FI"/>
        </w:rPr>
      </w:pPr>
    </w:p>
    <w:p w:rsidR="00030F0B" w:rsidRPr="00030F0B" w:rsidP="00030F0B" w14:paraId="6089ACC5" w14:textId="358FCE85">
      <w:pPr>
        <w:pStyle w:val="Bodytext2"/>
        <w:rPr>
          <w:color w:val="0F172B"/>
          <w:lang w:val="fi-FI"/>
        </w:rPr>
      </w:pPr>
      <w:r w:rsidRPr="00030F0B">
        <w:rPr>
          <w:color w:val="0F172B"/>
          <w:lang w:val="fi-FI"/>
        </w:rPr>
        <w:t>Avoimet operatiiviset valuuttapositiot sisältäen rahoituksen suojataan johdannaisilla alla olevan mukaisesti.</w:t>
      </w:r>
    </w:p>
    <w:p w:rsidR="00030F0B" w:rsidRPr="00030F0B" w:rsidP="00030F0B" w14:paraId="1CB5D9E9" w14:textId="77777777">
      <w:pPr>
        <w:pStyle w:val="Bodytext2"/>
        <w:rPr>
          <w:color w:val="0F172B"/>
          <w:lang w:val="fi-FI"/>
        </w:rPr>
      </w:pPr>
    </w:p>
    <w:p w:rsidR="00030F0B" w:rsidP="00030F0B" w14:paraId="0775790B" w14:textId="7C71E586">
      <w:pPr>
        <w:pStyle w:val="Heading13"/>
        <w:rPr>
          <w:color w:val="auto"/>
        </w:rPr>
      </w:pPr>
      <w:r>
        <w:t>Valuuttatermiinit</w:t>
      </w:r>
    </w:p>
    <w:p w:rsidR="00030F0B" w:rsidP="00030F0B" w14:paraId="40B153B8" w14:textId="77777777">
      <w:pPr>
        <w:pStyle w:val="Bodytext2"/>
      </w:pPr>
    </w:p>
    <w:tbl>
      <w:tblPr>
        <w:tblStyle w:val="TableNormal"/>
        <w:tblCaption w:val="table_58_currency_forwards"/>
        <w:tblW w:w="7350" w:type="dxa"/>
        <w:tblLayout w:type="fixed"/>
        <w:tblLook w:val="0600"/>
      </w:tblPr>
      <w:tblGrid>
        <w:gridCol w:w="2130"/>
        <w:gridCol w:w="870"/>
        <w:gridCol w:w="870"/>
        <w:gridCol w:w="870"/>
        <w:gridCol w:w="870"/>
        <w:gridCol w:w="870"/>
        <w:gridCol w:w="870"/>
      </w:tblGrid>
      <w:tr>
        <w:tblPrEx>
          <w:tblW w:w="7350" w:type="dxa"/>
          <w:tblLayout w:type="fixed"/>
          <w:tblLook w:val="0600"/>
        </w:tblPrEx>
        <w:trPr>
          <w:trHeight w:hRule="exact" w:val="240"/>
        </w:trPr>
        <w:tc>
          <w:tcPr>
            <w:tcW w:w="2130"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nil"/>
              <w:left w:val="nil"/>
              <w:bottom w:val="nil"/>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870"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nil"/>
              <w:left w:val="nil"/>
              <w:bottom w:val="nil"/>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870"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Kiinteä-</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hintaisia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osto- ja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myyntiso-</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pimuksia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vasten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nettona</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Netto-</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velkoja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vasten</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Kiinteä-</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hintaisia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osto- ja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myyntiso-</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pimuksia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vasten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nettona</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Netto-</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velkoja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vasten</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Valuuttatermiinit</w:t>
            </w: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USD</w:t>
            </w:r>
          </w:p>
        </w:tc>
        <w:tc>
          <w:tcPr>
            <w:tcW w:w="870" w:type="dxa"/>
            <w:tcBorders>
              <w:top w:val="single" w:sz="4" w:space="0" w:color="004A6B"/>
              <w:left w:val="nil"/>
              <w:bottom w:val="single" w:sz="4" w:space="0" w:color="004A6B"/>
              <w:right w:val="nil"/>
              <w:tl2br w:val="nil"/>
              <w:tr2bl w:val="nil"/>
            </w:tcBorders>
            <w:shd w:val="clear" w:color="auto" w:fill="auto"/>
            <w:noWrap/>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837</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56</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292</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287</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NOK</w:t>
            </w:r>
          </w:p>
        </w:tc>
        <w:tc>
          <w:tcPr>
            <w:tcW w:w="870" w:type="dxa"/>
            <w:tcBorders>
              <w:top w:val="single" w:sz="4" w:space="0" w:color="004A6B"/>
              <w:left w:val="nil"/>
              <w:bottom w:val="single" w:sz="4" w:space="0" w:color="004A6B"/>
              <w:right w:val="nil"/>
              <w:tl2br w:val="nil"/>
              <w:tr2bl w:val="nil"/>
            </w:tcBorders>
            <w:shd w:val="clear" w:color="auto" w:fill="auto"/>
            <w:noWrap/>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397</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396</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GBP</w:t>
            </w:r>
          </w:p>
        </w:tc>
        <w:tc>
          <w:tcPr>
            <w:tcW w:w="870" w:type="dxa"/>
            <w:tcBorders>
              <w:top w:val="single" w:sz="4" w:space="0" w:color="004A6B"/>
              <w:left w:val="nil"/>
              <w:bottom w:val="single" w:sz="4" w:space="0" w:color="004A6B"/>
              <w:right w:val="nil"/>
              <w:tl2br w:val="nil"/>
              <w:tr2bl w:val="nil"/>
            </w:tcBorders>
            <w:shd w:val="clear" w:color="auto" w:fill="auto"/>
            <w:noWrap/>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32</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CHF</w:t>
            </w:r>
          </w:p>
        </w:tc>
        <w:tc>
          <w:tcPr>
            <w:tcW w:w="870" w:type="dxa"/>
            <w:tcBorders>
              <w:top w:val="single" w:sz="4" w:space="0" w:color="004A6B"/>
              <w:left w:val="nil"/>
              <w:bottom w:val="single" w:sz="4" w:space="0" w:color="004A6B"/>
              <w:right w:val="nil"/>
              <w:tl2br w:val="nil"/>
              <w:tr2bl w:val="nil"/>
            </w:tcBorders>
            <w:shd w:val="clear" w:color="auto" w:fill="auto"/>
            <w:noWrap/>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58</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53</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22</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61</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CNY</w:t>
            </w:r>
          </w:p>
        </w:tc>
        <w:tc>
          <w:tcPr>
            <w:tcW w:w="870" w:type="dxa"/>
            <w:tcBorders>
              <w:top w:val="single" w:sz="4" w:space="0" w:color="004A6B"/>
              <w:left w:val="nil"/>
              <w:bottom w:val="single" w:sz="4" w:space="0" w:color="004A6B"/>
              <w:right w:val="nil"/>
              <w:tl2br w:val="nil"/>
              <w:tr2bl w:val="nil"/>
            </w:tcBorders>
            <w:shd w:val="clear" w:color="auto" w:fill="auto"/>
            <w:noWrap/>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AUD</w:t>
            </w:r>
          </w:p>
        </w:tc>
        <w:tc>
          <w:tcPr>
            <w:tcW w:w="870" w:type="dxa"/>
            <w:tcBorders>
              <w:top w:val="single" w:sz="4" w:space="0" w:color="004A6B"/>
              <w:left w:val="nil"/>
              <w:bottom w:val="single" w:sz="4" w:space="0" w:color="004A6B"/>
              <w:right w:val="nil"/>
              <w:tl2br w:val="nil"/>
              <w:tr2bl w:val="nil"/>
            </w:tcBorders>
            <w:shd w:val="clear" w:color="auto" w:fill="auto"/>
            <w:noWrap/>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48</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47</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MXN</w:t>
            </w:r>
          </w:p>
        </w:tc>
        <w:tc>
          <w:tcPr>
            <w:tcW w:w="870" w:type="dxa"/>
            <w:tcBorders>
              <w:top w:val="single" w:sz="4" w:space="0" w:color="004A6B"/>
              <w:left w:val="nil"/>
              <w:bottom w:val="single" w:sz="4" w:space="0" w:color="004A6B"/>
              <w:right w:val="nil"/>
              <w:tl2br w:val="nil"/>
              <w:tr2bl w:val="nil"/>
            </w:tcBorders>
            <w:shd w:val="clear" w:color="auto" w:fill="auto"/>
            <w:noWrap/>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36</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46</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SGD</w:t>
            </w:r>
          </w:p>
        </w:tc>
        <w:tc>
          <w:tcPr>
            <w:tcW w:w="870" w:type="dxa"/>
            <w:tcBorders>
              <w:top w:val="single" w:sz="4" w:space="0" w:color="004A6B"/>
              <w:left w:val="nil"/>
              <w:bottom w:val="single" w:sz="4" w:space="0" w:color="004A6B"/>
              <w:right w:val="nil"/>
              <w:tl2br w:val="nil"/>
              <w:tr2bl w:val="nil"/>
            </w:tcBorders>
            <w:shd w:val="clear" w:color="auto" w:fill="auto"/>
            <w:noWrap/>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SEK</w:t>
            </w:r>
          </w:p>
        </w:tc>
        <w:tc>
          <w:tcPr>
            <w:tcW w:w="870" w:type="dxa"/>
            <w:tcBorders>
              <w:top w:val="single" w:sz="4" w:space="0" w:color="004A6B"/>
              <w:left w:val="nil"/>
              <w:bottom w:val="single" w:sz="4" w:space="0" w:color="004A6B"/>
              <w:right w:val="nil"/>
              <w:tl2br w:val="nil"/>
              <w:tr2bl w:val="nil"/>
            </w:tcBorders>
            <w:shd w:val="clear" w:color="auto" w:fill="auto"/>
            <w:noWrap/>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34</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CAD</w:t>
            </w:r>
          </w:p>
        </w:tc>
        <w:tc>
          <w:tcPr>
            <w:tcW w:w="870" w:type="dxa"/>
            <w:tcBorders>
              <w:top w:val="single" w:sz="4" w:space="0" w:color="004A6B"/>
              <w:left w:val="nil"/>
              <w:bottom w:val="single" w:sz="4" w:space="0" w:color="004A6B"/>
              <w:right w:val="nil"/>
              <w:tl2br w:val="nil"/>
              <w:tr2bl w:val="nil"/>
            </w:tcBorders>
            <w:shd w:val="clear" w:color="auto" w:fill="auto"/>
            <w:noWrap/>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32</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8" w:space="0" w:color="0F172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valuutat*</w:t>
            </w:r>
          </w:p>
        </w:tc>
        <w:tc>
          <w:tcPr>
            <w:tcW w:w="870" w:type="dxa"/>
            <w:tcBorders>
              <w:top w:val="single" w:sz="4" w:space="0" w:color="004A6B"/>
              <w:left w:val="nil"/>
              <w:bottom w:val="single" w:sz="8" w:space="0" w:color="0F172B"/>
              <w:right w:val="nil"/>
              <w:tl2br w:val="nil"/>
              <w:tr2bl w:val="nil"/>
            </w:tcBorders>
            <w:shd w:val="clear" w:color="auto" w:fill="auto"/>
            <w:noWrap/>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89</w:t>
            </w: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120</w:t>
            </w: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870" w:type="dxa"/>
            <w:gridSpan w:val="3"/>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Valuuttajohdannaiset yhteensä, netto</w:t>
            </w:r>
          </w:p>
        </w:tc>
        <w:tc>
          <w:tcPr>
            <w:tcW w:w="870" w:type="dxa"/>
            <w:tcBorders>
              <w:top w:val="nil"/>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1 642</w:t>
            </w:r>
          </w:p>
        </w:tc>
        <w:tc>
          <w:tcPr>
            <w:tcW w:w="870" w:type="dxa"/>
            <w:tcBorders>
              <w:top w:val="nil"/>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214</w:t>
            </w:r>
          </w:p>
        </w:tc>
        <w:tc>
          <w:tcPr>
            <w:tcW w:w="870" w:type="dxa"/>
            <w:tcBorders>
              <w:top w:val="nil"/>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936</w:t>
            </w:r>
          </w:p>
        </w:tc>
        <w:tc>
          <w:tcPr>
            <w:tcW w:w="870" w:type="dxa"/>
            <w:tcBorders>
              <w:top w:val="nil"/>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437</w:t>
            </w:r>
          </w:p>
        </w:tc>
      </w:tr>
    </w:tbl>
    <w:p w:rsidR="00030F0B" w:rsidP="00030F0B" w14:paraId="1882733A" w14:textId="77777777">
      <w:pPr>
        <w:pStyle w:val="Bodytext2"/>
      </w:pPr>
    </w:p>
    <w:p w:rsidR="002B09EE" w:rsidRPr="002B09EE" w:rsidP="002B09EE" w14:paraId="255F94C6" w14:textId="77777777">
      <w:pPr>
        <w:pStyle w:val="Bodytext2"/>
        <w:rPr>
          <w:lang w:val="fi-FI"/>
        </w:rPr>
      </w:pPr>
      <w:r w:rsidRPr="002B09EE">
        <w:rPr>
          <w:lang w:val="fi-FI"/>
        </w:rPr>
        <w:t>* Muut valuutat eivät sisällä merkittäviä yksittäisiä valuuttoja.</w:t>
      </w:r>
    </w:p>
    <w:p w:rsidR="002B09EE" w:rsidRPr="002B09EE" w:rsidP="002B09EE" w14:paraId="5EDB3C81" w14:textId="443CF1B8">
      <w:pPr>
        <w:pStyle w:val="Bodytext2"/>
        <w:rPr>
          <w:lang w:val="fi-FI"/>
        </w:rPr>
      </w:pPr>
    </w:p>
    <w:p w:rsidR="002B09EE" w:rsidRPr="002B09EE" w:rsidP="002B09EE" w14:paraId="1BAD1322" w14:textId="77777777">
      <w:pPr>
        <w:pStyle w:val="Bodytext2"/>
        <w:rPr>
          <w:lang w:val="fi-FI"/>
        </w:rPr>
      </w:pPr>
      <w:r w:rsidRPr="002B09EE">
        <w:rPr>
          <w:lang w:val="fi-FI"/>
        </w:rPr>
        <w:t>Nettovelat sisältävät emoyhtiön antamat ei-euromääräiset sisäiset lainat ja talletukset.</w:t>
      </w:r>
    </w:p>
    <w:p w:rsidR="002B09EE" w:rsidRPr="002B09EE" w:rsidP="002B09EE" w14:paraId="59C3B2E7" w14:textId="178C6179">
      <w:pPr>
        <w:pStyle w:val="Bodytext2"/>
        <w:rPr>
          <w:lang w:val="fi-FI"/>
        </w:rPr>
      </w:pPr>
    </w:p>
    <w:p w:rsidR="00030F0B" w:rsidRPr="006E6BEA" w:rsidP="006E6BEA" w14:paraId="06E7B92C" w14:textId="43C7FF02">
      <w:pPr>
        <w:pStyle w:val="Bodytext2"/>
        <w:spacing w:before="0"/>
        <w:rPr>
          <w:sz w:val="2"/>
          <w:szCs w:val="2"/>
          <w:lang w:val="fi-FI"/>
        </w:rPr>
      </w:pPr>
      <w:r w:rsidRPr="002B09EE">
        <w:rPr>
          <w:lang w:val="fi-FI"/>
        </w:rPr>
        <w:t xml:space="preserve">IFRS:n mukaista suojauslaskentaa on sovellettu </w:t>
      </w:r>
      <w:r w:rsidR="00D66A33">
        <w:rPr>
          <w:lang w:val="fi-FI"/>
        </w:rPr>
        <w:t>2</w:t>
      </w:r>
      <w:r w:rsidRPr="002B09EE">
        <w:rPr>
          <w:lang w:val="fi-FI"/>
        </w:rPr>
        <w:t>.</w:t>
      </w:r>
      <w:r>
        <w:rPr>
          <w:lang w:val="fi-FI"/>
        </w:rPr>
        <w:t>402</w:t>
      </w:r>
      <w:r w:rsidRPr="002B09EE">
        <w:rPr>
          <w:lang w:val="fi-FI"/>
        </w:rPr>
        <w:t xml:space="preserve"> milj</w:t>
      </w:r>
      <w:r w:rsidR="00D66A33">
        <w:rPr>
          <w:lang w:val="fi-FI"/>
        </w:rPr>
        <w:t>oonan</w:t>
      </w:r>
      <w:r w:rsidRPr="002B09EE">
        <w:rPr>
          <w:lang w:val="fi-FI"/>
        </w:rPr>
        <w:t xml:space="preserve"> eur</w:t>
      </w:r>
      <w:r w:rsidRPr="002B09EE">
        <w:rPr>
          <w:lang w:val="fi-FI"/>
        </w:rPr>
        <w:t>on (</w:t>
      </w:r>
      <w:r w:rsidR="00D66A33">
        <w:rPr>
          <w:lang w:val="fi-FI"/>
        </w:rPr>
        <w:t>1</w:t>
      </w:r>
      <w:r w:rsidRPr="002B09EE">
        <w:rPr>
          <w:lang w:val="fi-FI"/>
        </w:rPr>
        <w:t>.</w:t>
      </w:r>
      <w:r w:rsidR="00D66A33">
        <w:rPr>
          <w:lang w:val="fi-FI"/>
        </w:rPr>
        <w:t>861</w:t>
      </w:r>
      <w:r w:rsidRPr="002B09EE">
        <w:rPr>
          <w:lang w:val="fi-FI"/>
        </w:rPr>
        <w:t xml:space="preserve">) arvosta valuuttatermiineihin. Viiden prosentin valuuttakurssiliikkeen vaikutus näiden johdannaisten arvostukseen aiheuttaisi noin </w:t>
      </w:r>
      <w:r w:rsidRPr="00521073">
        <w:rPr>
          <w:lang w:val="fi-FI"/>
        </w:rPr>
        <w:t>1</w:t>
      </w:r>
      <w:r>
        <w:rPr>
          <w:lang w:val="fi-FI"/>
        </w:rPr>
        <w:t>52</w:t>
      </w:r>
      <w:r w:rsidRPr="00521073">
        <w:rPr>
          <w:lang w:val="fi-FI"/>
        </w:rPr>
        <w:t xml:space="preserve"> milj</w:t>
      </w:r>
      <w:r>
        <w:rPr>
          <w:lang w:val="fi-FI"/>
        </w:rPr>
        <w:t>oonan</w:t>
      </w:r>
      <w:r w:rsidRPr="002B09EE">
        <w:rPr>
          <w:lang w:val="fi-FI"/>
        </w:rPr>
        <w:t xml:space="preserve"> euron (</w:t>
      </w:r>
      <w:r w:rsidR="00D66A33">
        <w:rPr>
          <w:lang w:val="fi-FI"/>
        </w:rPr>
        <w:t>45</w:t>
      </w:r>
      <w:r w:rsidRPr="002B09EE">
        <w:rPr>
          <w:lang w:val="fi-FI"/>
        </w:rPr>
        <w:t>) muutoksen konsernin omaan pääomaan. Koska kaikki merkittävät kiinteähintaiset osto- ja myy</w:t>
      </w:r>
      <w:r w:rsidRPr="002B09EE">
        <w:rPr>
          <w:lang w:val="fi-FI"/>
        </w:rPr>
        <w:t>ntisopimukset on suojattu, operatiivisen toiminnan tuloksen herkkyys valuuttakurssimuutoksille (sisäinen rahoitus pois</w:t>
      </w:r>
      <w:r>
        <w:rPr>
          <w:lang w:val="fi-FI"/>
        </w:rPr>
        <w:t xml:space="preserve"> </w:t>
      </w:r>
      <w:r w:rsidRPr="002B09EE">
        <w:rPr>
          <w:lang w:val="fi-FI"/>
        </w:rPr>
        <w:t>lukien) oletetaan olevan vähäinen.</w:t>
      </w:r>
      <w:r>
        <w:rPr>
          <w:lang w:val="fi-FI"/>
        </w:rPr>
        <w:br w:type="column"/>
      </w:r>
      <w:r w:rsidRPr="006E6BEA">
        <w:rPr>
          <w:sz w:val="2"/>
          <w:szCs w:val="2"/>
          <w:lang w:val="fi-FI"/>
        </w:rPr>
        <w:t xml:space="preserve">     </w:t>
      </w:r>
    </w:p>
    <w:tbl>
      <w:tblPr>
        <w:tblStyle w:val="TableNormal"/>
        <w:tblCaption w:val="table_58_legs"/>
        <w:tblW w:w="7350" w:type="dxa"/>
        <w:tblLayout w:type="fixed"/>
        <w:tblLook w:val="0600"/>
      </w:tblPr>
      <w:tblGrid>
        <w:gridCol w:w="2130"/>
        <w:gridCol w:w="870"/>
        <w:gridCol w:w="870"/>
        <w:gridCol w:w="870"/>
        <w:gridCol w:w="870"/>
        <w:gridCol w:w="870"/>
        <w:gridCol w:w="870"/>
      </w:tblGrid>
      <w:tr>
        <w:tblPrEx>
          <w:tblW w:w="7350" w:type="dxa"/>
          <w:tblLayout w:type="fixed"/>
          <w:tblLook w:val="0600"/>
        </w:tblPrEx>
        <w:trPr>
          <w:trHeight w:val="240"/>
        </w:trPr>
        <w:tc>
          <w:tcPr>
            <w:tcW w:w="2130" w:type="dxa"/>
            <w:tcBorders>
              <w:top w:val="nil"/>
              <w:left w:val="nil"/>
              <w:bottom w:val="nil"/>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nil"/>
              <w:left w:val="nil"/>
              <w:bottom w:val="nil"/>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nil"/>
              <w:left w:val="nil"/>
              <w:bottom w:val="nil"/>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nil"/>
              <w:left w:val="nil"/>
              <w:bottom w:val="nil"/>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870" w:type="dxa"/>
            <w:tcBorders>
              <w:top w:val="nil"/>
              <w:left w:val="nil"/>
              <w:bottom w:val="nil"/>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nil"/>
              <w:left w:val="nil"/>
              <w:bottom w:val="nil"/>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nil"/>
              <w:left w:val="nil"/>
              <w:bottom w:val="nil"/>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Brutto-</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määrä</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Netto-</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määrä</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Vaikutus</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omaan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pääomaan</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Brutto-</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määrä</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Netto-</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määrä</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Vaikutus</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omaan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pääomaan</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Valuuttatermiinit (molemmat valuutat huomioitu), joihin sovelletaan suojauslaskentaa*</w:t>
            </w:r>
          </w:p>
        </w:tc>
        <w:tc>
          <w:tcPr>
            <w:tcW w:w="870" w:type="dxa"/>
            <w:tcBorders>
              <w:top w:val="single" w:sz="8" w:space="0" w:color="0F172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EUR</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1 834</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1 130</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56</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1 424</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123</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USD</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1 405</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1 005</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50</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1 077</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295</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NOK</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931</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384</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19</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803</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248</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GBP</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133</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131</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79</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57</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MXN</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102</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38</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128</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46</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CNY</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48</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47</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50</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40</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JPY</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23</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23</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26</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CHF</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59</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53</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8" w:space="0" w:color="0F172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268</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234</w:t>
            </w: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w:t>
            </w: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116</w:t>
            </w: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81</w:t>
            </w: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 (vain toinen valuutta huomioitu)</w:t>
            </w:r>
          </w:p>
        </w:tc>
        <w:tc>
          <w:tcPr>
            <w:tcW w:w="870" w:type="dxa"/>
            <w:tcBorders>
              <w:top w:val="single" w:sz="8" w:space="0" w:color="0F172B"/>
              <w:left w:val="nil"/>
              <w:bottom w:val="single" w:sz="8" w:space="0" w:color="0F172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2 402</w:t>
            </w:r>
          </w:p>
        </w:tc>
        <w:tc>
          <w:tcPr>
            <w:tcW w:w="870" w:type="dxa"/>
            <w:tcBorders>
              <w:top w:val="single" w:sz="8" w:space="0" w:color="0F172B"/>
              <w:left w:val="nil"/>
              <w:bottom w:val="single" w:sz="8" w:space="0" w:color="0F172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1 523</w:t>
            </w:r>
          </w:p>
        </w:tc>
        <w:tc>
          <w:tcPr>
            <w:tcW w:w="870" w:type="dxa"/>
            <w:tcBorders>
              <w:top w:val="single" w:sz="8" w:space="0" w:color="0F172B"/>
              <w:left w:val="nil"/>
              <w:bottom w:val="single" w:sz="8" w:space="0" w:color="0F172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152</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1 861</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900</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45</w:t>
            </w:r>
          </w:p>
        </w:tc>
      </w:tr>
    </w:tbl>
    <w:p w:rsidR="00030F0B" w:rsidRPr="002B09EE" w:rsidP="00030F0B" w14:paraId="536C3030" w14:textId="77777777">
      <w:pPr>
        <w:pStyle w:val="Bodytext2"/>
        <w:rPr>
          <w:lang w:val="fi-FI"/>
        </w:rPr>
      </w:pPr>
    </w:p>
    <w:p w:rsidR="00030F0B" w:rsidRPr="002B09EE" w:rsidP="00030F0B" w14:paraId="78817AC0" w14:textId="0221AF00">
      <w:pPr>
        <w:pStyle w:val="Bodytext2"/>
        <w:rPr>
          <w:lang w:val="fi-FI"/>
        </w:rPr>
      </w:pPr>
      <w:r w:rsidRPr="002B09EE">
        <w:rPr>
          <w:lang w:val="fi-FI"/>
        </w:rPr>
        <w:t>*</w:t>
      </w:r>
      <w:r w:rsidRPr="002B09EE" w:rsidR="002B09EE">
        <w:rPr>
          <w:lang w:val="fi-FI"/>
        </w:rPr>
        <w:t xml:space="preserve"> Sisäisiä transaktioita, joihin varsinaiset suojauslaskentakirjaukset perustuvat</w:t>
      </w:r>
      <w:r w:rsidRPr="002B09EE">
        <w:rPr>
          <w:lang w:val="fi-FI"/>
        </w:rPr>
        <w:t>.</w:t>
      </w:r>
    </w:p>
    <w:p w:rsidR="00030F0B" w:rsidRPr="002B09EE" w:rsidP="00030F0B" w14:paraId="1A4F1C60" w14:textId="77777777">
      <w:pPr>
        <w:pStyle w:val="Bodytext2"/>
        <w:rPr>
          <w:lang w:val="fi-FI"/>
        </w:rPr>
      </w:pPr>
    </w:p>
    <w:tbl>
      <w:tblPr>
        <w:tblStyle w:val="TableNormal"/>
        <w:tblCaption w:val="table_58_hedged"/>
        <w:tblW w:w="7350" w:type="dxa"/>
        <w:tblLayout w:type="fixed"/>
        <w:tblLook w:val="0600"/>
      </w:tblPr>
      <w:tblGrid>
        <w:gridCol w:w="2130"/>
        <w:gridCol w:w="870"/>
        <w:gridCol w:w="870"/>
        <w:gridCol w:w="870"/>
        <w:gridCol w:w="870"/>
        <w:gridCol w:w="870"/>
        <w:gridCol w:w="870"/>
      </w:tblGrid>
      <w:tr>
        <w:tblPrEx>
          <w:tblW w:w="7350" w:type="dxa"/>
          <w:tblLayout w:type="fixed"/>
          <w:tblLook w:val="0600"/>
        </w:tblPrEx>
        <w:trPr>
          <w:trHeight w:val="240"/>
        </w:trPr>
        <w:tc>
          <w:tcPr>
            <w:tcW w:w="213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870"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5610" w:type="dxa"/>
            <w:gridSpan w:val="5"/>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Valuuttatermiinit, joihin sovelletaan suojauslaskentaa</w:t>
            </w: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2021</w:t>
            </w:r>
          </w:p>
        </w:tc>
        <w:tc>
          <w:tcPr>
            <w:tcW w:w="870" w:type="dxa"/>
            <w:tcBorders>
              <w:top w:val="single" w:sz="4" w:space="0" w:color="004A6B"/>
              <w:left w:val="nil"/>
              <w:bottom w:val="single" w:sz="4" w:space="0" w:color="004A6B"/>
              <w:right w:val="nil"/>
              <w:tl2br w:val="nil"/>
              <w:tr2bl w:val="nil"/>
            </w:tcBorders>
            <w:shd w:val="clear" w:color="auto" w:fill="auto"/>
            <w:noWrap w:val="0"/>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1 010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2022</w:t>
            </w:r>
          </w:p>
        </w:tc>
        <w:tc>
          <w:tcPr>
            <w:tcW w:w="870" w:type="dxa"/>
            <w:tcBorders>
              <w:top w:val="single" w:sz="4" w:space="0" w:color="004A6B"/>
              <w:left w:val="nil"/>
              <w:bottom w:val="single" w:sz="4" w:space="0" w:color="004A6B"/>
              <w:right w:val="nil"/>
              <w:tl2br w:val="nil"/>
              <w:tr2bl w:val="nil"/>
            </w:tcBorders>
            <w:shd w:val="clear" w:color="auto" w:fill="auto"/>
            <w:noWrap w:val="0"/>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1 417</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5610" w:type="dxa"/>
            <w:gridSpan w:val="5"/>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 xml:space="preserve">Ennustetut, erittäin todennäköiset rahavirrat vuosittain (suojattu) </w:t>
            </w: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2021</w:t>
            </w:r>
          </w:p>
        </w:tc>
        <w:tc>
          <w:tcPr>
            <w:tcW w:w="870" w:type="dxa"/>
            <w:tcBorders>
              <w:top w:val="single" w:sz="4" w:space="0" w:color="004A6B"/>
              <w:left w:val="nil"/>
              <w:bottom w:val="single" w:sz="4" w:space="0" w:color="004A6B"/>
              <w:right w:val="nil"/>
              <w:tl2br w:val="nil"/>
              <w:tr2bl w:val="nil"/>
            </w:tcBorders>
            <w:shd w:val="clear" w:color="auto" w:fill="auto"/>
            <w:noWrap w:val="0"/>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1 341</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2022</w:t>
            </w:r>
          </w:p>
        </w:tc>
        <w:tc>
          <w:tcPr>
            <w:tcW w:w="870" w:type="dxa"/>
            <w:tcBorders>
              <w:top w:val="single" w:sz="4" w:space="0" w:color="004A6B"/>
              <w:left w:val="nil"/>
              <w:bottom w:val="single" w:sz="4" w:space="0" w:color="004A6B"/>
              <w:right w:val="nil"/>
              <w:tl2br w:val="nil"/>
              <w:tr2bl w:val="nil"/>
            </w:tcBorders>
            <w:shd w:val="clear" w:color="auto" w:fill="auto"/>
            <w:noWrap w:val="0"/>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1 925</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233</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2023</w:t>
            </w:r>
          </w:p>
        </w:tc>
        <w:tc>
          <w:tcPr>
            <w:tcW w:w="870" w:type="dxa"/>
            <w:tcBorders>
              <w:top w:val="single" w:sz="4" w:space="0" w:color="004A6B"/>
              <w:left w:val="nil"/>
              <w:bottom w:val="single" w:sz="4" w:space="0" w:color="004A6B"/>
              <w:right w:val="nil"/>
              <w:tl2br w:val="nil"/>
              <w:tr2bl w:val="nil"/>
            </w:tcBorders>
            <w:shd w:val="clear" w:color="auto" w:fill="auto"/>
            <w:noWrap w:val="0"/>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226</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2024</w:t>
            </w:r>
          </w:p>
        </w:tc>
        <w:tc>
          <w:tcPr>
            <w:tcW w:w="870" w:type="dxa"/>
            <w:tcBorders>
              <w:top w:val="single" w:sz="4" w:space="0" w:color="004A6B"/>
              <w:left w:val="nil"/>
              <w:bottom w:val="single" w:sz="4" w:space="0" w:color="004A6B"/>
              <w:right w:val="nil"/>
              <w:tl2br w:val="nil"/>
              <w:tr2bl w:val="nil"/>
            </w:tcBorders>
            <w:shd w:val="clear" w:color="auto" w:fill="auto"/>
            <w:noWrap w:val="0"/>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56</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45</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2025</w:t>
            </w:r>
          </w:p>
        </w:tc>
        <w:tc>
          <w:tcPr>
            <w:tcW w:w="870" w:type="dxa"/>
            <w:tcBorders>
              <w:top w:val="single" w:sz="4" w:space="0" w:color="004A6B"/>
              <w:left w:val="nil"/>
              <w:bottom w:val="single" w:sz="4" w:space="0" w:color="004A6B"/>
              <w:right w:val="nil"/>
              <w:tl2br w:val="nil"/>
              <w:tr2bl w:val="nil"/>
            </w:tcBorders>
            <w:shd w:val="clear" w:color="auto" w:fill="auto"/>
            <w:noWrap w:val="0"/>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44</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2026</w:t>
            </w:r>
            <w:r>
              <w:rPr>
                <w:rFonts w:ascii="Calibri" w:eastAsia="Calibri" w:hAnsi="Calibri" w:cs="Calibri"/>
                <w:b w:val="0"/>
                <w:i w:val="0"/>
                <w:strike w:val="0"/>
                <w:color w:val="000000"/>
                <w:sz w:val="13"/>
                <w:u w:val="none"/>
                <w:vertAlign w:val="baseline"/>
              </w:rPr>
              <w:t>–</w:t>
            </w:r>
          </w:p>
        </w:tc>
        <w:tc>
          <w:tcPr>
            <w:tcW w:w="870" w:type="dxa"/>
            <w:tcBorders>
              <w:top w:val="single" w:sz="4" w:space="0" w:color="004A6B"/>
              <w:left w:val="nil"/>
              <w:bottom w:val="single" w:sz="4" w:space="0" w:color="004A6B"/>
              <w:right w:val="nil"/>
              <w:tl2br w:val="nil"/>
              <w:tr2bl w:val="nil"/>
            </w:tcBorders>
            <w:shd w:val="clear" w:color="auto" w:fill="auto"/>
            <w:noWrap w:val="0"/>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18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151</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bl>
    <w:p w:rsidR="00030F0B" w:rsidRPr="00116433" w:rsidP="00030F0B" w14:paraId="6FE9A6BD" w14:textId="77777777">
      <w:pPr>
        <w:pStyle w:val="Bodytext2"/>
        <w:rPr>
          <w:lang w:val="fi-FI"/>
        </w:rPr>
      </w:pPr>
    </w:p>
    <w:p w:rsidR="00030F0B" w:rsidRPr="002B09EE" w:rsidP="00030F0B" w14:paraId="71AEA31C" w14:textId="12F7FD5C">
      <w:pPr>
        <w:pStyle w:val="Bodytext2"/>
        <w:rPr>
          <w:lang w:val="fi-FI"/>
        </w:rPr>
      </w:pPr>
      <w:r w:rsidRPr="002B09EE">
        <w:rPr>
          <w:lang w:val="fi-FI"/>
        </w:rPr>
        <w:t xml:space="preserve">* </w:t>
      </w:r>
      <w:r w:rsidRPr="002B09EE" w:rsidR="002B09EE">
        <w:rPr>
          <w:lang w:val="fi-FI"/>
        </w:rPr>
        <w:t>Vertailukauden osalta sisältää 202</w:t>
      </w:r>
      <w:r>
        <w:rPr>
          <w:lang w:val="fi-FI"/>
        </w:rPr>
        <w:t>5</w:t>
      </w:r>
      <w:r w:rsidRPr="002B09EE" w:rsidR="002B09EE">
        <w:rPr>
          <w:lang w:val="fi-FI"/>
        </w:rPr>
        <w:t xml:space="preserve"> ja si</w:t>
      </w:r>
      <w:r w:rsidR="002B09EE">
        <w:rPr>
          <w:lang w:val="fi-FI"/>
        </w:rPr>
        <w:t>itä myöhemmin.</w:t>
      </w:r>
    </w:p>
    <w:p w:rsidR="00030F0B" w:rsidP="00030F0B" w14:paraId="53B44C27" w14:textId="5A89A6ED">
      <w:pPr>
        <w:pStyle w:val="Bodytext2"/>
        <w:rPr>
          <w:color w:val="0F172B"/>
          <w:lang w:val="fi-FI"/>
        </w:rPr>
      </w:pPr>
    </w:p>
    <w:p w:rsidR="009C433B" w:rsidP="00030F0B" w14:paraId="6DD5A8F0" w14:textId="38BEED08">
      <w:pPr>
        <w:pStyle w:val="Bodytext2"/>
        <w:rPr>
          <w:color w:val="0F172B"/>
          <w:lang w:val="fi-FI"/>
        </w:rPr>
      </w:pPr>
    </w:p>
    <w:p w:rsidR="009C433B" w:rsidP="00030F0B" w14:paraId="0F9830D7" w14:textId="5C964EEB">
      <w:pPr>
        <w:pStyle w:val="Bodytext2"/>
        <w:rPr>
          <w:color w:val="0F172B"/>
          <w:lang w:val="fi-FI"/>
        </w:rPr>
      </w:pPr>
    </w:p>
    <w:p w:rsidR="009C433B" w:rsidRPr="002B09EE" w:rsidP="00030F0B" w14:paraId="0D5E6AA9" w14:textId="77777777">
      <w:pPr>
        <w:pStyle w:val="Bodytext2"/>
        <w:rPr>
          <w:color w:val="0F172B"/>
          <w:lang w:val="fi-FI"/>
        </w:rPr>
      </w:pPr>
    </w:p>
    <w:p w:rsidR="00030F0B" w:rsidRPr="00116433" w:rsidP="00030F0B" w14:paraId="46DA4C0F" w14:textId="68A86C9F">
      <w:pPr>
        <w:pStyle w:val="Heading13"/>
        <w:rPr>
          <w:lang w:val="fi-FI"/>
        </w:rPr>
      </w:pPr>
      <w:r>
        <w:rPr>
          <w:lang w:val="fi-FI"/>
        </w:rPr>
        <w:t>Johdannaisinstrumentit</w:t>
      </w:r>
    </w:p>
    <w:p w:rsidR="00030F0B" w:rsidRPr="00116433" w:rsidP="00030F0B" w14:paraId="3FA4B7C3" w14:textId="77777777">
      <w:pPr>
        <w:pStyle w:val="Bodytext2"/>
        <w:rPr>
          <w:color w:val="0F172B"/>
          <w:lang w:val="fi-FI"/>
        </w:rPr>
      </w:pPr>
    </w:p>
    <w:tbl>
      <w:tblPr>
        <w:tblStyle w:val="TableNormal"/>
        <w:tblCaption w:val="table_57_derivatives"/>
        <w:tblW w:w="7350" w:type="dxa"/>
        <w:tblLayout w:type="fixed"/>
        <w:tblLook w:val="0600"/>
      </w:tblPr>
      <w:tblGrid>
        <w:gridCol w:w="3030"/>
        <w:gridCol w:w="1080"/>
        <w:gridCol w:w="1080"/>
        <w:gridCol w:w="1080"/>
        <w:gridCol w:w="1080"/>
      </w:tblGrid>
      <w:tr>
        <w:tblPrEx>
          <w:tblW w:w="7350" w:type="dxa"/>
          <w:tblLayout w:type="fixed"/>
          <w:tblLook w:val="0600"/>
        </w:tblPrEx>
        <w:trPr>
          <w:trHeight w:val="240"/>
        </w:trPr>
        <w:tc>
          <w:tcPr>
            <w:tcW w:w="30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08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08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joista</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suljettu</w:t>
            </w:r>
          </w:p>
        </w:tc>
        <w:tc>
          <w:tcPr>
            <w:tcW w:w="108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c>
          <w:tcPr>
            <w:tcW w:w="108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joista</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suljettu</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03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Johdannaisinstrumenttien nimellisarvot (taso 2)</w:t>
            </w:r>
          </w:p>
        </w:tc>
        <w:tc>
          <w:tcPr>
            <w:tcW w:w="108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0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Koronvaihtosopimukset</w:t>
            </w:r>
          </w:p>
        </w:tc>
        <w:tc>
          <w:tcPr>
            <w:tcW w:w="108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408</w:t>
            </w:r>
          </w:p>
        </w:tc>
        <w:tc>
          <w:tcPr>
            <w:tcW w:w="108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450</w:t>
            </w: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0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Koron- ja valuutanvaihtosopimukset</w:t>
            </w:r>
          </w:p>
        </w:tc>
        <w:tc>
          <w:tcPr>
            <w:tcW w:w="108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153</w:t>
            </w:r>
          </w:p>
        </w:tc>
        <w:tc>
          <w:tcPr>
            <w:tcW w:w="108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237</w:t>
            </w: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0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Valuuttatermiinit, suojauslaskennan alla</w:t>
            </w:r>
          </w:p>
        </w:tc>
        <w:tc>
          <w:tcPr>
            <w:tcW w:w="1080"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1 417</w:t>
            </w:r>
          </w:p>
        </w:tc>
        <w:tc>
          <w:tcPr>
            <w:tcW w:w="1080"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676</w:t>
            </w:r>
          </w:p>
        </w:tc>
        <w:tc>
          <w:tcPr>
            <w:tcW w:w="1080"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1 010</w:t>
            </w:r>
          </w:p>
        </w:tc>
        <w:tc>
          <w:tcPr>
            <w:tcW w:w="1080"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558</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03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Valuuttatermiinit, suojauslaskennan ulkopuolella</w:t>
            </w:r>
          </w:p>
        </w:tc>
        <w:tc>
          <w:tcPr>
            <w:tcW w:w="108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660</w:t>
            </w:r>
          </w:p>
        </w:tc>
        <w:tc>
          <w:tcPr>
            <w:tcW w:w="108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179</w:t>
            </w:r>
          </w:p>
        </w:tc>
        <w:tc>
          <w:tcPr>
            <w:tcW w:w="108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650</w:t>
            </w:r>
          </w:p>
        </w:tc>
        <w:tc>
          <w:tcPr>
            <w:tcW w:w="108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245</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030"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080" w:type="dxa"/>
            <w:tcBorders>
              <w:top w:val="nil"/>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2 639</w:t>
            </w:r>
          </w:p>
        </w:tc>
        <w:tc>
          <w:tcPr>
            <w:tcW w:w="1080" w:type="dxa"/>
            <w:tcBorders>
              <w:top w:val="nil"/>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855</w:t>
            </w:r>
          </w:p>
        </w:tc>
        <w:tc>
          <w:tcPr>
            <w:tcW w:w="1080" w:type="dxa"/>
            <w:tcBorders>
              <w:top w:val="nil"/>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2 347</w:t>
            </w:r>
          </w:p>
        </w:tc>
        <w:tc>
          <w:tcPr>
            <w:tcW w:w="1080" w:type="dxa"/>
            <w:tcBorders>
              <w:top w:val="nil"/>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803</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030"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0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Johdannaisinstrumenttien markkina-arvostukset (taso 2)</w:t>
            </w:r>
          </w:p>
        </w:tc>
        <w:tc>
          <w:tcPr>
            <w:tcW w:w="108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0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Koronvaihtosopimukset</w:t>
            </w:r>
          </w:p>
        </w:tc>
        <w:tc>
          <w:tcPr>
            <w:tcW w:w="108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108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0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Koron- ja valuutanvaihtosopimukset</w:t>
            </w:r>
          </w:p>
        </w:tc>
        <w:tc>
          <w:tcPr>
            <w:tcW w:w="108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108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0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Valuuttatermiinit, suojauslaskennan alla</w:t>
            </w:r>
          </w:p>
        </w:tc>
        <w:tc>
          <w:tcPr>
            <w:tcW w:w="1080"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080"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21</w:t>
            </w:r>
          </w:p>
        </w:tc>
        <w:tc>
          <w:tcPr>
            <w:tcW w:w="1080" w:type="dxa"/>
            <w:tcBorders>
              <w:top w:val="nil"/>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03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Valuuttatermiinit, suojauslaskennan ulkopuolella</w:t>
            </w:r>
          </w:p>
        </w:tc>
        <w:tc>
          <w:tcPr>
            <w:tcW w:w="108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108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w:t>
            </w:r>
          </w:p>
        </w:tc>
        <w:tc>
          <w:tcPr>
            <w:tcW w:w="108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030"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080" w:type="dxa"/>
            <w:tcBorders>
              <w:top w:val="nil"/>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1080" w:type="dxa"/>
            <w:tcBorders>
              <w:top w:val="nil"/>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nil"/>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w:t>
            </w:r>
          </w:p>
        </w:tc>
        <w:tc>
          <w:tcPr>
            <w:tcW w:w="1080" w:type="dxa"/>
            <w:tcBorders>
              <w:top w:val="nil"/>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bl>
    <w:p w:rsidR="00030F0B" w:rsidRPr="008F505F" w:rsidP="00EF3EF7" w14:paraId="53482C5E" w14:textId="77777777">
      <w:pPr>
        <w:pStyle w:val="Bodytext2"/>
        <w:rPr>
          <w:lang w:val="fi-FI"/>
        </w:rPr>
      </w:pPr>
    </w:p>
    <w:p w:rsidR="007F5800" w:rsidRPr="008F505F" w:rsidP="00EF3EF7" w14:paraId="799257BD" w14:textId="7E5AD6F3">
      <w:pPr>
        <w:pStyle w:val="Bodytext2"/>
        <w:rPr>
          <w:lang w:val="fi-FI"/>
        </w:rPr>
      </w:pPr>
      <w:r w:rsidRPr="008F505F">
        <w:rPr>
          <w:lang w:val="fi-FI"/>
        </w:rPr>
        <w:t xml:space="preserve">Lisäksi konsernilla oli kuparifutuureja </w:t>
      </w:r>
      <w:r>
        <w:rPr>
          <w:lang w:val="fi-FI"/>
        </w:rPr>
        <w:t>933</w:t>
      </w:r>
      <w:r w:rsidRPr="008F505F">
        <w:rPr>
          <w:lang w:val="fi-FI"/>
        </w:rPr>
        <w:t xml:space="preserve"> tonnia (</w:t>
      </w:r>
      <w:r>
        <w:rPr>
          <w:lang w:val="fi-FI"/>
        </w:rPr>
        <w:t>11</w:t>
      </w:r>
      <w:r w:rsidRPr="008F505F">
        <w:rPr>
          <w:lang w:val="fi-FI"/>
        </w:rPr>
        <w:t>3), joiden arvo o</w:t>
      </w:r>
      <w:r>
        <w:rPr>
          <w:lang w:val="fi-FI"/>
        </w:rPr>
        <w:t>li</w:t>
      </w:r>
      <w:r w:rsidRPr="008F505F">
        <w:rPr>
          <w:lang w:val="fi-FI"/>
        </w:rPr>
        <w:t xml:space="preserve"> </w:t>
      </w:r>
      <w:r>
        <w:rPr>
          <w:lang w:val="fi-FI"/>
        </w:rPr>
        <w:t>8</w:t>
      </w:r>
      <w:r w:rsidRPr="008F505F">
        <w:rPr>
          <w:lang w:val="fi-FI"/>
        </w:rPr>
        <w:t xml:space="preserve"> milj</w:t>
      </w:r>
      <w:r>
        <w:rPr>
          <w:lang w:val="fi-FI"/>
        </w:rPr>
        <w:t>oonaa</w:t>
      </w:r>
      <w:r w:rsidRPr="008F505F">
        <w:rPr>
          <w:lang w:val="fi-FI"/>
        </w:rPr>
        <w:t xml:space="preserve"> euroa</w:t>
      </w:r>
      <w:r>
        <w:rPr>
          <w:lang w:val="fi-FI"/>
        </w:rPr>
        <w:t xml:space="preserve"> (1).</w:t>
      </w:r>
    </w:p>
    <w:p w:rsidR="00030F0B" w:rsidRPr="008F505F" w:rsidP="00EF3EF7" w14:paraId="73B8D949" w14:textId="77777777">
      <w:pPr>
        <w:pStyle w:val="Bodytext2"/>
        <w:rPr>
          <w:lang w:val="fi-FI"/>
        </w:rPr>
      </w:pPr>
    </w:p>
    <w:p w:rsidR="007F5800" w:rsidRPr="008F505F" w:rsidP="00EF3EF7" w14:paraId="1F248906" w14:textId="6070A194">
      <w:pPr>
        <w:pStyle w:val="Bodytext2"/>
        <w:rPr>
          <w:lang w:val="fi-FI"/>
        </w:rPr>
      </w:pPr>
      <w:r w:rsidRPr="008F505F">
        <w:rPr>
          <w:lang w:val="fi-FI"/>
        </w:rPr>
        <w:t xml:space="preserve">Valuuttatermiinit suojaavat transaktioriskiltä ja erääntyvät </w:t>
      </w:r>
      <w:r w:rsidRPr="00203438">
        <w:rPr>
          <w:lang w:val="fi-FI"/>
        </w:rPr>
        <w:t xml:space="preserve">seuraavan 12 kuukauden (12) aikana. Valuuttatermiini on suljettu, kun rahavirrat samassa valuutassa samalla arvopäivällä kompensoivat toisiaan. Koronvaihtosopimukset ovat euromääräisiä ja niiden </w:t>
      </w:r>
      <w:r w:rsidRPr="00203438">
        <w:rPr>
          <w:lang w:val="fi-FI"/>
        </w:rPr>
        <w:t>keskimääräinen juoksuaika on 5</w:t>
      </w:r>
      <w:r>
        <w:rPr>
          <w:lang w:val="fi-FI"/>
        </w:rPr>
        <w:t>2</w:t>
      </w:r>
      <w:r w:rsidRPr="00203438">
        <w:rPr>
          <w:lang w:val="fi-FI"/>
        </w:rPr>
        <w:t xml:space="preserve"> kuukautta (59). Koron- ja valuutanvaihtosopimusten keskimääräinen juoksuaika on 3</w:t>
      </w:r>
      <w:r>
        <w:rPr>
          <w:lang w:val="fi-FI"/>
        </w:rPr>
        <w:t>1</w:t>
      </w:r>
      <w:r w:rsidRPr="00203438">
        <w:rPr>
          <w:lang w:val="fi-FI"/>
        </w:rPr>
        <w:t xml:space="preserve"> kuukautta (30).</w:t>
      </w:r>
    </w:p>
    <w:p w:rsidR="00030F0B" w:rsidRPr="008F505F" w:rsidP="00EF3EF7" w14:paraId="3B53A1A5" w14:textId="77777777">
      <w:pPr>
        <w:pStyle w:val="Bodytext2"/>
        <w:rPr>
          <w:lang w:val="fi-FI"/>
        </w:rPr>
      </w:pPr>
    </w:p>
    <w:p w:rsidR="00030F0B" w:rsidP="00030F0B" w14:paraId="126D0CD0" w14:textId="471B3E38">
      <w:pPr>
        <w:pStyle w:val="Bodytext2"/>
        <w:rPr>
          <w:lang w:val="fi-FI"/>
        </w:rPr>
      </w:pPr>
      <w:r w:rsidRPr="003052BC">
        <w:rPr>
          <w:lang w:val="fi-FI"/>
        </w:rPr>
        <w:t xml:space="preserve">Muutokset korkojohdannaisten markkina-arvossa </w:t>
      </w:r>
      <w:r w:rsidR="006A38A2">
        <w:rPr>
          <w:lang w:val="fi-FI"/>
        </w:rPr>
        <w:t>kirjataan</w:t>
      </w:r>
      <w:r w:rsidRPr="003052BC">
        <w:rPr>
          <w:lang w:val="fi-FI"/>
        </w:rPr>
        <w:t xml:space="preserve"> yleensä välittömästi tuloslaskel</w:t>
      </w:r>
      <w:r w:rsidR="006A38A2">
        <w:rPr>
          <w:lang w:val="fi-FI"/>
        </w:rPr>
        <w:t>maan</w:t>
      </w:r>
      <w:r w:rsidRPr="003052BC">
        <w:rPr>
          <w:lang w:val="fi-FI"/>
        </w:rPr>
        <w:t xml:space="preserve">. IFRS 9:n mukaista </w:t>
      </w:r>
      <w:r w:rsidR="006A38A2">
        <w:rPr>
          <w:lang w:val="fi-FI"/>
        </w:rPr>
        <w:t>raha</w:t>
      </w:r>
      <w:r w:rsidRPr="003052BC">
        <w:rPr>
          <w:lang w:val="fi-FI"/>
        </w:rPr>
        <w:t>virran</w:t>
      </w:r>
      <w:r w:rsidR="006A38A2">
        <w:rPr>
          <w:lang w:val="fi-FI"/>
        </w:rPr>
        <w:t xml:space="preserve"> </w:t>
      </w:r>
      <w:r w:rsidRPr="003052BC">
        <w:rPr>
          <w:lang w:val="fi-FI"/>
        </w:rPr>
        <w:t>s</w:t>
      </w:r>
      <w:r w:rsidRPr="003052BC">
        <w:rPr>
          <w:lang w:val="fi-FI"/>
        </w:rPr>
        <w:t>uojauslaskentaa sovelletaan</w:t>
      </w:r>
      <w:r w:rsidR="006A38A2">
        <w:rPr>
          <w:lang w:val="fi-FI"/>
        </w:rPr>
        <w:t xml:space="preserve"> kuitenkin</w:t>
      </w:r>
      <w:r w:rsidRPr="003052BC">
        <w:rPr>
          <w:lang w:val="fi-FI"/>
        </w:rPr>
        <w:t xml:space="preserve"> </w:t>
      </w:r>
      <w:r>
        <w:rPr>
          <w:lang w:val="fi-FI"/>
        </w:rPr>
        <w:t>128</w:t>
      </w:r>
      <w:r w:rsidRPr="003052BC">
        <w:rPr>
          <w:lang w:val="fi-FI"/>
        </w:rPr>
        <w:t xml:space="preserve"> milj</w:t>
      </w:r>
      <w:r>
        <w:rPr>
          <w:lang w:val="fi-FI"/>
        </w:rPr>
        <w:t>oonan</w:t>
      </w:r>
      <w:r w:rsidRPr="003052BC">
        <w:rPr>
          <w:lang w:val="fi-FI"/>
        </w:rPr>
        <w:t xml:space="preserve"> euron </w:t>
      </w:r>
      <w:r w:rsidR="006A38A2">
        <w:rPr>
          <w:lang w:val="fi-FI"/>
        </w:rPr>
        <w:t xml:space="preserve">(130) </w:t>
      </w:r>
      <w:r w:rsidRPr="003052BC">
        <w:rPr>
          <w:lang w:val="fi-FI"/>
        </w:rPr>
        <w:t>suuruiseen koronvaihtosopimukseen, joka erääntyy 2031. Kyseinen korkosuoja vaihtaa ison vuokrasopimusvelan korkomaksut muut</w:t>
      </w:r>
      <w:r w:rsidR="006A38A2">
        <w:rPr>
          <w:lang w:val="fi-FI"/>
        </w:rPr>
        <w:t>t</w:t>
      </w:r>
      <w:r w:rsidRPr="003052BC">
        <w:rPr>
          <w:lang w:val="fi-FI"/>
        </w:rPr>
        <w:t>uvista kiinteisiin. Koska suojalla ja sen perustana olevalla rahavir</w:t>
      </w:r>
      <w:r w:rsidRPr="003052BC">
        <w:rPr>
          <w:lang w:val="fi-FI"/>
        </w:rPr>
        <w:t xml:space="preserve">ralla on </w:t>
      </w:r>
      <w:r w:rsidR="006A38A2">
        <w:rPr>
          <w:lang w:val="fi-FI"/>
        </w:rPr>
        <w:t>täsmäävät</w:t>
      </w:r>
      <w:r w:rsidRPr="003052BC">
        <w:rPr>
          <w:lang w:val="fi-FI"/>
        </w:rPr>
        <w:t xml:space="preserve"> k</w:t>
      </w:r>
      <w:r w:rsidR="006A38A2">
        <w:rPr>
          <w:lang w:val="fi-FI"/>
        </w:rPr>
        <w:t>eskeiset</w:t>
      </w:r>
      <w:r w:rsidRPr="003052BC">
        <w:rPr>
          <w:lang w:val="fi-FI"/>
        </w:rPr>
        <w:t xml:space="preserve"> ehdot, ja suojaussuhde on 1:1, suojauksen o</w:t>
      </w:r>
      <w:r w:rsidR="006A38A2">
        <w:rPr>
          <w:lang w:val="fi-FI"/>
        </w:rPr>
        <w:t>do</w:t>
      </w:r>
      <w:r w:rsidRPr="003052BC">
        <w:rPr>
          <w:lang w:val="fi-FI"/>
        </w:rPr>
        <w:t xml:space="preserve">tetaan olevan </w:t>
      </w:r>
      <w:r w:rsidR="006A38A2">
        <w:rPr>
          <w:lang w:val="fi-FI"/>
        </w:rPr>
        <w:t>täysin</w:t>
      </w:r>
      <w:r w:rsidRPr="003052BC">
        <w:rPr>
          <w:lang w:val="fi-FI"/>
        </w:rPr>
        <w:t xml:space="preserve"> tehokas. Vuoden 20</w:t>
      </w:r>
      <w:r>
        <w:rPr>
          <w:lang w:val="fi-FI"/>
        </w:rPr>
        <w:t>21</w:t>
      </w:r>
      <w:r w:rsidRPr="003052BC">
        <w:rPr>
          <w:lang w:val="fi-FI"/>
        </w:rPr>
        <w:t xml:space="preserve"> aikana rahavirtasuojan käyvän arvon muutosta</w:t>
      </w:r>
      <w:r w:rsidR="006A38A2">
        <w:rPr>
          <w:lang w:val="fi-FI"/>
        </w:rPr>
        <w:t xml:space="preserve"> on</w:t>
      </w:r>
      <w:r w:rsidRPr="003052BC">
        <w:rPr>
          <w:lang w:val="fi-FI"/>
        </w:rPr>
        <w:t xml:space="preserve"> kirjattu omaan pääomaan </w:t>
      </w:r>
      <w:r>
        <w:rPr>
          <w:lang w:val="fi-FI"/>
        </w:rPr>
        <w:t>-2</w:t>
      </w:r>
      <w:r w:rsidRPr="003052BC">
        <w:rPr>
          <w:lang w:val="fi-FI"/>
        </w:rPr>
        <w:t xml:space="preserve"> milj</w:t>
      </w:r>
      <w:r>
        <w:rPr>
          <w:lang w:val="fi-FI"/>
        </w:rPr>
        <w:t>oonaa</w:t>
      </w:r>
      <w:r w:rsidRPr="003052BC">
        <w:rPr>
          <w:lang w:val="fi-FI"/>
        </w:rPr>
        <w:t xml:space="preserve"> euroa</w:t>
      </w:r>
      <w:r w:rsidR="008F5C33">
        <w:rPr>
          <w:lang w:val="fi-FI"/>
        </w:rPr>
        <w:t xml:space="preserve"> (</w:t>
      </w:r>
      <w:r>
        <w:rPr>
          <w:lang w:val="fi-FI"/>
        </w:rPr>
        <w:t>-6</w:t>
      </w:r>
      <w:r w:rsidR="008F5C33">
        <w:rPr>
          <w:lang w:val="fi-FI"/>
        </w:rPr>
        <w:t>)</w:t>
      </w:r>
      <w:r w:rsidRPr="003052BC">
        <w:rPr>
          <w:lang w:val="fi-FI"/>
        </w:rPr>
        <w:t xml:space="preserve">, eikä suojaan liittyviä eriä ole </w:t>
      </w:r>
      <w:r w:rsidR="006A38A2">
        <w:rPr>
          <w:lang w:val="fi-FI"/>
        </w:rPr>
        <w:t xml:space="preserve">luokiteltu </w:t>
      </w:r>
      <w:r w:rsidRPr="003052BC">
        <w:rPr>
          <w:lang w:val="fi-FI"/>
        </w:rPr>
        <w:t>uudelleen tuloslaskelmaan.</w:t>
      </w:r>
    </w:p>
    <w:p w:rsidR="00030F0B" w:rsidRPr="003052BC" w:rsidP="00030F0B" w14:paraId="7C91412E" w14:textId="77777777">
      <w:pPr>
        <w:pStyle w:val="Bodytext2"/>
        <w:rPr>
          <w:color w:val="0F172B"/>
          <w:lang w:val="fi-FI"/>
        </w:rPr>
      </w:pPr>
    </w:p>
    <w:p w:rsidR="00030F0B" w:rsidRPr="007F5800" w:rsidP="00030F0B" w14:paraId="6B7E75B3" w14:textId="4FFE6B71">
      <w:pPr>
        <w:pStyle w:val="Bodytext2"/>
        <w:rPr>
          <w:lang w:val="fi-FI"/>
        </w:rPr>
      </w:pPr>
      <w:r w:rsidRPr="007F5800">
        <w:rPr>
          <w:lang w:val="fi-FI"/>
        </w:rPr>
        <w:t>Normaalisti kaikki konsernin johdannaiset tehdään International Swaps and Derivatives Associationin Master Agreement -sopimusten (ISDA) alla. Mikäli sopimusosapuoli on sopimuksessa mä</w:t>
      </w:r>
      <w:r w:rsidRPr="007F5800">
        <w:rPr>
          <w:lang w:val="fi-FI"/>
        </w:rPr>
        <w:t>äritellyn luottotapahtuman kohteena, on toisella sopimusosapuolella oikeus vaatia kaikkien avoimien johdannaisten ennenaikaista eräännyttämistä ja niiden netottamista. Nämä sopimukset eivät kuitenkaan täytä tase-erien netotusvaatimuksia. Alla olevassa taul</w:t>
      </w:r>
      <w:r w:rsidRPr="007F5800">
        <w:rPr>
          <w:lang w:val="fi-FI"/>
        </w:rPr>
        <w:t>ukossa on kyseisten sopimusten alla tehtyjen rahoitusinstrumenttien kirjanpitoarvot.</w:t>
      </w:r>
    </w:p>
    <w:p w:rsidR="00030F0B" w:rsidRPr="007F5800" w:rsidP="00030F0B" w14:paraId="6D7634C2" w14:textId="77777777">
      <w:pPr>
        <w:pStyle w:val="Bodytext2"/>
        <w:rPr>
          <w:color w:val="0F172B"/>
          <w:lang w:val="fi-FI"/>
        </w:rPr>
      </w:pPr>
    </w:p>
    <w:tbl>
      <w:tblPr>
        <w:tblStyle w:val="TableNormal"/>
        <w:tblCaption w:val="table_57_isda"/>
        <w:tblW w:w="7350" w:type="dxa"/>
        <w:tblLayout w:type="fixed"/>
        <w:tblLook w:val="0600"/>
      </w:tblPr>
      <w:tblGrid>
        <w:gridCol w:w="3030"/>
        <w:gridCol w:w="1080"/>
        <w:gridCol w:w="1080"/>
        <w:gridCol w:w="1080"/>
        <w:gridCol w:w="1080"/>
      </w:tblGrid>
      <w:tr>
        <w:tblPrEx>
          <w:tblW w:w="7350" w:type="dxa"/>
          <w:tblLayout w:type="fixed"/>
          <w:tblLook w:val="0600"/>
        </w:tblPrEx>
        <w:trPr>
          <w:trHeight w:val="240"/>
        </w:trPr>
        <w:tc>
          <w:tcPr>
            <w:tcW w:w="303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080"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08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5190" w:type="dxa"/>
            <w:gridSpan w:val="3"/>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Johdannaisinstrumenttien markkina-arvostukset ISDA-sopimusten alla</w:t>
            </w:r>
          </w:p>
        </w:tc>
        <w:tc>
          <w:tcPr>
            <w:tcW w:w="108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Varat</w:t>
            </w: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Koron- ja valuutanvaihtosopimukset</w:t>
            </w:r>
          </w:p>
        </w:tc>
        <w:tc>
          <w:tcPr>
            <w:tcW w:w="1080" w:type="dxa"/>
            <w:tcBorders>
              <w:top w:val="nil"/>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nil"/>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Valuuttatermiinit</w:t>
            </w:r>
          </w:p>
        </w:tc>
        <w:tc>
          <w:tcPr>
            <w:tcW w:w="108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w:t>
            </w:r>
          </w:p>
        </w:tc>
        <w:tc>
          <w:tcPr>
            <w:tcW w:w="108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37</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nil"/>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080" w:type="dxa"/>
            <w:tcBorders>
              <w:top w:val="nil"/>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nil"/>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nil"/>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w:t>
            </w:r>
          </w:p>
        </w:tc>
        <w:tc>
          <w:tcPr>
            <w:tcW w:w="1080" w:type="dxa"/>
            <w:tcBorders>
              <w:top w:val="nil"/>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37</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Velat</w:t>
            </w: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Koronvaihtosopimukset</w:t>
            </w: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Koron- ja valuutanvaihtosopimukset</w:t>
            </w: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Valuuttatermiinit</w:t>
            </w:r>
          </w:p>
        </w:tc>
        <w:tc>
          <w:tcPr>
            <w:tcW w:w="108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w:t>
            </w:r>
          </w:p>
        </w:tc>
        <w:tc>
          <w:tcPr>
            <w:tcW w:w="108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080" w:type="dxa"/>
            <w:tcBorders>
              <w:top w:val="single" w:sz="8" w:space="0" w:color="0F172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-23</w:t>
            </w:r>
          </w:p>
        </w:tc>
        <w:tc>
          <w:tcPr>
            <w:tcW w:w="108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5190" w:type="dxa"/>
            <w:gridSpan w:val="3"/>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Johdannaisinstrumenttien markkina-arvostukset ISDA-sopimusten alla</w:t>
            </w:r>
          </w:p>
        </w:tc>
        <w:tc>
          <w:tcPr>
            <w:tcW w:w="108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Varat</w:t>
            </w: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Velat</w:t>
            </w:r>
          </w:p>
        </w:tc>
        <w:tc>
          <w:tcPr>
            <w:tcW w:w="108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w:t>
            </w:r>
          </w:p>
        </w:tc>
        <w:tc>
          <w:tcPr>
            <w:tcW w:w="108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080" w:type="dxa"/>
            <w:tcBorders>
              <w:top w:val="single" w:sz="8" w:space="0" w:color="0F172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108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w:t>
            </w:r>
          </w:p>
        </w:tc>
      </w:tr>
    </w:tbl>
    <w:p w:rsidR="00030F0B" w:rsidP="00030F0B" w14:paraId="6AD2E37F" w14:textId="77777777">
      <w:pPr>
        <w:pStyle w:val="Bodytext2"/>
      </w:pPr>
      <w:bookmarkEnd w:id="1481"/>
      <w:r>
        <w:t xml:space="preserve"> </w:t>
      </w:r>
    </w:p>
    <w:p/>
    <w:p w:rsidR="00A5642B" w:rsidRPr="00A5642B" w:rsidP="00A5642B" w14:paraId="20159C00" w14:textId="0F2C6D65">
      <w:pPr>
        <w:pStyle w:val="Heading12"/>
        <w:rPr>
          <w:lang w:val="fi-FI"/>
        </w:rPr>
      </w:pPr>
      <w:bookmarkStart w:id="1482" w:name="RG_MARKER_7444"/>
      <w:r w:rsidRPr="00A5642B">
        <w:rPr>
          <w:lang w:val="fi-FI"/>
        </w:rPr>
        <w:t>5.8. RAHOITUSRISKIT</w:t>
      </w:r>
      <w:bookmarkEnd w:id="1482"/>
    </w:p>
    <w:p w:rsidR="00A5642B" w:rsidRPr="00A5642B" w:rsidP="00A5642B" w14:paraId="780E6518" w14:textId="77777777">
      <w:pPr>
        <w:spacing w:before="48" w:after="0"/>
        <w:rPr>
          <w:rFonts w:ascii="Arial" w:hAnsi="Arial" w:cs="Arial"/>
          <w:b/>
          <w:bCs/>
          <w:sz w:val="17"/>
          <w:szCs w:val="17"/>
          <w:lang w:val="fi-FI"/>
        </w:rPr>
      </w:pPr>
    </w:p>
    <w:p w:rsidR="00A5642B" w:rsidRPr="00A5642B" w:rsidP="00A5642B" w14:paraId="5B49334B" w14:textId="5EBAE465">
      <w:pPr>
        <w:pStyle w:val="Heading13"/>
        <w:rPr>
          <w:rFonts w:cstheme="minorBidi"/>
          <w:lang w:val="fi-FI"/>
        </w:rPr>
      </w:pPr>
      <w:r w:rsidRPr="00A5642B">
        <w:rPr>
          <w:lang w:val="fi-FI"/>
        </w:rPr>
        <w:t>Yleistä</w:t>
      </w:r>
    </w:p>
    <w:p w:rsidR="00A5642B" w:rsidRPr="00F924D3" w:rsidP="00A5642B" w14:paraId="7E5C6C3D" w14:textId="77777777">
      <w:pPr>
        <w:pStyle w:val="Bodytext2"/>
        <w:rPr>
          <w:lang w:val="fi-FI"/>
        </w:rPr>
      </w:pPr>
      <w:r w:rsidRPr="00F924D3">
        <w:rPr>
          <w:lang w:val="fi-FI"/>
        </w:rPr>
        <w:t xml:space="preserve">Konsernin keskitetyllä rahoitustoiminnolla on kaksi päätehtävää: hankkia riittävästi rahoitusta konsernin tarpeisiin kilpailukykyisellä hinnalla, ja tunnistaa ja arvioida konsernin rahoitusriskit sekä tehdä </w:t>
      </w:r>
      <w:r w:rsidRPr="00F924D3">
        <w:rPr>
          <w:lang w:val="fi-FI"/>
        </w:rPr>
        <w:t>konserniyhtiöiden tarvitsemat suojaukset.</w:t>
      </w:r>
    </w:p>
    <w:p w:rsidR="00A5642B" w:rsidRPr="00F924D3" w:rsidP="00A5642B" w14:paraId="3AB16E99" w14:textId="6B252F89">
      <w:pPr>
        <w:pStyle w:val="Bodytext2"/>
        <w:rPr>
          <w:lang w:val="fi-FI"/>
        </w:rPr>
      </w:pPr>
    </w:p>
    <w:p w:rsidR="00A5642B" w:rsidRPr="00410C60" w:rsidP="00A5642B" w14:paraId="6DE655FD" w14:textId="372B26BF">
      <w:pPr>
        <w:pStyle w:val="Bodytext2"/>
        <w:rPr>
          <w:sz w:val="2"/>
          <w:szCs w:val="2"/>
          <w:lang w:val="fi-FI"/>
        </w:rPr>
      </w:pPr>
      <w:r w:rsidRPr="00A5642B">
        <w:rPr>
          <w:lang w:val="fi-FI"/>
        </w:rPr>
        <w:t>Tarkoituksena on suojautua rahoitusmarkkinoilla tapahtuvilta epäsuotuisilta heilahteluilta sekä minimoida valuutta-, korko-, likviditeetti- ja luottoriskien vaikutus konsernin rahavaroihin, tulokseen ja omaan pääo</w:t>
      </w:r>
      <w:r w:rsidRPr="00A5642B">
        <w:rPr>
          <w:lang w:val="fi-FI"/>
        </w:rPr>
        <w:t>maan.</w:t>
      </w:r>
      <w:r w:rsidR="00410C60">
        <w:rPr>
          <w:lang w:val="fi-FI"/>
        </w:rPr>
        <w:br w:type="column"/>
      </w:r>
    </w:p>
    <w:p w:rsidR="00A5642B" w:rsidRPr="00F924D3" w:rsidP="00A5642B" w14:paraId="2F92948E" w14:textId="3E1C19EA">
      <w:pPr>
        <w:pStyle w:val="Bodytext2"/>
        <w:rPr>
          <w:lang w:val="fi-FI"/>
        </w:rPr>
      </w:pPr>
      <w:r w:rsidRPr="00A5642B">
        <w:rPr>
          <w:lang w:val="fi-FI"/>
        </w:rPr>
        <w:t xml:space="preserve">Wärtsilän riskienhallintapolitiikka on hyväksytty yhtiön hallituksessa. </w:t>
      </w:r>
      <w:r w:rsidRPr="00F924D3">
        <w:rPr>
          <w:lang w:val="fi-FI"/>
        </w:rPr>
        <w:t>Rahoitusriskien suojausinstrumentteina käytetään vain sellaisia instrumentteja, joiden markkina-arvoa ja riskiprofiilia voidaan luotettavasti seurata.</w:t>
      </w:r>
    </w:p>
    <w:p w:rsidR="00A5642B" w:rsidRPr="00F924D3" w:rsidP="00A5642B" w14:paraId="571B0970" w14:textId="77777777">
      <w:pPr>
        <w:pStyle w:val="Bodytext2"/>
        <w:rPr>
          <w:lang w:val="fi-FI"/>
        </w:rPr>
      </w:pPr>
    </w:p>
    <w:p w:rsidR="00A5642B" w:rsidRPr="00F924D3" w:rsidP="00A5642B" w14:paraId="2559D325" w14:textId="3B80B8C0">
      <w:pPr>
        <w:pStyle w:val="Heading13"/>
        <w:rPr>
          <w:lang w:val="fi-FI"/>
        </w:rPr>
      </w:pPr>
      <w:r w:rsidRPr="00F924D3">
        <w:rPr>
          <w:lang w:val="fi-FI"/>
        </w:rPr>
        <w:t>Valuuttariski</w:t>
      </w:r>
    </w:p>
    <w:p w:rsidR="00A5642B" w:rsidRPr="00A5642B" w:rsidP="00A5642B" w14:paraId="0205F7D4" w14:textId="1591BD98">
      <w:pPr>
        <w:pStyle w:val="Bodytext2"/>
        <w:rPr>
          <w:lang w:val="fi-FI"/>
        </w:rPr>
      </w:pPr>
      <w:r w:rsidRPr="00A5642B">
        <w:rPr>
          <w:lang w:val="fi-FI"/>
        </w:rPr>
        <w:t>Valuuttapos</w:t>
      </w:r>
      <w:r w:rsidRPr="00A5642B">
        <w:rPr>
          <w:lang w:val="fi-FI"/>
        </w:rPr>
        <w:t>itioita seurataan liiketoimintojen tasolla. Suojaukset tehdään yhtiötasolla konsernin keskitettyä rahoitustoimintaa vasten, jonka jälkeen suojaukset netotetaan ja katetaan ulkoisesti konsernin rahoitustoimintojen puolesta. Kaikki merkittävät kiinteähintais</w:t>
      </w:r>
      <w:r w:rsidRPr="00A5642B">
        <w:rPr>
          <w:lang w:val="fi-FI"/>
        </w:rPr>
        <w:t>et osto- ja myyntisopimukset suojataan. Suojaukset kattavat arvioidut tulevat rahavirrat sekä avoinna olevat myyntisaamiset ja ostovelat sopimuksiin liittyen. Tulevat kaupalliset valuuttayli- ja alijäämät arvioidaan liiketoiminnoittain ja suojausten tasost</w:t>
      </w:r>
      <w:r w:rsidRPr="00A5642B">
        <w:rPr>
          <w:lang w:val="fi-FI"/>
        </w:rPr>
        <w:t xml:space="preserve">a päättää johtokunta. IFRS 9:n mukaista suojauslaskentaa sovelletaan valtaosaan edellä mainittujen erien suojauksista. Suojaukset kattavat aikajakson, joka mahdollistaa myyntihintojen ja kustannusten sopeuttamisen uudella valuuttakurssitasolla. Suojausten </w:t>
      </w:r>
      <w:r w:rsidRPr="00A5642B">
        <w:rPr>
          <w:lang w:val="fi-FI"/>
        </w:rPr>
        <w:t>pituudet vaihtelevat konserniyhtiöillä kuukaudesta kahteen vuoteen. Konserni suojaa myös taseessa olevat valuuttamääräiset erät kuten rahavarat, lainat/talletukset ja muut valuuttamääräiset saatavat ja velat.</w:t>
      </w:r>
    </w:p>
    <w:p w:rsidR="00A5642B" w:rsidRPr="00A5642B" w:rsidP="00A5642B" w14:paraId="3A013B22" w14:textId="77777777">
      <w:pPr>
        <w:pStyle w:val="Bodytext2"/>
        <w:rPr>
          <w:lang w:val="fi-FI"/>
        </w:rPr>
      </w:pPr>
    </w:p>
    <w:p w:rsidR="00A5642B" w:rsidRPr="00A5642B" w:rsidP="00A5642B" w14:paraId="5C466D41" w14:textId="2F08C04D">
      <w:pPr>
        <w:pStyle w:val="Bodytext2"/>
        <w:rPr>
          <w:lang w:val="fi-FI"/>
        </w:rPr>
      </w:pPr>
      <w:r w:rsidRPr="00A5642B">
        <w:rPr>
          <w:lang w:val="fi-FI"/>
        </w:rPr>
        <w:t>Koska kenttähuoltotyöt laskutetaan paikallises</w:t>
      </w:r>
      <w:r w:rsidRPr="00A5642B">
        <w:rPr>
          <w:lang w:val="fi-FI"/>
        </w:rPr>
        <w:t>sa valuutassa, konsernin liikevaihtoon kohdistuu valuuttakurssimuutoksista johtuvaa volatiliteettia. Vaikutus kannattavuuteen on kuitenkin rajallinen, koska myös kustannukset ovat samassa valuutassa. Varaosamyynti perustuu euromääräisiin hinnastoihin, ja n</w:t>
      </w:r>
      <w:r w:rsidRPr="00A5642B">
        <w:rPr>
          <w:lang w:val="fi-FI"/>
        </w:rPr>
        <w:t>iihin liittyvät ostot euroalueen ulkopuolisissa valuutoissa suojataan, joten valuuttakurssimuutokset vaikuttavat varaosamyyntiin vain vähäisesti. Koska projektien/laitteiden myynnit/ostot ja pitkäaikaisten sopimusten arvioidut valuuttariskit suojataan, kon</w:t>
      </w:r>
      <w:r w:rsidRPr="00A5642B">
        <w:rPr>
          <w:lang w:val="fi-FI"/>
        </w:rPr>
        <w:t>serni ei odota merkittäviä voittoja/tappioita valuuttakurssimuutoksista vuonna 202</w:t>
      </w:r>
      <w:r>
        <w:rPr>
          <w:lang w:val="fi-FI"/>
        </w:rPr>
        <w:t>2</w:t>
      </w:r>
      <w:r w:rsidRPr="00A5642B">
        <w:rPr>
          <w:lang w:val="fi-FI"/>
        </w:rPr>
        <w:t xml:space="preserve"> toiminnassaan lukuun</w:t>
      </w:r>
      <w:r w:rsidR="007D770E">
        <w:rPr>
          <w:lang w:val="fi-FI"/>
        </w:rPr>
        <w:t xml:space="preserve"> </w:t>
      </w:r>
      <w:r w:rsidRPr="00A5642B">
        <w:rPr>
          <w:lang w:val="fi-FI"/>
        </w:rPr>
        <w:t>ottamatta sisäistä rahoitusta.</w:t>
      </w:r>
    </w:p>
    <w:p w:rsidR="00A5642B" w:rsidRPr="00A5642B" w:rsidP="00A5642B" w14:paraId="14DA48A8" w14:textId="77777777">
      <w:pPr>
        <w:pStyle w:val="Bodytext2"/>
        <w:rPr>
          <w:lang w:val="fi-FI"/>
        </w:rPr>
      </w:pPr>
    </w:p>
    <w:p w:rsidR="00A5642B" w:rsidRPr="00A5642B" w:rsidP="00A5642B" w14:paraId="15221A0B" w14:textId="0D84C0E8">
      <w:pPr>
        <w:pStyle w:val="Bodytext2"/>
        <w:rPr>
          <w:color w:val="auto"/>
          <w:lang w:val="fi-FI"/>
        </w:rPr>
      </w:pPr>
      <w:r w:rsidRPr="00A5642B">
        <w:rPr>
          <w:lang w:val="fi-FI"/>
        </w:rPr>
        <w:t xml:space="preserve">Konsernissa käytetyt valuuttasuojausinstrumentit ja näiden nimellisarvot on eritelty liitetiedossa </w:t>
      </w:r>
      <w:r w:rsidR="009921DA">
        <w:rPr>
          <w:lang w:val="fi-FI"/>
        </w:rPr>
        <w:t>5.7</w:t>
      </w:r>
      <w:r w:rsidRPr="00A5642B">
        <w:rPr>
          <w:lang w:val="fi-FI"/>
        </w:rPr>
        <w:t>. Johdannaisinstr</w:t>
      </w:r>
      <w:r w:rsidRPr="00A5642B">
        <w:rPr>
          <w:lang w:val="fi-FI"/>
        </w:rPr>
        <w:t>umentit.</w:t>
      </w:r>
    </w:p>
    <w:p w:rsidR="00A5642B" w:rsidRPr="00A5642B" w:rsidP="00A5642B" w14:paraId="584DD6A3" w14:textId="77777777">
      <w:pPr>
        <w:pStyle w:val="Bodytext2"/>
        <w:rPr>
          <w:lang w:val="fi-FI"/>
        </w:rPr>
      </w:pPr>
    </w:p>
    <w:p w:rsidR="00A5642B" w:rsidRPr="00A5642B" w:rsidP="00A5642B" w14:paraId="4D70D9BF" w14:textId="1D8E2FDD">
      <w:pPr>
        <w:pStyle w:val="Bodytext2"/>
        <w:rPr>
          <w:lang w:val="fi-FI"/>
        </w:rPr>
      </w:pPr>
      <w:r w:rsidRPr="00A5642B">
        <w:rPr>
          <w:lang w:val="fi-FI"/>
        </w:rPr>
        <w:t>Koska Wärtsilällä on tytäryhtiöitä ja yhteisyrityksiä euroalueen ulkopuolella, ovat konsernin oma pääoma, liikearvo ja kauppahinnan kohdistukset alttiina valuuttakurssien vaihteluille. Vuoden 20</w:t>
      </w:r>
      <w:r>
        <w:rPr>
          <w:lang w:val="fi-FI"/>
        </w:rPr>
        <w:t>21</w:t>
      </w:r>
      <w:r w:rsidRPr="00A5642B">
        <w:rPr>
          <w:lang w:val="fi-FI"/>
        </w:rPr>
        <w:t xml:space="preserve"> lopussa Wärtsilän euroalueen ulkopuolisten tytäry</w:t>
      </w:r>
      <w:r w:rsidRPr="00A5642B">
        <w:rPr>
          <w:lang w:val="fi-FI"/>
        </w:rPr>
        <w:t xml:space="preserve">htiöiden ja yhteisyritysten nettovarallisuuden arvo oli </w:t>
      </w:r>
      <w:r>
        <w:rPr>
          <w:lang w:val="fi-FI"/>
        </w:rPr>
        <w:t>963</w:t>
      </w:r>
      <w:r w:rsidRPr="00A5642B">
        <w:rPr>
          <w:lang w:val="fi-FI"/>
        </w:rPr>
        <w:t xml:space="preserve"> milj</w:t>
      </w:r>
      <w:r>
        <w:rPr>
          <w:lang w:val="fi-FI"/>
        </w:rPr>
        <w:t>oonaa</w:t>
      </w:r>
      <w:r w:rsidRPr="00A5642B">
        <w:rPr>
          <w:lang w:val="fi-FI"/>
        </w:rPr>
        <w:t xml:space="preserve"> euroa (</w:t>
      </w:r>
      <w:r>
        <w:rPr>
          <w:lang w:val="fi-FI"/>
        </w:rPr>
        <w:t>956</w:t>
      </w:r>
      <w:r w:rsidRPr="00A5642B">
        <w:rPr>
          <w:lang w:val="fi-FI"/>
        </w:rPr>
        <w:t xml:space="preserve">). Lisäksi ulkomaanrahan määräistä, yrityshankinnoissa syntynyttä liikearvoa ja kauppahinnan kohdistuksia oli </w:t>
      </w:r>
      <w:r>
        <w:rPr>
          <w:lang w:val="fi-FI"/>
        </w:rPr>
        <w:t>900</w:t>
      </w:r>
      <w:r w:rsidRPr="00A5642B">
        <w:rPr>
          <w:lang w:val="fi-FI"/>
        </w:rPr>
        <w:t xml:space="preserve"> milj</w:t>
      </w:r>
      <w:r>
        <w:rPr>
          <w:lang w:val="fi-FI"/>
        </w:rPr>
        <w:t>oonaa</w:t>
      </w:r>
      <w:r w:rsidRPr="00A5642B">
        <w:rPr>
          <w:lang w:val="fi-FI"/>
        </w:rPr>
        <w:t xml:space="preserve"> euroa (</w:t>
      </w:r>
      <w:r>
        <w:rPr>
          <w:lang w:val="fi-FI"/>
        </w:rPr>
        <w:t>865</w:t>
      </w:r>
      <w:r w:rsidRPr="00A5642B">
        <w:rPr>
          <w:lang w:val="fi-FI"/>
        </w:rPr>
        <w:t>). Vuonna 202</w:t>
      </w:r>
      <w:r>
        <w:rPr>
          <w:lang w:val="fi-FI"/>
        </w:rPr>
        <w:t>1</w:t>
      </w:r>
      <w:r w:rsidRPr="00A5642B">
        <w:rPr>
          <w:lang w:val="fi-FI"/>
        </w:rPr>
        <w:t xml:space="preserve"> muuhun laajaan tulokseen ki</w:t>
      </w:r>
      <w:r w:rsidRPr="00A5642B">
        <w:rPr>
          <w:lang w:val="fi-FI"/>
        </w:rPr>
        <w:t>rjatut muuntoerot syntyivät pääosin Englannin punnan (GBP) kurssimuutoksista</w:t>
      </w:r>
    </w:p>
    <w:p w:rsidR="00A5642B" w:rsidRPr="00F924D3" w:rsidP="00A5642B" w14:paraId="75644595" w14:textId="77777777">
      <w:pPr>
        <w:pStyle w:val="Bodytext2"/>
        <w:rPr>
          <w:lang w:val="fi-FI"/>
        </w:rPr>
      </w:pPr>
    </w:p>
    <w:p w:rsidR="00A5642B" w:rsidRPr="009921DA" w:rsidP="00A5642B" w14:paraId="22CE6B2D" w14:textId="0F46C4E3">
      <w:pPr>
        <w:pStyle w:val="Bodytext2"/>
        <w:rPr>
          <w:lang w:val="fi-FI"/>
        </w:rPr>
      </w:pPr>
      <w:r w:rsidRPr="009921DA">
        <w:rPr>
          <w:lang w:val="fi-FI"/>
        </w:rPr>
        <w:t>Vuonna 20</w:t>
      </w:r>
      <w:r>
        <w:rPr>
          <w:lang w:val="fi-FI"/>
        </w:rPr>
        <w:t>21</w:t>
      </w:r>
      <w:r w:rsidRPr="009921DA">
        <w:rPr>
          <w:lang w:val="fi-FI"/>
        </w:rPr>
        <w:t xml:space="preserve"> 6</w:t>
      </w:r>
      <w:r>
        <w:rPr>
          <w:lang w:val="fi-FI"/>
        </w:rPr>
        <w:t>0</w:t>
      </w:r>
      <w:r w:rsidRPr="009921DA">
        <w:rPr>
          <w:lang w:val="fi-FI"/>
        </w:rPr>
        <w:t>% (</w:t>
      </w:r>
      <w:r>
        <w:rPr>
          <w:lang w:val="fi-FI"/>
        </w:rPr>
        <w:t>65</w:t>
      </w:r>
      <w:r w:rsidRPr="009921DA">
        <w:rPr>
          <w:lang w:val="fi-FI"/>
        </w:rPr>
        <w:t xml:space="preserve">) myynnistä ja </w:t>
      </w:r>
      <w:r>
        <w:rPr>
          <w:lang w:val="fi-FI"/>
        </w:rPr>
        <w:t>54</w:t>
      </w:r>
      <w:r w:rsidRPr="009921DA">
        <w:rPr>
          <w:lang w:val="fi-FI"/>
        </w:rPr>
        <w:t>% (</w:t>
      </w:r>
      <w:r>
        <w:rPr>
          <w:lang w:val="fi-FI"/>
        </w:rPr>
        <w:t>61</w:t>
      </w:r>
      <w:r w:rsidRPr="009921DA">
        <w:rPr>
          <w:lang w:val="fi-FI"/>
        </w:rPr>
        <w:t>) operatiivisista kuluista oli euromääräisiä, ja 2</w:t>
      </w:r>
      <w:r>
        <w:rPr>
          <w:lang w:val="fi-FI"/>
        </w:rPr>
        <w:t>5</w:t>
      </w:r>
      <w:r w:rsidRPr="009921DA">
        <w:rPr>
          <w:lang w:val="fi-FI"/>
        </w:rPr>
        <w:t>% (2</w:t>
      </w:r>
      <w:r>
        <w:rPr>
          <w:lang w:val="fi-FI"/>
        </w:rPr>
        <w:t>0</w:t>
      </w:r>
      <w:r w:rsidRPr="009921DA">
        <w:rPr>
          <w:lang w:val="fi-FI"/>
        </w:rPr>
        <w:t>) myynnistä ja 1</w:t>
      </w:r>
      <w:r>
        <w:rPr>
          <w:lang w:val="fi-FI"/>
        </w:rPr>
        <w:t>8</w:t>
      </w:r>
      <w:r w:rsidRPr="009921DA">
        <w:rPr>
          <w:lang w:val="fi-FI"/>
        </w:rPr>
        <w:t>% (</w:t>
      </w:r>
      <w:r>
        <w:rPr>
          <w:lang w:val="fi-FI"/>
        </w:rPr>
        <w:t>11</w:t>
      </w:r>
      <w:r w:rsidRPr="009921DA">
        <w:rPr>
          <w:lang w:val="fi-FI"/>
        </w:rPr>
        <w:t>) operatiivisista kuluista oli Yhdysvaltain dollareita. Loppu jakautui usean valuutan kesken. Konsernin tulokseen ja kilpailukykyyn vaikuttavat välillisesti myös pääkilpailijoiden kotivaluutat: USD, GBP, JPY sekä KRW.</w:t>
      </w:r>
    </w:p>
    <w:p w:rsidR="00A5642B" w:rsidRPr="009921DA" w:rsidP="00A5642B" w14:paraId="63F27589" w14:textId="77777777">
      <w:pPr>
        <w:pStyle w:val="Bodytext2"/>
        <w:rPr>
          <w:lang w:val="fi-FI"/>
        </w:rPr>
      </w:pPr>
    </w:p>
    <w:p w:rsidR="00A5642B" w:rsidRPr="00C44E69" w:rsidP="00A5642B" w14:paraId="679400F4" w14:textId="670126E8">
      <w:pPr>
        <w:pStyle w:val="Bodytext2"/>
        <w:rPr>
          <w:sz w:val="2"/>
          <w:szCs w:val="2"/>
          <w:lang w:val="fi-FI"/>
        </w:rPr>
      </w:pPr>
      <w:r w:rsidRPr="009921DA">
        <w:rPr>
          <w:lang w:val="fi-FI"/>
        </w:rPr>
        <w:t xml:space="preserve">Koska </w:t>
      </w:r>
      <w:bookmarkStart w:id="1483" w:name="XBRL_CS_1006c33ce1d34e64b44d9d6bf8ab1d58"/>
      <w:r w:rsidRPr="008A61E0">
        <w:rPr>
          <w:lang w:val="fi-FI"/>
        </w:rPr>
        <w:t>Wärtsilän toiminta on globaalia</w:t>
      </w:r>
      <w:bookmarkStart w:id="1484" w:name="XBRL_CE_1006c33ce1d34e64b44d9d6bf8ab1d58"/>
      <w:bookmarkEnd w:id="1483"/>
      <w:bookmarkEnd w:id="1484"/>
      <w:r w:rsidRPr="009921DA">
        <w:rPr>
          <w:lang w:val="fi-FI"/>
        </w:rPr>
        <w:t>, siihen liittyy usein valuuttariskejä. Suurimmat avoimet operatiiviset valuuttapositiot (pois</w:t>
      </w:r>
      <w:r w:rsidR="009D19D0">
        <w:rPr>
          <w:lang w:val="fi-FI"/>
        </w:rPr>
        <w:t xml:space="preserve"> </w:t>
      </w:r>
      <w:r w:rsidRPr="009921DA">
        <w:rPr>
          <w:lang w:val="fi-FI"/>
        </w:rPr>
        <w:t>lukien rahoitus) per 31.12.20</w:t>
      </w:r>
      <w:r>
        <w:rPr>
          <w:lang w:val="fi-FI"/>
        </w:rPr>
        <w:t>21</w:t>
      </w:r>
      <w:r w:rsidRPr="009921DA">
        <w:rPr>
          <w:lang w:val="fi-FI"/>
        </w:rPr>
        <w:t xml:space="preserve"> on listattu alle.</w:t>
      </w:r>
      <w:r>
        <w:rPr>
          <w:lang w:val="fi-FI"/>
        </w:rPr>
        <w:br w:type="column"/>
      </w:r>
    </w:p>
    <w:p w:rsidR="00A5642B" w:rsidP="00A5642B" w14:paraId="6B082B13" w14:textId="21AF5CF3">
      <w:pPr>
        <w:pStyle w:val="Heading13"/>
      </w:pPr>
      <w:r>
        <w:t>2021</w:t>
      </w:r>
    </w:p>
    <w:tbl>
      <w:tblPr>
        <w:tblStyle w:val="TableNormal"/>
        <w:tblCaption w:val="table_58_currency_positions"/>
        <w:tblW w:w="7350" w:type="dxa"/>
        <w:tblLayout w:type="fixed"/>
        <w:tblLook w:val="0600"/>
      </w:tblPr>
      <w:tblGrid>
        <w:gridCol w:w="2130"/>
        <w:gridCol w:w="870"/>
        <w:gridCol w:w="870"/>
        <w:gridCol w:w="870"/>
        <w:gridCol w:w="870"/>
        <w:gridCol w:w="870"/>
        <w:gridCol w:w="870"/>
      </w:tblGrid>
      <w:tr>
        <w:tblPrEx>
          <w:tblW w:w="7350" w:type="dxa"/>
          <w:tblLayout w:type="fixed"/>
          <w:tblLook w:val="0600"/>
        </w:tblPrEx>
        <w:trPr>
          <w:trHeight w:val="240"/>
        </w:trPr>
        <w:tc>
          <w:tcPr>
            <w:tcW w:w="2130"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740" w:type="dxa"/>
            <w:gridSpan w:val="2"/>
            <w:tcBorders>
              <w:top w:val="nil"/>
              <w:left w:val="nil"/>
              <w:bottom w:val="nil"/>
              <w:right w:val="nil"/>
              <w:tl2br w:val="nil"/>
              <w:tr2bl w:val="nil"/>
            </w:tcBorders>
            <w:shd w:val="clear" w:color="FFFFFF" w:fill="EFEFEF"/>
            <w:noWrap w:val="0"/>
            <w:tcMar>
              <w:left w:w="40" w:type="dxa"/>
              <w:right w:w="40" w:type="dxa"/>
            </w:tcMar>
            <w:textDirection w:val="lrTb"/>
            <w:tcFitText w:val="0"/>
            <w:vAlign w:val="top"/>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Tase</w:t>
            </w:r>
          </w:p>
        </w:tc>
        <w:tc>
          <w:tcPr>
            <w:tcW w:w="1740" w:type="dxa"/>
            <w:gridSpan w:val="2"/>
            <w:tcBorders>
              <w:top w:val="nil"/>
              <w:left w:val="nil"/>
              <w:bottom w:val="nil"/>
              <w:right w:val="nil"/>
              <w:tl2br w:val="nil"/>
              <w:tr2bl w:val="nil"/>
            </w:tcBorders>
            <w:shd w:val="clear" w:color="FFFFFF" w:fill="EFEFEF"/>
            <w:noWrap w:val="0"/>
            <w:tcMar>
              <w:left w:w="40" w:type="dxa"/>
              <w:right w:w="40" w:type="dxa"/>
            </w:tcMar>
            <w:textDirection w:val="lrTb"/>
            <w:tcFitText w:val="0"/>
            <w:vAlign w:val="top"/>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Arvioidut  rahavirrat</w:t>
            </w:r>
          </w:p>
        </w:tc>
        <w:tc>
          <w:tcPr>
            <w:tcW w:w="870" w:type="dxa"/>
            <w:tcBorders>
              <w:top w:val="nil"/>
              <w:left w:val="nil"/>
              <w:bottom w:val="nil"/>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870"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Konserni</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saa perus-</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valuuttaa</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Konserni</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maksaa</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perus-</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valuuttaa</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Konserni</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saa perus-</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valuuttaa</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Konserni</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maksaa</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perus-</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valuuttaa</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Netto</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EUR/USD</w:t>
            </w: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71</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196</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154</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934</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905</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USD/NOK</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36</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400</w:t>
            </w: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429</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EUR/NOK</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94</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48</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156</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198</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EUR/CNY</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25</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22</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107</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106</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EUR/GBP</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28</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88</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89</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EUR/AUD</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77</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59</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EUR/SGD</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26</w:t>
            </w: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32</w:t>
            </w:r>
          </w:p>
        </w:tc>
      </w:tr>
    </w:tbl>
    <w:p w:rsidR="00A5642B" w:rsidP="00A5642B" w14:paraId="6E31CC93" w14:textId="77777777">
      <w:pPr>
        <w:pStyle w:val="Bodytext2"/>
      </w:pPr>
    </w:p>
    <w:p w:rsidR="00A5642B" w:rsidP="00A5642B" w14:paraId="07820869" w14:textId="1B5571E1">
      <w:pPr>
        <w:pStyle w:val="Heading13"/>
      </w:pPr>
      <w:r>
        <w:t>2020</w:t>
      </w:r>
    </w:p>
    <w:tbl>
      <w:tblPr>
        <w:tblStyle w:val="TableNormal"/>
        <w:tblCaption w:val="table_58_currency_positions_pre"/>
        <w:tblW w:w="7350" w:type="dxa"/>
        <w:tblLayout w:type="fixed"/>
        <w:tblLook w:val="0600"/>
      </w:tblPr>
      <w:tblGrid>
        <w:gridCol w:w="2130"/>
        <w:gridCol w:w="870"/>
        <w:gridCol w:w="870"/>
        <w:gridCol w:w="870"/>
        <w:gridCol w:w="870"/>
        <w:gridCol w:w="870"/>
        <w:gridCol w:w="870"/>
      </w:tblGrid>
      <w:tr>
        <w:tblPrEx>
          <w:tblW w:w="7350" w:type="dxa"/>
          <w:tblLayout w:type="fixed"/>
          <w:tblLook w:val="0600"/>
        </w:tblPrEx>
        <w:trPr>
          <w:trHeight w:val="240"/>
        </w:trPr>
        <w:tc>
          <w:tcPr>
            <w:tcW w:w="2130"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740" w:type="dxa"/>
            <w:gridSpan w:val="2"/>
            <w:tcBorders>
              <w:top w:val="nil"/>
              <w:left w:val="nil"/>
              <w:bottom w:val="nil"/>
              <w:right w:val="nil"/>
              <w:tl2br w:val="nil"/>
              <w:tr2bl w:val="nil"/>
            </w:tcBorders>
            <w:shd w:val="clear" w:color="FFFFFF" w:fill="EFEFEF"/>
            <w:noWrap w:val="0"/>
            <w:tcMar>
              <w:left w:w="40" w:type="dxa"/>
              <w:right w:w="40" w:type="dxa"/>
            </w:tcMar>
            <w:textDirection w:val="lrTb"/>
            <w:tcFitText w:val="0"/>
            <w:vAlign w:val="top"/>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Tase</w:t>
            </w:r>
          </w:p>
        </w:tc>
        <w:tc>
          <w:tcPr>
            <w:tcW w:w="1740" w:type="dxa"/>
            <w:gridSpan w:val="2"/>
            <w:tcBorders>
              <w:top w:val="nil"/>
              <w:left w:val="nil"/>
              <w:bottom w:val="nil"/>
              <w:right w:val="nil"/>
              <w:tl2br w:val="nil"/>
              <w:tr2bl w:val="nil"/>
            </w:tcBorders>
            <w:shd w:val="clear" w:color="FFFFFF" w:fill="EFEFEF"/>
            <w:noWrap w:val="0"/>
            <w:tcMar>
              <w:left w:w="40" w:type="dxa"/>
              <w:right w:w="40" w:type="dxa"/>
            </w:tcMar>
            <w:textDirection w:val="lrTb"/>
            <w:tcFitText w:val="0"/>
            <w:vAlign w:val="top"/>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Arvioidut  rahavirrat</w:t>
            </w:r>
          </w:p>
        </w:tc>
        <w:tc>
          <w:tcPr>
            <w:tcW w:w="870" w:type="dxa"/>
            <w:tcBorders>
              <w:top w:val="nil"/>
              <w:left w:val="nil"/>
              <w:bottom w:val="nil"/>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870"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Konserni</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saa perus-</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valuuttaa</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Konserni</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maksaa</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perus-</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valuuttaa</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Konserni</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saa perus-</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valuuttaa</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Konserni</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maksaa</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perus-</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valuuttaa</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Netto</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EUR/USD</w:t>
            </w: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42</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53</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147</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303</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167</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EUR/NOK</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30</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281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310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USD/NOK</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30</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231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259</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EUR/CNY</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65</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63</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EUR/GBP</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89</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88</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EUR/SGD</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26</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EUR/JPY</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22</w:t>
            </w:r>
          </w:p>
        </w:tc>
      </w:tr>
    </w:tbl>
    <w:p w:rsidR="00A5642B" w:rsidP="00A5642B" w14:paraId="0918CA44" w14:textId="77777777">
      <w:pPr>
        <w:pStyle w:val="Bodytext2"/>
      </w:pPr>
    </w:p>
    <w:p w:rsidR="00A5642B" w:rsidRPr="009921DA" w:rsidP="00A5642B" w14:paraId="17144C07" w14:textId="3A5650A2">
      <w:pPr>
        <w:pStyle w:val="Bodytext2"/>
        <w:rPr>
          <w:lang w:val="fi-FI"/>
        </w:rPr>
      </w:pPr>
      <w:r w:rsidRPr="009921DA">
        <w:rPr>
          <w:lang w:val="fi-FI"/>
        </w:rPr>
        <w:t xml:space="preserve">Koska konsernin pääasiallinen rahoitusvaluutta on euro ja tytäryhtiöt yleensä rahoitetaan niiden paikallisissa valuutoissaan keskitetyn rahoitustoiminnon toimesta, keskitetyllä rahoitustoiminnolla oli seuraavat rahoitukseen liittyvät valuuttapositiot auki </w:t>
      </w:r>
      <w:r w:rsidRPr="009921DA">
        <w:rPr>
          <w:lang w:val="fi-FI"/>
        </w:rPr>
        <w:t>per 31.12.20</w:t>
      </w:r>
      <w:r>
        <w:rPr>
          <w:lang w:val="fi-FI"/>
        </w:rPr>
        <w:t>21</w:t>
      </w:r>
      <w:r w:rsidRPr="009921DA">
        <w:rPr>
          <w:lang w:val="fi-FI"/>
        </w:rPr>
        <w:t>.</w:t>
      </w:r>
    </w:p>
    <w:p w:rsidR="00A5642B" w:rsidRPr="009921DA" w:rsidP="00A5642B" w14:paraId="00B55A4D" w14:textId="77777777">
      <w:pPr>
        <w:pStyle w:val="Bodytext2"/>
        <w:rPr>
          <w:lang w:val="fi-FI"/>
        </w:rPr>
      </w:pPr>
    </w:p>
    <w:tbl>
      <w:tblPr>
        <w:tblStyle w:val="TableNormal"/>
        <w:tblCaption w:val="table_58_open_currency_positions"/>
        <w:tblW w:w="7350" w:type="dxa"/>
        <w:tblLayout w:type="fixed"/>
        <w:tblLook w:val="0600"/>
      </w:tblPr>
      <w:tblGrid>
        <w:gridCol w:w="2130"/>
        <w:gridCol w:w="870"/>
        <w:gridCol w:w="870"/>
        <w:gridCol w:w="870"/>
        <w:gridCol w:w="870"/>
        <w:gridCol w:w="870"/>
        <w:gridCol w:w="870"/>
      </w:tblGrid>
      <w:tr>
        <w:tblPrEx>
          <w:tblW w:w="7350" w:type="dxa"/>
          <w:tblLayout w:type="fixed"/>
          <w:tblLook w:val="0600"/>
        </w:tblPrEx>
        <w:trPr>
          <w:trHeight w:val="240"/>
        </w:trPr>
        <w:tc>
          <w:tcPr>
            <w:tcW w:w="2130" w:type="dxa"/>
            <w:tcBorders>
              <w:top w:val="nil"/>
              <w:left w:val="nil"/>
              <w:bottom w:val="nil"/>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nil"/>
              <w:left w:val="nil"/>
              <w:bottom w:val="nil"/>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nil"/>
              <w:left w:val="nil"/>
              <w:bottom w:val="nil"/>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nil"/>
              <w:left w:val="nil"/>
              <w:bottom w:val="nil"/>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870" w:type="dxa"/>
            <w:tcBorders>
              <w:top w:val="nil"/>
              <w:left w:val="nil"/>
              <w:bottom w:val="nil"/>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nil"/>
              <w:left w:val="nil"/>
              <w:bottom w:val="nil"/>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nil"/>
              <w:left w:val="nil"/>
              <w:bottom w:val="nil"/>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Velat</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Talletukset</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Netto</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Velat</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Talletukset</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Netto</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Konsernin sisäiset velat/talletukset</w:t>
            </w: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USD</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216</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56</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282</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266</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GBP</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76</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43</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32</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68</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60</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CHF</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53</w:t>
            </w: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53</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61</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61</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AUD</w:t>
            </w: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49</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49</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NOK</w:t>
            </w: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SGD</w:t>
            </w: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CNY</w:t>
            </w: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CAD</w:t>
            </w: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valuutat*</w:t>
            </w: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center"/>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Ulkopuoliset velat/talletukset</w:t>
            </w: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JPY</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153**</w:t>
            </w: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153</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237**</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237</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8" w:space="0" w:color="0F172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USD</w:t>
            </w: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w:t>
            </w: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443</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330</w:t>
            </w: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366</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388</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455</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692</w:t>
            </w:r>
          </w:p>
        </w:tc>
      </w:tr>
    </w:tbl>
    <w:p w:rsidR="00A5642B" w:rsidP="00A5642B" w14:paraId="2190FA51" w14:textId="77777777">
      <w:pPr>
        <w:pStyle w:val="Bodytext2"/>
      </w:pPr>
    </w:p>
    <w:p w:rsidR="009921DA" w:rsidRPr="009921DA" w:rsidP="009921DA" w14:paraId="07F3DA3E" w14:textId="77777777">
      <w:pPr>
        <w:pStyle w:val="Bodytext2"/>
        <w:rPr>
          <w:lang w:val="fi-FI"/>
        </w:rPr>
      </w:pPr>
      <w:r w:rsidRPr="009921DA">
        <w:rPr>
          <w:lang w:val="fi-FI"/>
        </w:rPr>
        <w:t>* Muut valuutat ei netotu, koska sisältää eri valuuttoja.</w:t>
      </w:r>
    </w:p>
    <w:p w:rsidR="00A5642B" w:rsidRPr="009921DA" w:rsidP="009921DA" w14:paraId="10CEE482" w14:textId="75B1B13F">
      <w:pPr>
        <w:pStyle w:val="Bodytext2"/>
        <w:rPr>
          <w:lang w:val="fi-FI"/>
        </w:rPr>
      </w:pPr>
      <w:r w:rsidRPr="009921DA">
        <w:rPr>
          <w:lang w:val="fi-FI"/>
        </w:rPr>
        <w:t>** Ulkopuoliset JPY-lainat suojataan täysimääräisesti valuutan- ja koronvaihtosopimuksilla.</w:t>
      </w:r>
    </w:p>
    <w:p w:rsidR="00A5642B" w:rsidRPr="009921DA" w:rsidP="00A5642B" w14:paraId="6C21180E" w14:textId="77777777">
      <w:pPr>
        <w:pStyle w:val="Bodytext2"/>
        <w:rPr>
          <w:lang w:val="fi-FI"/>
        </w:rPr>
      </w:pPr>
    </w:p>
    <w:p w:rsidR="009921DA" w:rsidRPr="009921DA" w:rsidP="009921DA" w14:paraId="2BF6BE9B" w14:textId="55A6A829">
      <w:pPr>
        <w:pStyle w:val="Bodytext2"/>
        <w:rPr>
          <w:lang w:val="fi-FI"/>
        </w:rPr>
      </w:pPr>
      <w:r w:rsidRPr="009921DA">
        <w:rPr>
          <w:lang w:val="fi-FI"/>
        </w:rPr>
        <w:t>Eräillä tytäryhtiöillä maissa, joiden valuutat ei</w:t>
      </w:r>
      <w:r w:rsidRPr="009921DA">
        <w:rPr>
          <w:lang w:val="fi-FI"/>
        </w:rPr>
        <w:t xml:space="preserve">vät ole vapaasti vaihdettavia, kuten Argentiinassa, Brasiliassa ja Indonesiassa, on suojaamattomia EUR tai USD määräisiä konsernin sisäisiä lainoja, joista voi aiheutua valuuttakurssieroja. Näiden lainojen kokonaismäärä on </w:t>
      </w:r>
      <w:r>
        <w:rPr>
          <w:lang w:val="fi-FI"/>
        </w:rPr>
        <w:t>41</w:t>
      </w:r>
      <w:r w:rsidRPr="009921DA">
        <w:rPr>
          <w:lang w:val="fi-FI"/>
        </w:rPr>
        <w:t xml:space="preserve"> milj</w:t>
      </w:r>
      <w:r>
        <w:rPr>
          <w:lang w:val="fi-FI"/>
        </w:rPr>
        <w:t>oonaa</w:t>
      </w:r>
      <w:r w:rsidRPr="009921DA">
        <w:rPr>
          <w:lang w:val="fi-FI"/>
        </w:rPr>
        <w:t xml:space="preserve"> euroa (</w:t>
      </w:r>
      <w:r>
        <w:rPr>
          <w:lang w:val="fi-FI"/>
        </w:rPr>
        <w:t>66</w:t>
      </w:r>
      <w:r w:rsidRPr="009921DA">
        <w:rPr>
          <w:lang w:val="fi-FI"/>
        </w:rPr>
        <w:t>).</w:t>
      </w:r>
    </w:p>
    <w:p w:rsidR="009921DA" w:rsidRPr="009921DA" w:rsidP="009921DA" w14:paraId="33FB0AF0" w14:textId="5C920D5D">
      <w:pPr>
        <w:pStyle w:val="Bodytext2"/>
        <w:rPr>
          <w:lang w:val="fi-FI"/>
        </w:rPr>
      </w:pPr>
    </w:p>
    <w:p w:rsidR="00A5642B" w:rsidRPr="009921DA" w:rsidP="009921DA" w14:paraId="134312C7" w14:textId="3EAE579F">
      <w:pPr>
        <w:pStyle w:val="Bodytext2"/>
        <w:rPr>
          <w:lang w:val="fi-FI"/>
        </w:rPr>
      </w:pPr>
      <w:r>
        <w:rPr>
          <w:lang w:val="fi-FI"/>
        </w:rPr>
        <w:t>Wärtsil</w:t>
      </w:r>
      <w:r>
        <w:rPr>
          <w:lang w:val="fi-FI"/>
        </w:rPr>
        <w:t>ä ei suojaa muuntoriskiä. Konsernille merkittävimmät valuutat on esitetty liitetiedossa 6.6. Tilinpäätöskursseja.</w:t>
      </w:r>
    </w:p>
    <w:p w:rsidR="00A5642B" w:rsidRPr="009921DA" w:rsidP="00A5642B" w14:paraId="0F341DB5" w14:textId="6A31D7F0">
      <w:pPr>
        <w:pStyle w:val="Bodytext2"/>
        <w:rPr>
          <w:lang w:val="fi-FI"/>
        </w:rPr>
      </w:pPr>
    </w:p>
    <w:p w:rsidR="00A5642B" w:rsidRPr="009921DA" w:rsidP="00A5642B" w14:paraId="5D64722F" w14:textId="1DAB8AAB">
      <w:pPr>
        <w:pStyle w:val="Heading13"/>
        <w:rPr>
          <w:lang w:val="fi-FI"/>
        </w:rPr>
      </w:pPr>
      <w:r>
        <w:rPr>
          <w:lang w:val="fi-FI"/>
        </w:rPr>
        <w:t>Korkoriski</w:t>
      </w:r>
    </w:p>
    <w:p w:rsidR="00A5642B" w:rsidRPr="009921DA" w:rsidP="00A5642B" w14:paraId="717D4F36" w14:textId="338DE0DE">
      <w:pPr>
        <w:pStyle w:val="Bodytext2"/>
        <w:rPr>
          <w:lang w:val="fi-FI"/>
        </w:rPr>
      </w:pPr>
      <w:r w:rsidRPr="009921DA">
        <w:rPr>
          <w:lang w:val="fi-FI"/>
        </w:rPr>
        <w:t>Wärtsilä</w:t>
      </w:r>
      <w:r>
        <w:rPr>
          <w:lang w:val="fi-FI"/>
        </w:rPr>
        <w:t xml:space="preserve">n </w:t>
      </w:r>
      <w:r w:rsidRPr="009921DA">
        <w:rPr>
          <w:lang w:val="fi-FI"/>
        </w:rPr>
        <w:t>korkoriski muodostuu pääasiallisesti nettomääräisen lainasalkun arvon muutoksista (hintariski) sekä korkojen vaihtelusta</w:t>
      </w:r>
      <w:r w:rsidRPr="009921DA">
        <w:rPr>
          <w:lang w:val="fi-FI"/>
        </w:rPr>
        <w:t xml:space="preserve"> (vaihtuvakorkoisten lainojen koronmuutokset). Korkoriskejä seurataan mittaamalla jatkuvasti rahoitusinstrumenttien markkina-arvoja sekä tekemällä herkkyysanalyysia.</w:t>
      </w:r>
    </w:p>
    <w:p w:rsidR="00A5642B" w:rsidRPr="009921DA" w:rsidP="00A5642B" w14:paraId="6F54B829" w14:textId="77777777">
      <w:pPr>
        <w:pStyle w:val="Bodytext2"/>
        <w:rPr>
          <w:lang w:val="fi-FI"/>
        </w:rPr>
      </w:pPr>
    </w:p>
    <w:p w:rsidR="00A5642B" w:rsidRPr="009921DA" w:rsidP="00A5642B" w14:paraId="2029EC51" w14:textId="08D57114">
      <w:pPr>
        <w:pStyle w:val="Bodytext2"/>
        <w:rPr>
          <w:lang w:val="fi-FI"/>
        </w:rPr>
      </w:pPr>
      <w:r w:rsidRPr="009921DA">
        <w:rPr>
          <w:lang w:val="fi-FI"/>
        </w:rPr>
        <w:t>Korollinen velka oli vuoden 20</w:t>
      </w:r>
      <w:r>
        <w:rPr>
          <w:lang w:val="fi-FI"/>
        </w:rPr>
        <w:t>21</w:t>
      </w:r>
      <w:r w:rsidRPr="009921DA">
        <w:rPr>
          <w:lang w:val="fi-FI"/>
        </w:rPr>
        <w:t xml:space="preserve"> lopussa </w:t>
      </w:r>
      <w:r>
        <w:rPr>
          <w:lang w:val="fi-FI"/>
        </w:rPr>
        <w:t>776</w:t>
      </w:r>
      <w:r w:rsidRPr="009921DA">
        <w:rPr>
          <w:lang w:val="fi-FI"/>
        </w:rPr>
        <w:t xml:space="preserve"> mil</w:t>
      </w:r>
      <w:r>
        <w:rPr>
          <w:lang w:val="fi-FI"/>
        </w:rPr>
        <w:t>joonaa</w:t>
      </w:r>
      <w:r w:rsidRPr="009921DA">
        <w:rPr>
          <w:lang w:val="fi-FI"/>
        </w:rPr>
        <w:t xml:space="preserve"> euroa (</w:t>
      </w:r>
      <w:r>
        <w:rPr>
          <w:lang w:val="fi-FI"/>
        </w:rPr>
        <w:t>1.161</w:t>
      </w:r>
      <w:r w:rsidRPr="009921DA">
        <w:rPr>
          <w:lang w:val="fi-FI"/>
        </w:rPr>
        <w:t xml:space="preserve">). </w:t>
      </w:r>
      <w:r w:rsidRPr="009921DA">
        <w:rPr>
          <w:lang w:val="fi-FI"/>
        </w:rPr>
        <w:t>Keskikorko oli 0,</w:t>
      </w:r>
      <w:r>
        <w:rPr>
          <w:lang w:val="fi-FI"/>
        </w:rPr>
        <w:t>6</w:t>
      </w:r>
      <w:r w:rsidRPr="009921DA">
        <w:rPr>
          <w:lang w:val="fi-FI"/>
        </w:rPr>
        <w:t>% (</w:t>
      </w:r>
      <w:r>
        <w:rPr>
          <w:lang w:val="fi-FI"/>
        </w:rPr>
        <w:t>0</w:t>
      </w:r>
      <w:r w:rsidRPr="009921DA">
        <w:rPr>
          <w:lang w:val="fi-FI"/>
        </w:rPr>
        <w:t>,</w:t>
      </w:r>
      <w:r>
        <w:rPr>
          <w:lang w:val="fi-FI"/>
        </w:rPr>
        <w:t>8</w:t>
      </w:r>
      <w:r w:rsidRPr="009921DA">
        <w:rPr>
          <w:lang w:val="fi-FI"/>
        </w:rPr>
        <w:t>) ja keskimääräinen korkosidonnaisuusaika 1</w:t>
      </w:r>
      <w:r>
        <w:rPr>
          <w:lang w:val="fi-FI"/>
        </w:rPr>
        <w:t>4</w:t>
      </w:r>
      <w:r w:rsidRPr="009921DA">
        <w:rPr>
          <w:lang w:val="fi-FI"/>
        </w:rPr>
        <w:t xml:space="preserve"> kuukautta (</w:t>
      </w:r>
      <w:r>
        <w:rPr>
          <w:lang w:val="fi-FI"/>
        </w:rPr>
        <w:t>13</w:t>
      </w:r>
      <w:r w:rsidRPr="009921DA">
        <w:rPr>
          <w:lang w:val="fi-FI"/>
        </w:rPr>
        <w:t>).</w:t>
      </w:r>
    </w:p>
    <w:p w:rsidR="00A5642B" w:rsidRPr="009921DA" w:rsidP="00A5642B" w14:paraId="035B96CD" w14:textId="77777777">
      <w:pPr>
        <w:pStyle w:val="Bodytext2"/>
        <w:rPr>
          <w:lang w:val="fi-FI"/>
        </w:rPr>
      </w:pPr>
    </w:p>
    <w:p w:rsidR="00A5642B" w:rsidRPr="00F924D3" w:rsidP="00A5642B" w14:paraId="6BB4F2DD" w14:textId="2E21138D">
      <w:pPr>
        <w:pStyle w:val="Bodytext2"/>
        <w:rPr>
          <w:lang w:val="fi-FI"/>
        </w:rPr>
      </w:pPr>
      <w:r w:rsidRPr="0001456E">
        <w:rPr>
          <w:lang w:val="fi-FI"/>
        </w:rPr>
        <w:t xml:space="preserve">Wärtsilä hajauttaa korkoriskejään ottamalla sekä kiinteä- että vaihtuvakorkoista velkaa. Kiinteäkorkoisen velan suhde koko velkasalkkuun saa vaihdella 30 ja 70 prosentin </w:t>
      </w:r>
      <w:r w:rsidRPr="0001456E">
        <w:rPr>
          <w:lang w:val="fi-FI"/>
        </w:rPr>
        <w:t xml:space="preserve">välillä. Hallitus on antanut valtuutuksen väliaikaisesti kasvattaa kiinteäkorkoisten lainojen osuutta 100%:iin, ja valtuutus on voimassa tammikuuhun 2022. </w:t>
      </w:r>
      <w:r w:rsidRPr="00F924D3">
        <w:rPr>
          <w:lang w:val="fi-FI"/>
        </w:rPr>
        <w:t>Wärtsilä suojaa lainaportfolionsa johdannaisilla, kuten koronvaihtosopimuksilla, futuureilla sekä opt</w:t>
      </w:r>
      <w:r w:rsidRPr="00F924D3">
        <w:rPr>
          <w:lang w:val="fi-FI"/>
        </w:rPr>
        <w:t>ioilla.</w:t>
      </w:r>
    </w:p>
    <w:p w:rsidR="00A5642B" w:rsidRPr="00F924D3" w:rsidP="00A5642B" w14:paraId="17D5F190" w14:textId="77777777">
      <w:pPr>
        <w:pStyle w:val="Bodytext2"/>
        <w:rPr>
          <w:lang w:val="fi-FI"/>
        </w:rPr>
      </w:pPr>
    </w:p>
    <w:tbl>
      <w:tblPr>
        <w:tblStyle w:val="TableNormal"/>
        <w:tblCaption w:val="table_58_share_of_fixed_loans"/>
        <w:tblW w:w="7350" w:type="dxa"/>
        <w:tblLayout w:type="fixed"/>
        <w:tblLook w:val="0600"/>
      </w:tblPr>
      <w:tblGrid>
        <w:gridCol w:w="2130"/>
        <w:gridCol w:w="870"/>
        <w:gridCol w:w="870"/>
        <w:gridCol w:w="870"/>
        <w:gridCol w:w="870"/>
        <w:gridCol w:w="870"/>
        <w:gridCol w:w="870"/>
      </w:tblGrid>
      <w:tr>
        <w:tblPrEx>
          <w:tblW w:w="7350" w:type="dxa"/>
          <w:tblLayout w:type="fixed"/>
          <w:tblLook w:val="0600"/>
        </w:tblPrEx>
        <w:trPr>
          <w:trHeight w:val="240"/>
        </w:trPr>
        <w:tc>
          <w:tcPr>
            <w:tcW w:w="213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870"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5610" w:type="dxa"/>
            <w:gridSpan w:val="5"/>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Kiinteäkorkoiset lainat</w:t>
            </w:r>
          </w:p>
        </w:tc>
        <w:tc>
          <w:tcPr>
            <w:tcW w:w="870" w:type="dxa"/>
            <w:tcBorders>
              <w:top w:val="single" w:sz="8" w:space="0" w:color="0F172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250</w:t>
            </w:r>
          </w:p>
        </w:tc>
        <w:tc>
          <w:tcPr>
            <w:tcW w:w="87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366</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5610" w:type="dxa"/>
            <w:gridSpan w:val="5"/>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Vaihtuvakorkoiset lainat</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526</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796</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5610" w:type="dxa"/>
            <w:gridSpan w:val="5"/>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Johdannaiset</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404</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424</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5610" w:type="dxa"/>
            <w:gridSpan w:val="5"/>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Kiinteäkorkoisten lainojen osuus kokonaislainasta (mukaanlukien johdannaiset), %</w:t>
            </w:r>
          </w:p>
        </w:tc>
        <w:tc>
          <w:tcPr>
            <w:tcW w:w="870" w:type="dxa"/>
            <w:tcBorders>
              <w:top w:val="single" w:sz="4" w:space="0" w:color="004A6B"/>
              <w:left w:val="nil"/>
              <w:bottom w:val="single" w:sz="4" w:space="0" w:color="004A6B"/>
              <w:right w:val="nil"/>
              <w:tl2br w:val="nil"/>
              <w:tr2bl w:val="nil"/>
            </w:tcBorders>
            <w:shd w:val="clear" w:color="FFFFFF" w:fill="E7EBED"/>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84</w:t>
            </w:r>
          </w:p>
        </w:tc>
        <w:tc>
          <w:tcPr>
            <w:tcW w:w="87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68</w:t>
            </w:r>
          </w:p>
        </w:tc>
      </w:tr>
    </w:tbl>
    <w:p w:rsidR="00A5642B" w:rsidRPr="00F924D3" w:rsidP="00A5642B" w14:paraId="0740CD5A" w14:textId="77777777">
      <w:pPr>
        <w:pStyle w:val="Bodytext2"/>
        <w:rPr>
          <w:lang w:val="fi-FI"/>
        </w:rPr>
      </w:pPr>
    </w:p>
    <w:p w:rsidR="0001456E" w:rsidP="00A5642B" w14:paraId="4F218E95" w14:textId="612563BC">
      <w:pPr>
        <w:pStyle w:val="Bodytext2"/>
        <w:rPr>
          <w:lang w:val="fi-FI"/>
        </w:rPr>
      </w:pPr>
      <w:r w:rsidRPr="0001456E">
        <w:rPr>
          <w:lang w:val="fi-FI"/>
        </w:rPr>
        <w:t>Vuoden 20</w:t>
      </w:r>
      <w:r>
        <w:rPr>
          <w:lang w:val="fi-FI"/>
        </w:rPr>
        <w:t>21</w:t>
      </w:r>
      <w:r w:rsidRPr="0001456E">
        <w:rPr>
          <w:lang w:val="fi-FI"/>
        </w:rPr>
        <w:t xml:space="preserve"> lopussa yhden prosenttiyksikön suuruinen yhdensuuntainen lasku/nousu korkokäyrässä olisi aiheuttanut </w:t>
      </w:r>
      <w:r>
        <w:rPr>
          <w:lang w:val="fi-FI"/>
        </w:rPr>
        <w:t>17</w:t>
      </w:r>
      <w:r w:rsidRPr="0001456E">
        <w:rPr>
          <w:lang w:val="fi-FI"/>
        </w:rPr>
        <w:t xml:space="preserve"> milj</w:t>
      </w:r>
      <w:r>
        <w:rPr>
          <w:lang w:val="fi-FI"/>
        </w:rPr>
        <w:t>oonan</w:t>
      </w:r>
      <w:r w:rsidRPr="0001456E">
        <w:rPr>
          <w:lang w:val="fi-FI"/>
        </w:rPr>
        <w:t xml:space="preserve"> euron (2</w:t>
      </w:r>
      <w:r>
        <w:rPr>
          <w:lang w:val="fi-FI"/>
        </w:rPr>
        <w:t>6</w:t>
      </w:r>
      <w:r w:rsidRPr="0001456E">
        <w:rPr>
          <w:lang w:val="fi-FI"/>
        </w:rPr>
        <w:t>) lisäyksen/vähennyksen nettovelkasalkun arvoon (sisältäen johdannaiset). Yh</w:t>
      </w:r>
      <w:r w:rsidRPr="0001456E">
        <w:rPr>
          <w:lang w:val="fi-FI"/>
        </w:rPr>
        <w:t xml:space="preserve">den prosenttiyksikön suuruinen korkotason muutos aiheuttaisi </w:t>
      </w:r>
      <w:r>
        <w:rPr>
          <w:lang w:val="fi-FI"/>
        </w:rPr>
        <w:t>1</w:t>
      </w:r>
      <w:r w:rsidRPr="0001456E">
        <w:rPr>
          <w:lang w:val="fi-FI"/>
        </w:rPr>
        <w:t xml:space="preserve"> milj</w:t>
      </w:r>
      <w:r>
        <w:rPr>
          <w:lang w:val="fi-FI"/>
        </w:rPr>
        <w:t>oonan</w:t>
      </w:r>
      <w:r w:rsidRPr="0001456E">
        <w:rPr>
          <w:lang w:val="fi-FI"/>
        </w:rPr>
        <w:t xml:space="preserve"> euron (</w:t>
      </w:r>
      <w:r>
        <w:rPr>
          <w:lang w:val="fi-FI"/>
        </w:rPr>
        <w:t>4</w:t>
      </w:r>
      <w:r w:rsidRPr="0001456E">
        <w:rPr>
          <w:lang w:val="fi-FI"/>
        </w:rPr>
        <w:t>) muutoksen velkasalkun seuraavan vuoden korkokuluihin (sisältäen johdannaiset).</w:t>
      </w:r>
    </w:p>
    <w:p w:rsidR="00884C16" w:rsidP="00A5642B" w14:paraId="72701D47" w14:textId="522021E8">
      <w:pPr>
        <w:pStyle w:val="Bodytext2"/>
        <w:rPr>
          <w:lang w:val="fi-FI"/>
        </w:rPr>
      </w:pPr>
    </w:p>
    <w:p w:rsidR="00884C16" w:rsidRPr="00334E6F" w:rsidP="00A5642B" w14:paraId="35C19786" w14:textId="5BCF7577">
      <w:pPr>
        <w:pStyle w:val="Bodytext2"/>
        <w:rPr>
          <w:lang w:val="fi-FI"/>
        </w:rPr>
      </w:pPr>
      <w:r w:rsidRPr="00334E6F">
        <w:rPr>
          <w:lang w:val="fi-FI"/>
        </w:rPr>
        <w:t xml:space="preserve">Koska konsernin pääasiallinen rahoitusvaluutta on </w:t>
      </w:r>
      <w:r>
        <w:rPr>
          <w:lang w:val="fi-FI"/>
        </w:rPr>
        <w:t>e</w:t>
      </w:r>
      <w:r w:rsidRPr="00334E6F">
        <w:rPr>
          <w:lang w:val="fi-FI"/>
        </w:rPr>
        <w:t>uro, IBOR-uudistuksella ei ole merkittävää</w:t>
      </w:r>
      <w:r w:rsidRPr="00334E6F">
        <w:rPr>
          <w:lang w:val="fi-FI"/>
        </w:rPr>
        <w:t xml:space="preserve"> vaikutusta konsernin rahoitusjärjestelyihin. Uudistuksen seurauksena </w:t>
      </w:r>
      <w:r w:rsidRPr="00334E6F" w:rsidR="00947754">
        <w:rPr>
          <w:lang w:val="fi-FI"/>
        </w:rPr>
        <w:t xml:space="preserve">pitkäaikaisten JPY-lainojen viitekorkoa muutettiin sekä konsernin cash pool -pankkitilien viitekorkoja </w:t>
      </w:r>
      <w:r>
        <w:rPr>
          <w:lang w:val="fi-FI"/>
        </w:rPr>
        <w:t>muutettiin</w:t>
      </w:r>
      <w:r w:rsidRPr="00334E6F" w:rsidR="00947754">
        <w:rPr>
          <w:lang w:val="fi-FI"/>
        </w:rPr>
        <w:t>, jos korko muutoin olisi l</w:t>
      </w:r>
      <w:r w:rsidRPr="00334E6F" w:rsidR="00334E6F">
        <w:rPr>
          <w:lang w:val="fi-FI"/>
        </w:rPr>
        <w:t>opetettu</w:t>
      </w:r>
      <w:r w:rsidRPr="00334E6F" w:rsidR="00947754">
        <w:rPr>
          <w:lang w:val="fi-FI"/>
        </w:rPr>
        <w:t>.</w:t>
      </w:r>
    </w:p>
    <w:p w:rsidR="00A5642B" w:rsidRPr="00947754" w:rsidP="00A5642B" w14:paraId="50A6690A" w14:textId="77777777">
      <w:pPr>
        <w:pStyle w:val="Bodytext2"/>
        <w:rPr>
          <w:lang w:val="fi-FI"/>
        </w:rPr>
      </w:pPr>
    </w:p>
    <w:p w:rsidR="000B38D6" w:rsidRPr="000B38D6" w:rsidP="00A5642B" w14:paraId="10320A84" w14:textId="22B47762">
      <w:pPr>
        <w:pStyle w:val="Bodytext2"/>
        <w:rPr>
          <w:lang w:val="fi-FI"/>
        </w:rPr>
      </w:pPr>
      <w:r w:rsidRPr="000B38D6">
        <w:rPr>
          <w:lang w:val="fi-FI"/>
        </w:rPr>
        <w:t>Muuta lainoihin liittyvää tietoa an</w:t>
      </w:r>
      <w:r w:rsidRPr="000B38D6">
        <w:rPr>
          <w:lang w:val="fi-FI"/>
        </w:rPr>
        <w:t xml:space="preserve">netaan liitetiedoissa </w:t>
      </w:r>
      <w:r>
        <w:rPr>
          <w:lang w:val="fi-FI"/>
        </w:rPr>
        <w:t>5.2</w:t>
      </w:r>
      <w:r w:rsidRPr="000B38D6">
        <w:rPr>
          <w:lang w:val="fi-FI"/>
        </w:rPr>
        <w:t xml:space="preserve">. Rahoitusvarat ja -velat arvostusryhmittäin ja </w:t>
      </w:r>
      <w:r>
        <w:rPr>
          <w:lang w:val="fi-FI"/>
        </w:rPr>
        <w:t>5</w:t>
      </w:r>
      <w:r w:rsidRPr="000B38D6">
        <w:rPr>
          <w:lang w:val="fi-FI"/>
        </w:rPr>
        <w:t>.</w:t>
      </w:r>
      <w:r>
        <w:rPr>
          <w:lang w:val="fi-FI"/>
        </w:rPr>
        <w:t xml:space="preserve">6. </w:t>
      </w:r>
      <w:r w:rsidRPr="000B38D6">
        <w:rPr>
          <w:lang w:val="fi-FI"/>
        </w:rPr>
        <w:t>Rahoitusve</w:t>
      </w:r>
      <w:r>
        <w:rPr>
          <w:lang w:val="fi-FI"/>
        </w:rPr>
        <w:t>lkojen maturiteettianalyysi. Tietoa korkojohdannaisista on annettu liitetiedossa 5.7. Johdannaisinstrumentit.</w:t>
      </w:r>
    </w:p>
    <w:p w:rsidR="00A5642B" w:rsidRPr="000B38D6" w:rsidP="00A5642B" w14:paraId="15290019" w14:textId="77777777">
      <w:pPr>
        <w:pStyle w:val="Bodytext2"/>
        <w:rPr>
          <w:lang w:val="fi-FI"/>
        </w:rPr>
      </w:pPr>
    </w:p>
    <w:p w:rsidR="00A5642B" w:rsidRPr="000B38D6" w:rsidP="00A5642B" w14:paraId="60F58058" w14:textId="1EA60AED">
      <w:pPr>
        <w:pStyle w:val="Heading13"/>
        <w:rPr>
          <w:lang w:val="fi-FI"/>
        </w:rPr>
      </w:pPr>
      <w:r w:rsidRPr="000B38D6">
        <w:rPr>
          <w:lang w:val="fi-FI"/>
        </w:rPr>
        <w:t>Li</w:t>
      </w:r>
      <w:r w:rsidRPr="000B38D6" w:rsidR="000B38D6">
        <w:rPr>
          <w:lang w:val="fi-FI"/>
        </w:rPr>
        <w:t>kviditeetti- ja jälleenrahoitusrisk</w:t>
      </w:r>
      <w:r w:rsidR="000B38D6">
        <w:rPr>
          <w:lang w:val="fi-FI"/>
        </w:rPr>
        <w:t>i</w:t>
      </w:r>
    </w:p>
    <w:p w:rsidR="00A5642B" w:rsidP="00A5642B" w14:paraId="454991D3" w14:textId="2AC4F047">
      <w:pPr>
        <w:pStyle w:val="Bodytext2"/>
        <w:rPr>
          <w:lang w:val="fi-FI"/>
        </w:rPr>
      </w:pPr>
      <w:r w:rsidRPr="000B38D6">
        <w:rPr>
          <w:lang w:val="fi-FI"/>
        </w:rPr>
        <w:t>W</w:t>
      </w:r>
      <w:r w:rsidRPr="000B38D6" w:rsidR="000B38D6">
        <w:rPr>
          <w:lang w:val="fi-FI"/>
        </w:rPr>
        <w:t>ärtsilä varmistaa aina riittävän likviditeetin tehokkaalla kassanhallinnalla sekä riittävillä vahvistetuilla ja vahvistamattomilla luottolimiiteillä. Jälleenrahoitusriskiä hallitaan tasapainoisella ja riittävän pitkäkestoista lainaa sisältävällä portfoliolla</w:t>
      </w:r>
      <w:r w:rsidRPr="000B38D6">
        <w:rPr>
          <w:lang w:val="fi-FI"/>
        </w:rPr>
        <w:t>.</w:t>
      </w:r>
    </w:p>
    <w:p w:rsidR="0062491A" w:rsidP="00A5642B" w14:paraId="6042A490" w14:textId="77B0212B">
      <w:pPr>
        <w:pStyle w:val="Bodytext2"/>
        <w:rPr>
          <w:lang w:val="fi-FI"/>
        </w:rPr>
      </w:pPr>
    </w:p>
    <w:p w:rsidR="00A5642B" w:rsidRPr="000B38D6" w:rsidP="00A5642B" w14:paraId="7B2ED5B3" w14:textId="7692C7AB">
      <w:pPr>
        <w:pStyle w:val="Bodytext2"/>
        <w:rPr>
          <w:lang w:val="fi-FI"/>
        </w:rPr>
      </w:pPr>
      <w:r w:rsidRPr="000B38D6">
        <w:rPr>
          <w:lang w:val="fi-FI"/>
        </w:rPr>
        <w:t>T</w:t>
      </w:r>
      <w:r w:rsidRPr="000B38D6" w:rsidR="000B38D6">
        <w:rPr>
          <w:lang w:val="fi-FI"/>
        </w:rPr>
        <w:t>ämänhetkiset rahoitusohjelmat sisältävät</w:t>
      </w:r>
      <w:r w:rsidRPr="000B38D6">
        <w:rPr>
          <w:lang w:val="fi-FI"/>
        </w:rPr>
        <w:t>:</w:t>
      </w:r>
    </w:p>
    <w:p w:rsidR="00A5642B" w:rsidRPr="000B38D6" w:rsidP="00A5642B" w14:paraId="4EC92A57" w14:textId="4E9FBB16">
      <w:pPr>
        <w:pStyle w:val="Bodytext2"/>
        <w:rPr>
          <w:lang w:val="fi-FI"/>
        </w:rPr>
      </w:pPr>
      <w:r w:rsidRPr="000B38D6">
        <w:rPr>
          <w:lang w:val="fi-FI"/>
        </w:rPr>
        <w:t xml:space="preserve">• </w:t>
      </w:r>
      <w:r w:rsidRPr="000B38D6" w:rsidR="000B38D6">
        <w:rPr>
          <w:lang w:val="fi-FI"/>
        </w:rPr>
        <w:t>Vahvistettuja luottolimiittisopimuksia määrältään 6</w:t>
      </w:r>
      <w:r>
        <w:rPr>
          <w:lang w:val="fi-FI"/>
        </w:rPr>
        <w:t>5</w:t>
      </w:r>
      <w:r w:rsidRPr="000B38D6" w:rsidR="000B38D6">
        <w:rPr>
          <w:lang w:val="fi-FI"/>
        </w:rPr>
        <w:t>0 milj</w:t>
      </w:r>
      <w:r>
        <w:rPr>
          <w:lang w:val="fi-FI"/>
        </w:rPr>
        <w:t>oonaa</w:t>
      </w:r>
      <w:r w:rsidRPr="000B38D6" w:rsidR="000B38D6">
        <w:rPr>
          <w:lang w:val="fi-FI"/>
        </w:rPr>
        <w:t xml:space="preserve"> euroa </w:t>
      </w:r>
      <w:r w:rsidRPr="000B38D6">
        <w:rPr>
          <w:lang w:val="fi-FI"/>
        </w:rPr>
        <w:t>(6</w:t>
      </w:r>
      <w:r>
        <w:rPr>
          <w:lang w:val="fi-FI"/>
        </w:rPr>
        <w:t>6</w:t>
      </w:r>
      <w:r w:rsidRPr="000B38D6">
        <w:rPr>
          <w:lang w:val="fi-FI"/>
        </w:rPr>
        <w:t>0).</w:t>
      </w:r>
    </w:p>
    <w:p w:rsidR="00A5642B" w:rsidRPr="000B38D6" w:rsidP="00A5642B" w14:paraId="166A1E41" w14:textId="2789AD1A">
      <w:pPr>
        <w:pStyle w:val="Bodytext2"/>
        <w:rPr>
          <w:lang w:val="fi-FI"/>
        </w:rPr>
      </w:pPr>
      <w:r w:rsidRPr="000B38D6">
        <w:rPr>
          <w:lang w:val="fi-FI"/>
        </w:rPr>
        <w:t xml:space="preserve">• </w:t>
      </w:r>
      <w:r w:rsidRPr="000B38D6" w:rsidR="000B38D6">
        <w:rPr>
          <w:lang w:val="fi-FI"/>
        </w:rPr>
        <w:t>Suomal</w:t>
      </w:r>
      <w:r>
        <w:rPr>
          <w:lang w:val="fi-FI"/>
        </w:rPr>
        <w:t>a</w:t>
      </w:r>
      <w:r w:rsidRPr="000B38D6" w:rsidR="000B38D6">
        <w:rPr>
          <w:lang w:val="fi-FI"/>
        </w:rPr>
        <w:t>isia yritystodistusohjelmia määrältään 8</w:t>
      </w:r>
      <w:r w:rsidR="000B38D6">
        <w:rPr>
          <w:lang w:val="fi-FI"/>
        </w:rPr>
        <w:t>5</w:t>
      </w:r>
      <w:r w:rsidRPr="000B38D6" w:rsidR="000B38D6">
        <w:rPr>
          <w:lang w:val="fi-FI"/>
        </w:rPr>
        <w:t>0 milj</w:t>
      </w:r>
      <w:r>
        <w:rPr>
          <w:lang w:val="fi-FI"/>
        </w:rPr>
        <w:t>oonaa</w:t>
      </w:r>
      <w:r w:rsidRPr="000B38D6" w:rsidR="000B38D6">
        <w:rPr>
          <w:lang w:val="fi-FI"/>
        </w:rPr>
        <w:t xml:space="preserve"> euroa </w:t>
      </w:r>
      <w:r w:rsidRPr="000B38D6">
        <w:rPr>
          <w:lang w:val="fi-FI"/>
        </w:rPr>
        <w:t>(8</w:t>
      </w:r>
      <w:r>
        <w:rPr>
          <w:lang w:val="fi-FI"/>
        </w:rPr>
        <w:t>5</w:t>
      </w:r>
      <w:r w:rsidRPr="000B38D6">
        <w:rPr>
          <w:lang w:val="fi-FI"/>
        </w:rPr>
        <w:t>0).</w:t>
      </w:r>
    </w:p>
    <w:p w:rsidR="00A5642B" w:rsidRPr="000B38D6" w:rsidP="00A5642B" w14:paraId="00176481" w14:textId="77777777">
      <w:pPr>
        <w:pStyle w:val="Bodytext2"/>
        <w:rPr>
          <w:lang w:val="fi-FI"/>
        </w:rPr>
      </w:pPr>
    </w:p>
    <w:p w:rsidR="002164AB" w:rsidRPr="00F924D3" w:rsidP="00A5642B" w14:paraId="7EC85EC9" w14:textId="072CFE5F">
      <w:pPr>
        <w:pStyle w:val="Bodytext2"/>
        <w:rPr>
          <w:lang w:val="fi-FI"/>
        </w:rPr>
      </w:pPr>
      <w:r w:rsidRPr="002164AB">
        <w:rPr>
          <w:lang w:val="fi-FI"/>
        </w:rPr>
        <w:t>Pitkäaikaisten lainojen keskimääräinen takaisinmaksuaika o</w:t>
      </w:r>
      <w:r w:rsidRPr="002164AB">
        <w:rPr>
          <w:lang w:val="fi-FI"/>
        </w:rPr>
        <w:t xml:space="preserve">n </w:t>
      </w:r>
      <w:r>
        <w:rPr>
          <w:lang w:val="fi-FI"/>
        </w:rPr>
        <w:t>36</w:t>
      </w:r>
      <w:r w:rsidRPr="002164AB">
        <w:rPr>
          <w:lang w:val="fi-FI"/>
        </w:rPr>
        <w:t xml:space="preserve"> kuukautta (</w:t>
      </w:r>
      <w:r>
        <w:rPr>
          <w:lang w:val="fi-FI"/>
        </w:rPr>
        <w:t>36</w:t>
      </w:r>
      <w:r w:rsidRPr="002164AB">
        <w:rPr>
          <w:lang w:val="fi-FI"/>
        </w:rPr>
        <w:t xml:space="preserve">) ja vahvistettujen luottolimiittien keskimääräinen takaisinmaksuaika on </w:t>
      </w:r>
      <w:r>
        <w:rPr>
          <w:lang w:val="fi-FI"/>
        </w:rPr>
        <w:t>23</w:t>
      </w:r>
      <w:r w:rsidRPr="002164AB">
        <w:rPr>
          <w:lang w:val="fi-FI"/>
        </w:rPr>
        <w:t xml:space="preserve"> kuukautta (</w:t>
      </w:r>
      <w:r>
        <w:rPr>
          <w:lang w:val="fi-FI"/>
        </w:rPr>
        <w:t>21</w:t>
      </w:r>
      <w:r w:rsidRPr="002164AB">
        <w:rPr>
          <w:lang w:val="fi-FI"/>
        </w:rPr>
        <w:t xml:space="preserve">). </w:t>
      </w:r>
      <w:r w:rsidRPr="00F924D3">
        <w:rPr>
          <w:lang w:val="fi-FI"/>
        </w:rPr>
        <w:t>Lisätietoa liitetiedossa 5.6. Rahoitusvelkojen maturiteettianalyysi.</w:t>
      </w:r>
    </w:p>
    <w:p w:rsidR="00A5642B" w:rsidRPr="00F924D3" w:rsidP="00A5642B" w14:paraId="2BD8F35D" w14:textId="77777777">
      <w:pPr>
        <w:pStyle w:val="Bodytext2"/>
        <w:rPr>
          <w:lang w:val="fi-FI"/>
        </w:rPr>
      </w:pPr>
    </w:p>
    <w:p w:rsidR="00BA7090" w:rsidRPr="00F924D3" w:rsidP="00A5642B" w14:paraId="665B0C7A" w14:textId="2A45C687">
      <w:pPr>
        <w:pStyle w:val="Bodytext2"/>
        <w:rPr>
          <w:lang w:val="fi-FI"/>
        </w:rPr>
      </w:pPr>
      <w:r w:rsidRPr="002164AB">
        <w:rPr>
          <w:lang w:val="fi-FI"/>
        </w:rPr>
        <w:t xml:space="preserve">Konsernin rahavarat olivat vuoden lopussa </w:t>
      </w:r>
      <w:r>
        <w:rPr>
          <w:lang w:val="fi-FI"/>
        </w:rPr>
        <w:t>964</w:t>
      </w:r>
      <w:r w:rsidRPr="002164AB">
        <w:rPr>
          <w:lang w:val="fi-FI"/>
        </w:rPr>
        <w:t xml:space="preserve"> milj</w:t>
      </w:r>
      <w:r>
        <w:rPr>
          <w:lang w:val="fi-FI"/>
        </w:rPr>
        <w:t>oonaa</w:t>
      </w:r>
      <w:r w:rsidRPr="002164AB">
        <w:rPr>
          <w:lang w:val="fi-FI"/>
        </w:rPr>
        <w:t xml:space="preserve"> euroa (</w:t>
      </w:r>
      <w:r>
        <w:rPr>
          <w:lang w:val="fi-FI"/>
        </w:rPr>
        <w:t>932</w:t>
      </w:r>
      <w:r w:rsidRPr="002164AB">
        <w:rPr>
          <w:lang w:val="fi-FI"/>
        </w:rPr>
        <w:t>), joka si</w:t>
      </w:r>
      <w:r w:rsidRPr="002164AB">
        <w:rPr>
          <w:lang w:val="fi-FI"/>
        </w:rPr>
        <w:t>säl</w:t>
      </w:r>
      <w:r>
        <w:rPr>
          <w:lang w:val="fi-FI"/>
        </w:rPr>
        <w:t>si</w:t>
      </w:r>
      <w:r w:rsidRPr="002164AB">
        <w:rPr>
          <w:lang w:val="fi-FI"/>
        </w:rPr>
        <w:t xml:space="preserve"> </w:t>
      </w:r>
      <w:r>
        <w:rPr>
          <w:lang w:val="fi-FI"/>
        </w:rPr>
        <w:t xml:space="preserve">vuonna 2020 </w:t>
      </w:r>
      <w:r w:rsidRPr="002164AB">
        <w:rPr>
          <w:lang w:val="fi-FI"/>
        </w:rPr>
        <w:t>1</w:t>
      </w:r>
      <w:r>
        <w:rPr>
          <w:lang w:val="fi-FI"/>
        </w:rPr>
        <w:t>4</w:t>
      </w:r>
      <w:r w:rsidRPr="002164AB">
        <w:rPr>
          <w:lang w:val="fi-FI"/>
        </w:rPr>
        <w:t xml:space="preserve"> milj</w:t>
      </w:r>
      <w:r>
        <w:rPr>
          <w:lang w:val="fi-FI"/>
        </w:rPr>
        <w:t>oonaa</w:t>
      </w:r>
      <w:r w:rsidRPr="002164AB">
        <w:rPr>
          <w:lang w:val="fi-FI"/>
        </w:rPr>
        <w:t xml:space="preserve"> euroa</w:t>
      </w:r>
      <w:r>
        <w:rPr>
          <w:lang w:val="fi-FI"/>
        </w:rPr>
        <w:t xml:space="preserve"> </w:t>
      </w:r>
      <w:r w:rsidRPr="002164AB">
        <w:rPr>
          <w:lang w:val="fi-FI"/>
        </w:rPr>
        <w:t>liittyen myytävänä oleviin omaisuuseriin, sekä käyttämättömiä vahvistettuja luottolimiittisopimuksia 6</w:t>
      </w:r>
      <w:r>
        <w:rPr>
          <w:lang w:val="fi-FI"/>
        </w:rPr>
        <w:t>5</w:t>
      </w:r>
      <w:r w:rsidRPr="002164AB">
        <w:rPr>
          <w:lang w:val="fi-FI"/>
        </w:rPr>
        <w:t>0 milj</w:t>
      </w:r>
      <w:r>
        <w:rPr>
          <w:lang w:val="fi-FI"/>
        </w:rPr>
        <w:t>oonaa</w:t>
      </w:r>
      <w:r w:rsidRPr="002164AB">
        <w:rPr>
          <w:lang w:val="fi-FI"/>
        </w:rPr>
        <w:t xml:space="preserve"> euroa (6</w:t>
      </w:r>
      <w:r>
        <w:rPr>
          <w:lang w:val="fi-FI"/>
        </w:rPr>
        <w:t>6</w:t>
      </w:r>
      <w:r w:rsidRPr="002164AB">
        <w:rPr>
          <w:lang w:val="fi-FI"/>
        </w:rPr>
        <w:t xml:space="preserve">0). </w:t>
      </w:r>
      <w:r w:rsidRPr="00F924D3">
        <w:rPr>
          <w:lang w:val="fi-FI"/>
        </w:rPr>
        <w:t>31.12.202</w:t>
      </w:r>
      <w:r>
        <w:rPr>
          <w:lang w:val="fi-FI"/>
        </w:rPr>
        <w:t>1</w:t>
      </w:r>
      <w:r w:rsidRPr="00F924D3">
        <w:rPr>
          <w:lang w:val="fi-FI"/>
        </w:rPr>
        <w:t xml:space="preserve"> ja 31.12.20</w:t>
      </w:r>
      <w:r>
        <w:rPr>
          <w:lang w:val="fi-FI"/>
        </w:rPr>
        <w:t>20</w:t>
      </w:r>
      <w:r w:rsidRPr="00F924D3">
        <w:rPr>
          <w:lang w:val="fi-FI"/>
        </w:rPr>
        <w:t xml:space="preserve"> yritystodistuksia ei ollut käytössä</w:t>
      </w:r>
      <w:r>
        <w:rPr>
          <w:lang w:val="fi-FI"/>
        </w:rPr>
        <w:t>.</w:t>
      </w:r>
    </w:p>
    <w:p w:rsidR="00A5642B" w:rsidRPr="00F924D3" w:rsidP="00A5642B" w14:paraId="524E68FD" w14:textId="77777777">
      <w:pPr>
        <w:pStyle w:val="Bodytext2"/>
        <w:rPr>
          <w:lang w:val="fi-FI"/>
        </w:rPr>
      </w:pPr>
    </w:p>
    <w:p w:rsidR="00A5642B" w:rsidRPr="00BA7090" w:rsidP="00A5642B" w14:paraId="251E89A7" w14:textId="12D03349">
      <w:pPr>
        <w:pStyle w:val="Bodytext2"/>
        <w:rPr>
          <w:lang w:val="fi-FI"/>
        </w:rPr>
      </w:pPr>
      <w:r w:rsidRPr="00BA7090">
        <w:rPr>
          <w:lang w:val="fi-FI"/>
        </w:rPr>
        <w:t>Vahvistetut luottolimiittisopimukset ja emoyhtiön pitkäaikaiset lainat sisältävät rahoituskovenantin (omavaraisuusaste). Omavaraisuusasteen odotetaan pysyvän selvästi rahoituskovenantin yläpuolella ennustettavissa ole</w:t>
      </w:r>
      <w:r w:rsidRPr="00BA7090">
        <w:rPr>
          <w:lang w:val="fi-FI"/>
        </w:rPr>
        <w:t>valla ajanjaksolla.</w:t>
      </w:r>
    </w:p>
    <w:p w:rsidR="00A5642B" w:rsidRPr="00BA7090" w:rsidP="00A5642B" w14:paraId="1F939A0C" w14:textId="77777777">
      <w:pPr>
        <w:pStyle w:val="Bodytext2"/>
        <w:rPr>
          <w:lang w:val="fi-FI"/>
        </w:rPr>
      </w:pPr>
    </w:p>
    <w:p w:rsidR="00A5642B" w:rsidRPr="00F924D3" w:rsidP="00A5642B" w14:paraId="7C8971AF" w14:textId="5EFB390F">
      <w:pPr>
        <w:pStyle w:val="Heading13"/>
        <w:rPr>
          <w:lang w:val="fi-FI"/>
        </w:rPr>
      </w:pPr>
      <w:r w:rsidRPr="00F924D3">
        <w:rPr>
          <w:lang w:val="fi-FI"/>
        </w:rPr>
        <w:t>Vahvistetut luottolimiittisopimukset</w:t>
      </w:r>
    </w:p>
    <w:p w:rsidR="00A5642B" w:rsidRPr="00F924D3" w:rsidP="00A5642B" w14:paraId="3FDB30AC" w14:textId="77777777">
      <w:pPr>
        <w:pStyle w:val="Bodytext2"/>
        <w:rPr>
          <w:lang w:val="fi-FI"/>
        </w:rPr>
      </w:pPr>
    </w:p>
    <w:tbl>
      <w:tblPr>
        <w:tblStyle w:val="TableNormal"/>
        <w:tblCaption w:val="table_58_revolving"/>
        <w:tblW w:w="7350" w:type="dxa"/>
        <w:tblLayout w:type="fixed"/>
        <w:tblLook w:val="0600"/>
      </w:tblPr>
      <w:tblGrid>
        <w:gridCol w:w="2130"/>
        <w:gridCol w:w="870"/>
        <w:gridCol w:w="870"/>
        <w:gridCol w:w="870"/>
        <w:gridCol w:w="870"/>
        <w:gridCol w:w="870"/>
        <w:gridCol w:w="870"/>
      </w:tblGrid>
      <w:tr>
        <w:tblPrEx>
          <w:tblW w:w="7350" w:type="dxa"/>
          <w:tblLayout w:type="fixed"/>
          <w:tblLook w:val="0600"/>
        </w:tblPrEx>
        <w:trPr>
          <w:trHeight w:hRule="exact" w:val="240"/>
        </w:trPr>
        <w:tc>
          <w:tcPr>
            <w:tcW w:w="2130" w:type="dxa"/>
            <w:tcBorders>
              <w:top w:val="nil"/>
              <w:left w:val="nil"/>
              <w:bottom w:val="nil"/>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870"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nil"/>
              <w:left w:val="nil"/>
              <w:bottom w:val="nil"/>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870"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nil"/>
              <w:left w:val="nil"/>
              <w:bottom w:val="nil"/>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Vuosi</w:t>
            </w:r>
          </w:p>
        </w:tc>
        <w:tc>
          <w:tcPr>
            <w:tcW w:w="870"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Erääntyvät</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Käytet-</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tävissä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(kauden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lopussa)</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Erääntyvät</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Käytet-</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tävissä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(kauden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lopussa)</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2020</w:t>
            </w: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w:t>
            </w: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w:t>
            </w:r>
          </w:p>
        </w:tc>
        <w:tc>
          <w:tcPr>
            <w:tcW w:w="870"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660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2021</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650</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280</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380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2022</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510</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90</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290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2023</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230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280</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160</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2024</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150</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130</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2025</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100</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50</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2026</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50</w:t>
            </w: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bl>
    <w:p w:rsidR="00A5642B" w:rsidRPr="00F924D3" w:rsidP="00A5642B" w14:paraId="7A95045F" w14:textId="77777777">
      <w:pPr>
        <w:pStyle w:val="Bodytext2"/>
        <w:rPr>
          <w:lang w:val="fi-FI"/>
        </w:rPr>
      </w:pPr>
    </w:p>
    <w:p w:rsidR="00A5642B" w:rsidRPr="00BA3BD6" w:rsidP="00A5642B" w14:paraId="41D5A9AC" w14:textId="516C2D26">
      <w:pPr>
        <w:pStyle w:val="Heading13"/>
        <w:rPr>
          <w:lang w:val="fi-FI"/>
        </w:rPr>
      </w:pPr>
      <w:r w:rsidRPr="00BA3BD6">
        <w:rPr>
          <w:lang w:val="fi-FI"/>
        </w:rPr>
        <w:t>Luottoriski</w:t>
      </w:r>
    </w:p>
    <w:p w:rsidR="00BA3BD6" w:rsidRPr="00F924D3" w:rsidP="00BA3BD6" w14:paraId="1B333947" w14:textId="7F9B8949">
      <w:pPr>
        <w:pStyle w:val="Bodytext2"/>
        <w:rPr>
          <w:lang w:val="fi-FI"/>
        </w:rPr>
      </w:pPr>
      <w:r w:rsidRPr="00F924D3">
        <w:rPr>
          <w:lang w:val="fi-FI"/>
        </w:rPr>
        <w:t>Kaupalliseen toimintaan liittyvien luottoriskien hallinta on osa liiketoimint</w:t>
      </w:r>
      <w:r>
        <w:rPr>
          <w:lang w:val="fi-FI"/>
        </w:rPr>
        <w:t>ojen</w:t>
      </w:r>
      <w:r w:rsidRPr="00F924D3">
        <w:rPr>
          <w:lang w:val="fi-FI"/>
        </w:rPr>
        <w:t xml:space="preserve"> ja konserniyhtiöiden toimintaa. Suuriin kauppoihin ja projektirahoitukseen lii</w:t>
      </w:r>
      <w:r w:rsidRPr="00F924D3">
        <w:rPr>
          <w:lang w:val="fi-FI"/>
        </w:rPr>
        <w:t>ttyvät luottoriskit pyritään rajoittamaan siirtämällä riskejä pankeille, vakuutusyhtiöille ja vientitakuulaitoksille.</w:t>
      </w:r>
    </w:p>
    <w:p w:rsidR="00BA3BD6" w:rsidRPr="00F924D3" w:rsidP="00BA3BD6" w14:paraId="172920A7" w14:textId="04F2CEA0">
      <w:pPr>
        <w:pStyle w:val="Bodytext2"/>
        <w:rPr>
          <w:lang w:val="fi-FI"/>
        </w:rPr>
      </w:pPr>
    </w:p>
    <w:p w:rsidR="00BA3BD6" w:rsidRPr="00F924D3" w:rsidP="00BA3BD6" w14:paraId="1FD66190" w14:textId="2BDDEDC9">
      <w:pPr>
        <w:pStyle w:val="Bodytext2"/>
        <w:rPr>
          <w:lang w:val="fi-FI"/>
        </w:rPr>
      </w:pPr>
      <w:r w:rsidRPr="00F924D3">
        <w:rPr>
          <w:lang w:val="fi-FI"/>
        </w:rPr>
        <w:t>Likvidien varojen sijoittamiseen ja rahoitusinstrumenttien kaupankäyntiin liittyviä luottoriskejä minimoidaan asettamalla luottorajat vas</w:t>
      </w:r>
      <w:r w:rsidRPr="00F924D3">
        <w:rPr>
          <w:lang w:val="fi-FI"/>
        </w:rPr>
        <w:t>tapuolille sekä tekemällä sopimuksia vain johtavien koti- ja ulkomaisten pankkien ja rahoituslaitosten kanssa. Koska vain korkean luottoluokituksen (A- vähimmäisluottoluokkavaatimus) omaavia vastapuolia hyödynnetään johdannaisinstrumenttien käytössä ja tap</w:t>
      </w:r>
      <w:r w:rsidRPr="00F924D3">
        <w:rPr>
          <w:lang w:val="fi-FI"/>
        </w:rPr>
        <w:t>ahtumiin sovelletaan ISDA-yleissopimusta, luottotappioita ei oleteta syntyvän näistä instrumenteist</w:t>
      </w:r>
      <w:r>
        <w:rPr>
          <w:lang w:val="fi-FI"/>
        </w:rPr>
        <w:t>a</w:t>
      </w:r>
      <w:r w:rsidRPr="00F924D3">
        <w:rPr>
          <w:lang w:val="fi-FI"/>
        </w:rPr>
        <w:t>.</w:t>
      </w:r>
    </w:p>
    <w:p w:rsidR="00BA3BD6" w:rsidRPr="00F924D3" w:rsidP="00BA3BD6" w14:paraId="33B5788B" w14:textId="77777777">
      <w:pPr>
        <w:pStyle w:val="Bodytext2"/>
        <w:rPr>
          <w:lang w:val="fi-FI"/>
        </w:rPr>
      </w:pPr>
    </w:p>
    <w:p w:rsidR="00BA3BD6" w:rsidRPr="00F924D3" w:rsidP="00BA3BD6" w14:paraId="3584981A" w14:textId="74797F36">
      <w:pPr>
        <w:pStyle w:val="Bodytext2"/>
        <w:rPr>
          <w:lang w:val="fi-FI"/>
        </w:rPr>
      </w:pPr>
      <w:r w:rsidRPr="00F924D3">
        <w:rPr>
          <w:lang w:val="fi-FI"/>
        </w:rPr>
        <w:t>Konserniyhtiöt sijoittavat rahavaransa konsernin rahoitustoiminnon tileille, mikäli paikallinen lainsäädäntö ja keskuspankin säännöt sallivat sen. Konser</w:t>
      </w:r>
      <w:r w:rsidRPr="00F924D3">
        <w:rPr>
          <w:lang w:val="fi-FI"/>
        </w:rPr>
        <w:t>nin varat sijoitetaan instrumentteihin, joilla on riittävä likviditeetti (lyhytaikaiset pankkitalletukset tai suomalaiset yritystodistukset) ja luottoluokitus (vähintään yksi</w:t>
      </w:r>
      <w:r>
        <w:rPr>
          <w:lang w:val="fi-FI"/>
        </w:rPr>
        <w:t xml:space="preserve"> </w:t>
      </w:r>
      <w:r w:rsidRPr="00F924D3">
        <w:rPr>
          <w:lang w:val="fi-FI"/>
        </w:rPr>
        <w:t>A tai konsernin talous- ja rahoitusjohtajan erikseen hyväksymä sijoitus). Konsern</w:t>
      </w:r>
      <w:r w:rsidRPr="00F924D3">
        <w:rPr>
          <w:lang w:val="fi-FI"/>
        </w:rPr>
        <w:t>in keskitetty rahoitustoiminto seuraa jatkuvasti kyseisiä sijoituksia eikä näistä odoteta luottotappioita.</w:t>
      </w:r>
    </w:p>
    <w:p w:rsidR="00BA3BD6" w:rsidRPr="00F924D3" w:rsidP="00BA3BD6" w14:paraId="3ACBEA66" w14:textId="34C51284">
      <w:pPr>
        <w:pStyle w:val="Bodytext2"/>
        <w:rPr>
          <w:lang w:val="fi-FI"/>
        </w:rPr>
      </w:pPr>
    </w:p>
    <w:p w:rsidR="00A5642B" w:rsidRPr="00BA3BD6" w:rsidP="00BA3BD6" w14:paraId="47D366CD" w14:textId="4AABE618">
      <w:pPr>
        <w:pStyle w:val="Bodytext2"/>
        <w:rPr>
          <w:lang w:val="fi-FI"/>
        </w:rPr>
      </w:pPr>
      <w:r w:rsidRPr="00F924D3">
        <w:rPr>
          <w:lang w:val="fi-FI"/>
        </w:rPr>
        <w:t>Jaksotettuun hankintamenoon tehtyihin sijoituksiin liittyvät odotetut luottotappiot arvioidaan ennakoivasti neljännesvuosittain perustuen sijoituste</w:t>
      </w:r>
      <w:r w:rsidRPr="00F924D3">
        <w:rPr>
          <w:lang w:val="fi-FI"/>
        </w:rPr>
        <w:t xml:space="preserve">n eräpäivään ja vastapuoliriskiin. </w:t>
      </w:r>
      <w:r w:rsidRPr="00BA3BD6">
        <w:rPr>
          <w:lang w:val="fi-FI"/>
        </w:rPr>
        <w:t>31.12.202</w:t>
      </w:r>
      <w:r>
        <w:rPr>
          <w:lang w:val="fi-FI"/>
        </w:rPr>
        <w:t>1</w:t>
      </w:r>
      <w:r w:rsidRPr="00BA3BD6">
        <w:rPr>
          <w:lang w:val="fi-FI"/>
        </w:rPr>
        <w:t xml:space="preserve"> odotettu luottotappio ei ollut merkittävä.</w:t>
      </w:r>
    </w:p>
    <w:p w:rsidR="00A5642B" w:rsidRPr="00BA3BD6" w:rsidP="00A5642B" w14:paraId="141B9B85" w14:textId="77777777">
      <w:pPr>
        <w:pStyle w:val="Bodytext2"/>
        <w:rPr>
          <w:lang w:val="fi-FI"/>
        </w:rPr>
      </w:pPr>
    </w:p>
    <w:p w:rsidR="00A5642B" w:rsidRPr="00C44832" w:rsidP="00A5642B" w14:paraId="1EF602B0" w14:textId="29A7BD58">
      <w:pPr>
        <w:pStyle w:val="Bodytext2"/>
        <w:rPr>
          <w:sz w:val="2"/>
          <w:szCs w:val="2"/>
          <w:lang w:val="fi-FI"/>
        </w:rPr>
      </w:pPr>
      <w:r w:rsidRPr="00BA3BD6">
        <w:rPr>
          <w:lang w:val="fi-FI"/>
        </w:rPr>
        <w:t>Odotetut luottotappiot on esitetty liitetiedossa 4.</w:t>
      </w:r>
      <w:r>
        <w:rPr>
          <w:lang w:val="fi-FI"/>
        </w:rPr>
        <w:t>2</w:t>
      </w:r>
      <w:r w:rsidRPr="00BA3BD6">
        <w:rPr>
          <w:lang w:val="fi-FI"/>
        </w:rPr>
        <w:t xml:space="preserve">. </w:t>
      </w:r>
      <w:r>
        <w:rPr>
          <w:lang w:val="fi-FI"/>
        </w:rPr>
        <w:t>Myyntisaamiset ja sopimukseen perustuvat varat ja velat</w:t>
      </w:r>
      <w:r w:rsidRPr="00BA3BD6">
        <w:rPr>
          <w:lang w:val="fi-FI"/>
        </w:rPr>
        <w:t>.</w:t>
      </w:r>
      <w:r>
        <w:rPr>
          <w:lang w:val="fi-FI"/>
        </w:rPr>
        <w:br w:type="column"/>
      </w:r>
    </w:p>
    <w:p w:rsidR="00A5642B" w:rsidRPr="00BA3BD6" w:rsidP="00A5642B" w14:paraId="5ED1D030" w14:textId="59CE34EC">
      <w:pPr>
        <w:pStyle w:val="Heading13"/>
        <w:rPr>
          <w:lang w:val="fi-FI"/>
        </w:rPr>
      </w:pPr>
      <w:r w:rsidRPr="00BA3BD6">
        <w:rPr>
          <w:lang w:val="fi-FI"/>
        </w:rPr>
        <w:t>Osakehintariski</w:t>
      </w:r>
    </w:p>
    <w:p w:rsidR="00BA3BD6" w:rsidRPr="00BA3BD6" w:rsidP="00A5642B" w14:paraId="3223C528" w14:textId="2B066D24">
      <w:pPr>
        <w:pStyle w:val="Bodytext2"/>
        <w:rPr>
          <w:lang w:val="fi-FI"/>
        </w:rPr>
      </w:pPr>
      <w:r w:rsidRPr="00BA3BD6">
        <w:rPr>
          <w:lang w:val="fi-FI"/>
        </w:rPr>
        <w:t xml:space="preserve">Wärtsilällä on osakesijoituksia </w:t>
      </w:r>
      <w:r>
        <w:rPr>
          <w:lang w:val="fi-FI"/>
        </w:rPr>
        <w:t>12</w:t>
      </w:r>
      <w:r w:rsidRPr="00BA3BD6">
        <w:rPr>
          <w:lang w:val="fi-FI"/>
        </w:rPr>
        <w:t xml:space="preserve"> mil</w:t>
      </w:r>
      <w:r w:rsidRPr="00BA3BD6">
        <w:rPr>
          <w:lang w:val="fi-FI"/>
        </w:rPr>
        <w:t>j</w:t>
      </w:r>
      <w:r>
        <w:rPr>
          <w:lang w:val="fi-FI"/>
        </w:rPr>
        <w:t>oonaa</w:t>
      </w:r>
      <w:r w:rsidRPr="00BA3BD6">
        <w:rPr>
          <w:lang w:val="fi-FI"/>
        </w:rPr>
        <w:t xml:space="preserve"> euroa (1</w:t>
      </w:r>
      <w:r>
        <w:rPr>
          <w:lang w:val="fi-FI"/>
        </w:rPr>
        <w:t>2</w:t>
      </w:r>
      <w:r w:rsidRPr="00BA3BD6">
        <w:rPr>
          <w:lang w:val="fi-FI"/>
        </w:rPr>
        <w:t xml:space="preserve">) voimalaitosyhtiöihin, jotka sijaitsevat pääosin kehittyvissä maissa. Kyseisten yhtiöiden tuloskehitys on ollut hyvä ja vastannut odotuksia. Lisätietoja liitetiedossa </w:t>
      </w:r>
      <w:r>
        <w:rPr>
          <w:lang w:val="fi-FI"/>
        </w:rPr>
        <w:t>5.2</w:t>
      </w:r>
      <w:r w:rsidRPr="00BA3BD6">
        <w:rPr>
          <w:lang w:val="fi-FI"/>
        </w:rPr>
        <w:t>. Rahoitusvarat ja -velat arvostusryhmittäin.</w:t>
      </w:r>
    </w:p>
    <w:p w:rsidR="00A5642B" w:rsidRPr="00BA3BD6" w:rsidP="00A5642B" w14:paraId="74EBDD59" w14:textId="77777777">
      <w:pPr>
        <w:pStyle w:val="Bodytext2"/>
        <w:rPr>
          <w:lang w:val="fi-FI"/>
        </w:rPr>
      </w:pPr>
    </w:p>
    <w:p w:rsidR="00A5642B" w:rsidRPr="00BA3BD6" w:rsidP="00A5642B" w14:paraId="1797A29C" w14:textId="63F0FA72">
      <w:pPr>
        <w:pStyle w:val="Heading13"/>
        <w:rPr>
          <w:lang w:val="fi-FI"/>
        </w:rPr>
      </w:pPr>
      <w:r w:rsidRPr="00BA3BD6">
        <w:rPr>
          <w:lang w:val="fi-FI"/>
        </w:rPr>
        <w:t>Pääomarakenteen hallinta</w:t>
      </w:r>
    </w:p>
    <w:p w:rsidR="00A5642B" w:rsidRPr="00BA3BD6" w:rsidP="00A5642B" w14:paraId="2F45F724" w14:textId="4F04CBE8">
      <w:pPr>
        <w:pStyle w:val="Bodytext2"/>
        <w:rPr>
          <w:lang w:val="fi-FI"/>
        </w:rPr>
      </w:pPr>
      <w:r w:rsidRPr="00BA3BD6">
        <w:rPr>
          <w:lang w:val="fi-FI"/>
        </w:rPr>
        <w:t>W</w:t>
      </w:r>
      <w:r w:rsidRPr="00BA3BD6" w:rsidR="00BA3BD6">
        <w:rPr>
          <w:lang w:val="fi-FI"/>
        </w:rPr>
        <w:t>ärtsilän päämääränä on varmistaa vahva pääomapohja ylläpitääkseen sijoittajien ja luotonantajien luottamuksen sekä kehittääkseen toimintaansa. Pääomaksi määritellään oma pääoma mukaan lukien määräysvallattomien omistajien osuus ja netotettu korollinen lainapääoma. Wärtsilän tavoitteena on säilyttää nettovelkaantumisaste alle 0,50. Konsernin osinkopolitiikan mukaan tavoitteena on jakaa vähintään 50% osakekohtaisesta tuloksesta osinkona yli suhdannesyklin</w:t>
      </w:r>
      <w:r w:rsidRPr="00BA3BD6">
        <w:rPr>
          <w:lang w:val="fi-FI"/>
        </w:rPr>
        <w:t>.</w:t>
      </w:r>
    </w:p>
    <w:p w:rsidR="00A5642B" w:rsidRPr="00BA3BD6" w:rsidP="00A5642B" w14:paraId="2A26E9F6" w14:textId="77777777">
      <w:pPr>
        <w:pStyle w:val="Bodytext2"/>
        <w:rPr>
          <w:lang w:val="fi-FI"/>
        </w:rPr>
      </w:pPr>
    </w:p>
    <w:tbl>
      <w:tblPr>
        <w:tblStyle w:val="TableNormal"/>
        <w:tblCaption w:val="table_58_capital_risk_managements"/>
        <w:tblW w:w="7350" w:type="dxa"/>
        <w:tblLayout w:type="fixed"/>
        <w:tblLook w:val="0600"/>
      </w:tblPr>
      <w:tblGrid>
        <w:gridCol w:w="2130"/>
        <w:gridCol w:w="870"/>
        <w:gridCol w:w="870"/>
        <w:gridCol w:w="870"/>
        <w:gridCol w:w="870"/>
        <w:gridCol w:w="870"/>
        <w:gridCol w:w="870"/>
      </w:tblGrid>
      <w:tr>
        <w:tblPrEx>
          <w:tblW w:w="7350" w:type="dxa"/>
          <w:tblLayout w:type="fixed"/>
          <w:tblLook w:val="0600"/>
        </w:tblPrEx>
        <w:trPr>
          <w:trHeight w:val="240"/>
        </w:trPr>
        <w:tc>
          <w:tcPr>
            <w:tcW w:w="4740" w:type="dxa"/>
            <w:gridSpan w:val="4"/>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870"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740" w:type="dxa"/>
            <w:gridSpan w:val="4"/>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Pitkäaikaiset vuokrasopimusvelat</w:t>
            </w: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157</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124</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740" w:type="dxa"/>
            <w:gridSpan w:val="4"/>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pitkäaikaiset korolliset velat</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694</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1 005</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740" w:type="dxa"/>
            <w:gridSpan w:val="4"/>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Lyhytaikaiset vuokrasopimusvelat</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39</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740" w:type="dxa"/>
            <w:gridSpan w:val="4"/>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lyhytaikaiset korolliset velat</w:t>
            </w: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82</w:t>
            </w: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156</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740" w:type="dxa"/>
            <w:gridSpan w:val="4"/>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Korolliset velat yhteensä</w:t>
            </w: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973</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1 327</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740" w:type="dxa"/>
            <w:gridSpan w:val="4"/>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740" w:type="dxa"/>
            <w:gridSpan w:val="4"/>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Korolliset saamiset</w:t>
            </w: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740" w:type="dxa"/>
            <w:gridSpan w:val="4"/>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Rahavarat</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-964</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-919</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740" w:type="dxa"/>
            <w:gridSpan w:val="4"/>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Rahavarat myytävänä oleviin omaisuuseriin liittyen</w:t>
            </w: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FEFEF"/>
                <w:sz w:val="13"/>
                <w:u w:val="none"/>
                <w:vertAlign w:val="baseline"/>
              </w:rPr>
            </w:pPr>
            <w:r>
              <w:rPr>
                <w:rFonts w:ascii="Arial" w:eastAsia="Arial" w:hAnsi="Arial" w:cs="Arial"/>
                <w:b/>
                <w:i w:val="0"/>
                <w:strike w:val="0"/>
                <w:color w:val="EFEFEF"/>
                <w:sz w:val="13"/>
                <w:u w:val="none"/>
                <w:vertAlign w:val="baseline"/>
              </w:rPr>
              <w:t>0</w:t>
            </w: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740" w:type="dxa"/>
            <w:gridSpan w:val="4"/>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Korolliset saamiset yhteensä</w:t>
            </w:r>
          </w:p>
        </w:tc>
        <w:tc>
          <w:tcPr>
            <w:tcW w:w="870"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-969</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-933</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740" w:type="dxa"/>
            <w:gridSpan w:val="4"/>
            <w:tcBorders>
              <w:top w:val="single" w:sz="4" w:space="0" w:color="004A6B"/>
              <w:left w:val="nil"/>
              <w:bottom w:val="single" w:sz="8" w:space="0" w:color="0F172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740" w:type="dxa"/>
            <w:gridSpan w:val="4"/>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Korolliset nettovelat yhteensä</w:t>
            </w:r>
          </w:p>
        </w:tc>
        <w:tc>
          <w:tcPr>
            <w:tcW w:w="870" w:type="dxa"/>
            <w:tcBorders>
              <w:top w:val="single" w:sz="8" w:space="0" w:color="0F172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87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394</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740" w:type="dxa"/>
            <w:gridSpan w:val="4"/>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Oma pääoma yhteensä</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2 323</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2 188</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740" w:type="dxa"/>
            <w:gridSpan w:val="4"/>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Nettovelkaantumisaste</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0,00</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0,18</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740" w:type="dxa"/>
            <w:gridSpan w:val="4"/>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Osana pääomarakenteen hallintaa seurataan myös omavaraisuusastetta:</w:t>
            </w: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13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740" w:type="dxa"/>
            <w:gridSpan w:val="4"/>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Taseen loppusumma</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6 523</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6 232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740" w:type="dxa"/>
            <w:gridSpan w:val="4"/>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Saadut ennakot</w:t>
            </w:r>
          </w:p>
        </w:tc>
        <w:tc>
          <w:tcPr>
            <w:tcW w:w="87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-498</w:t>
            </w:r>
          </w:p>
        </w:tc>
        <w:tc>
          <w:tcPr>
            <w:tcW w:w="87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-452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6 025</w:t>
            </w:r>
          </w:p>
        </w:tc>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5 780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13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740" w:type="dxa"/>
            <w:gridSpan w:val="4"/>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Omavaraisuusaste, %</w:t>
            </w:r>
          </w:p>
        </w:tc>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38,6</w:t>
            </w:r>
          </w:p>
        </w:tc>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38,1</w:t>
            </w:r>
          </w:p>
        </w:tc>
      </w:tr>
    </w:tbl>
    <w:p w:rsidR="00A5642B" w:rsidRPr="009D4992" w:rsidP="00A5642B" w14:paraId="31EA3997" w14:textId="5F1CF531">
      <w:pPr>
        <w:pStyle w:val="Bodytext2"/>
        <w:rPr>
          <w:sz w:val="2"/>
          <w:szCs w:val="2"/>
        </w:rPr>
      </w:pPr>
      <w:r>
        <w:br w:type="column"/>
      </w:r>
    </w:p>
    <w:p w:rsidR="001D35AE" w:rsidP="001D35AE" w14:paraId="6BCA4D7C" w14:textId="7169ABBE">
      <w:pPr>
        <w:pStyle w:val="Heading11"/>
      </w:pPr>
      <w:bookmarkStart w:id="1485" w:name="RG_MARKER_7252"/>
      <w:bookmarkStart w:id="1486" w:name="RG_MARKER_7438"/>
      <w:r>
        <w:rPr>
          <w:noProof/>
        </w:rPr>
        <w:drawing>
          <wp:anchor distT="0" distB="0" distL="114300" distR="114300" simplePos="0" relativeHeight="251706368" behindDoc="1" locked="0" layoutInCell="1" allowOverlap="1">
            <wp:simplePos x="0" y="0"/>
            <wp:positionH relativeFrom="page">
              <wp:posOffset>0</wp:posOffset>
            </wp:positionH>
            <wp:positionV relativeFrom="page">
              <wp:posOffset>1155700</wp:posOffset>
            </wp:positionV>
            <wp:extent cx="5115600" cy="5580000"/>
            <wp:effectExtent l="0" t="0" r="8890" b="1905"/>
            <wp:wrapNone/>
            <wp:docPr id="6313830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306222" name="Picture 4"/>
                    <pic:cNvPicPr>
                      <a:picLocks noChangeAspect="1" noChangeArrowheads="1"/>
                    </pic:cNvPicPr>
                  </pic:nvPicPr>
                  <pic:blipFill>
                    <a:blip xmlns:r="http://schemas.openxmlformats.org/officeDocument/2006/relationships" r:embed="rId63">
                      <a:extLst>
                        <a:ext xmlns:a="http://schemas.openxmlformats.org/drawingml/2006/main" uri="{28A0092B-C50C-407E-A947-70E740481C1C}">
                          <a14:useLocalDpi xmlns:a14="http://schemas.microsoft.com/office/drawing/2010/main" val="0"/>
                        </a:ext>
                      </a:extLst>
                    </a:blip>
                    <a:stretch>
                      <a:fillRect/>
                    </a:stretch>
                  </pic:blipFill>
                  <pic:spPr bwMode="auto">
                    <a:xfrm>
                      <a:off x="0" y="0"/>
                      <a:ext cx="5115600" cy="5580000"/>
                    </a:xfrm>
                    <a:prstGeom prst="rect">
                      <a:avLst/>
                    </a:prstGeom>
                    <a:noFill/>
                  </pic:spPr>
                </pic:pic>
              </a:graphicData>
            </a:graphic>
            <wp14:sizeRelH relativeFrom="margin">
              <wp14:pctWidth>0</wp14:pctWidth>
            </wp14:sizeRelH>
            <wp14:sizeRelV relativeFrom="margin">
              <wp14:pctHeight>0</wp14:pctHeight>
            </wp14:sizeRelV>
          </wp:anchor>
        </w:drawing>
      </w:r>
      <w:bookmarkEnd w:id="1486"/>
      <w:bookmarkEnd w:id="1485"/>
    </w:p>
    <w:p w:rsidR="001D35AE" w:rsidP="001D35AE" w14:paraId="15E6F8CB" w14:textId="09A838E6">
      <w:pPr>
        <w:pStyle w:val="Heading11"/>
      </w:pPr>
    </w:p>
    <w:p w:rsidR="001D35AE" w:rsidP="001D35AE" w14:paraId="1FDE767A" w14:textId="4D24A2F1">
      <w:pPr>
        <w:pStyle w:val="Heading11"/>
      </w:pPr>
    </w:p>
    <w:p w:rsidR="001D35AE" w:rsidP="001D35AE" w14:paraId="5CD30922" w14:textId="77777777">
      <w:pPr>
        <w:pStyle w:val="Heading11"/>
      </w:pPr>
    </w:p>
    <w:p w:rsidR="001D35AE" w:rsidP="001D35AE" w14:paraId="00CDC520" w14:textId="77777777">
      <w:pPr>
        <w:pStyle w:val="Heading11"/>
      </w:pPr>
    </w:p>
    <w:p w:rsidR="001D35AE" w:rsidP="001D35AE" w14:paraId="0D8C068C" w14:textId="77777777">
      <w:pPr>
        <w:pStyle w:val="Heading11"/>
      </w:pPr>
    </w:p>
    <w:p w:rsidR="001D35AE" w:rsidP="001D35AE" w14:paraId="75CD46CA" w14:textId="77777777">
      <w:pPr>
        <w:pStyle w:val="Heading11"/>
      </w:pPr>
    </w:p>
    <w:p w:rsidR="001D35AE" w:rsidP="001D35AE" w14:paraId="26DD0251" w14:textId="77777777">
      <w:pPr>
        <w:pStyle w:val="Heading11"/>
      </w:pPr>
    </w:p>
    <w:p w:rsidR="001D35AE" w:rsidP="001D35AE" w14:paraId="50894D9D" w14:textId="77777777">
      <w:pPr>
        <w:pStyle w:val="Heading11"/>
      </w:pPr>
    </w:p>
    <w:p w:rsidR="001D35AE" w:rsidP="001D35AE" w14:paraId="6A9F144B" w14:textId="77777777">
      <w:pPr>
        <w:pStyle w:val="Heading11"/>
      </w:pPr>
    </w:p>
    <w:p w:rsidR="001D35AE" w:rsidP="001D35AE" w14:paraId="1FEA12DC" w14:textId="6AC70DCF">
      <w:pPr>
        <w:pStyle w:val="Heading11"/>
      </w:pPr>
    </w:p>
    <w:p w:rsidR="001D35AE" w:rsidP="001D35AE" w14:paraId="0DFF1D8A" w14:textId="77777777">
      <w:pPr>
        <w:pStyle w:val="Heading11"/>
      </w:pPr>
    </w:p>
    <w:p w:rsidR="001D35AE" w:rsidP="001D35AE" w14:paraId="663593C0" w14:textId="77777777">
      <w:pPr>
        <w:pStyle w:val="Heading11"/>
      </w:pPr>
    </w:p>
    <w:p w:rsidR="001D35AE" w:rsidP="001D35AE" w14:paraId="26BAA3BF" w14:textId="77777777">
      <w:pPr>
        <w:pStyle w:val="Heading11"/>
      </w:pPr>
    </w:p>
    <w:p w:rsidR="001D35AE" w:rsidP="001D35AE" w14:paraId="6E1D93D9" w14:textId="77777777">
      <w:pPr>
        <w:pStyle w:val="Heading11"/>
      </w:pPr>
    </w:p>
    <w:p w:rsidR="001D35AE" w:rsidP="001D35AE" w14:paraId="3123C8E7" w14:textId="77777777">
      <w:pPr>
        <w:pStyle w:val="Heading11"/>
      </w:pPr>
    </w:p>
    <w:p w:rsidR="001D35AE" w:rsidP="001D35AE" w14:paraId="3AE4146A" w14:textId="77777777">
      <w:pPr>
        <w:pStyle w:val="Heading11"/>
      </w:pPr>
    </w:p>
    <w:p w:rsidR="001D35AE" w:rsidP="001D35AE" w14:paraId="183AB0D0" w14:textId="44DF0588">
      <w:pPr>
        <w:pStyle w:val="Heading11"/>
      </w:pPr>
      <w:r>
        <w:t>6. KONSERNIRAKENNE</w:t>
      </w:r>
    </w:p>
    <w:p w:rsidR="001D35AE" w:rsidP="001D35AE" w14:paraId="1E9DD7BB" w14:textId="23AE2732">
      <w:pPr>
        <w:pStyle w:val="Heading12"/>
        <w:rPr>
          <w:b w:val="0"/>
        </w:rPr>
      </w:pPr>
      <w:r>
        <w:rPr>
          <w:noProof/>
        </w:rPr>
        <mc:AlternateContent>
          <mc:Choice Requires="wps">
            <w:drawing>
              <wp:anchor distT="0" distB="0" distL="114300" distR="114300" simplePos="0" relativeHeight="251677696" behindDoc="0" locked="0" layoutInCell="1" allowOverlap="1">
                <wp:simplePos x="0" y="0"/>
                <wp:positionH relativeFrom="column">
                  <wp:posOffset>0</wp:posOffset>
                </wp:positionH>
                <wp:positionV relativeFrom="paragraph">
                  <wp:posOffset>53975</wp:posOffset>
                </wp:positionV>
                <wp:extent cx="4679950" cy="0"/>
                <wp:effectExtent l="19050" t="19050" r="25400" b="19050"/>
                <wp:wrapNone/>
                <wp:docPr id="1006356018" name="Straight Connector 3"/>
                <wp:cNvGraphicFramePr/>
                <a:graphic xmlns:a="http://schemas.openxmlformats.org/drawingml/2006/main">
                  <a:graphicData uri="http://schemas.microsoft.com/office/word/2010/wordprocessingShape">
                    <wps:wsp xmlns:wps="http://schemas.microsoft.com/office/word/2010/wordprocessingShape">
                      <wps:cNvCnPr/>
                      <wps:spPr>
                        <a:xfrm>
                          <a:off x="0" y="0"/>
                          <a:ext cx="4679950" cy="0"/>
                        </a:xfrm>
                        <a:prstGeom prst="line">
                          <a:avLst/>
                        </a:prstGeom>
                        <a:ln w="28575" cap="rnd">
                          <a:solidFill>
                            <a:srgbClr val="99B7C4"/>
                          </a:solidFill>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id="Straight Connector 3" o:spid="_x0000_s1041" style="mso-height-percent:0;mso-height-relative:page;mso-width-percent:0;mso-width-relative:margin;mso-wrap-distance-bottom:0;mso-wrap-distance-left:9pt;mso-wrap-distance-right:9pt;mso-wrap-distance-top:0;position:absolute;v-text-anchor:top;z-index:251676672" from="0,4.25pt" to="368.5pt,4.25pt" fillcolor="this" stroked="t" strokecolor="#99b7c4" strokeweight="2.25pt">
                <v:stroke endcap="round"/>
              </v:line>
            </w:pict>
          </mc:Fallback>
        </mc:AlternateContent>
      </w:r>
    </w:p>
    <w:p w:rsidR="001D35AE" w:rsidP="001D35AE" w14:paraId="2869F54E" w14:textId="344E7FF1">
      <w:pPr>
        <w:pStyle w:val="Heading12"/>
        <w:rPr>
          <w:b w:val="0"/>
          <w:bCs/>
          <w:color w:val="99B7C4"/>
        </w:rPr>
      </w:pPr>
      <w:r>
        <w:rPr>
          <w:b w:val="0"/>
          <w:bCs/>
          <w:color w:val="99B7C4"/>
        </w:rPr>
        <w:t>Osion sisältö</w:t>
      </w:r>
      <w:r>
        <w:rPr>
          <w:b w:val="0"/>
          <w:bCs/>
          <w:color w:val="99B7C4"/>
        </w:rPr>
        <w:t>:</w:t>
      </w:r>
    </w:p>
    <w:p w:rsidR="001D35AE" w:rsidP="001D35AE" w14:paraId="03F4790C" w14:textId="77777777">
      <w:pPr>
        <w:pStyle w:val="Heading12"/>
        <w:ind w:left="284"/>
        <w:rPr>
          <w:color w:val="99B7C4"/>
          <w:sz w:val="12"/>
          <w:szCs w:val="12"/>
        </w:rPr>
      </w:pPr>
    </w:p>
    <w:p w:rsidR="001D35AE" w:rsidRPr="008D5108" w:rsidP="001D35AE" w14:paraId="54D46E51" w14:textId="59071AC4">
      <w:pPr>
        <w:pStyle w:val="Heading12"/>
        <w:ind w:left="284"/>
        <w:rPr>
          <w:color w:val="99B7C4"/>
          <w:lang w:val="fi-FI"/>
        </w:rPr>
      </w:pPr>
      <w:r w:rsidRPr="008D5108">
        <w:rPr>
          <w:color w:val="99B7C4"/>
          <w:lang w:val="fi-FI"/>
        </w:rPr>
        <w:t>6.1. YRITYSHANKINNAT</w:t>
      </w:r>
    </w:p>
    <w:p w:rsidR="001D35AE" w:rsidRPr="001D35AE" w:rsidP="001D35AE" w14:paraId="7498F2AA" w14:textId="719E1969">
      <w:pPr>
        <w:pStyle w:val="Heading12"/>
        <w:ind w:left="284"/>
        <w:rPr>
          <w:color w:val="99B7C4"/>
          <w:lang w:val="fi-FI"/>
        </w:rPr>
      </w:pPr>
      <w:r w:rsidRPr="001D35AE">
        <w:rPr>
          <w:color w:val="99B7C4"/>
          <w:lang w:val="fi-FI"/>
        </w:rPr>
        <w:t>6.2. YRITYSMYYNNIT</w:t>
      </w:r>
    </w:p>
    <w:p w:rsidR="001D35AE" w:rsidRPr="001D35AE" w:rsidP="001D35AE" w14:paraId="2AA24A69" w14:textId="6E17B987">
      <w:pPr>
        <w:pStyle w:val="Heading12"/>
        <w:ind w:left="284"/>
        <w:rPr>
          <w:color w:val="99B7C4"/>
          <w:lang w:val="fi-FI"/>
        </w:rPr>
      </w:pPr>
      <w:r w:rsidRPr="001D35AE">
        <w:rPr>
          <w:color w:val="99B7C4"/>
          <w:lang w:val="fi-FI"/>
        </w:rPr>
        <w:t>6.3. MYYTÄVÄNÄ OLEVAT OMAISUUSERÄT</w:t>
      </w:r>
    </w:p>
    <w:p w:rsidR="001D35AE" w:rsidRPr="001D35AE" w:rsidP="001D35AE" w14:paraId="2F0D724A" w14:textId="1429C772">
      <w:pPr>
        <w:pStyle w:val="Heading12"/>
        <w:ind w:left="284"/>
        <w:rPr>
          <w:color w:val="99B7C4"/>
          <w:lang w:val="fi-FI"/>
        </w:rPr>
      </w:pPr>
      <w:r w:rsidRPr="001D35AE">
        <w:rPr>
          <w:color w:val="99B7C4"/>
          <w:lang w:val="fi-FI"/>
        </w:rPr>
        <w:t>6.4. SI</w:t>
      </w:r>
      <w:r>
        <w:rPr>
          <w:color w:val="99B7C4"/>
          <w:lang w:val="fi-FI"/>
        </w:rPr>
        <w:t>JOITUKSET OSAKKUUS- JA YHTEISYRITYKSIIN</w:t>
      </w:r>
    </w:p>
    <w:p w:rsidR="001D35AE" w:rsidRPr="001D35AE" w:rsidP="001D35AE" w14:paraId="31E65A0C" w14:textId="0B7FE2E4">
      <w:pPr>
        <w:pStyle w:val="Heading12"/>
        <w:ind w:left="284"/>
        <w:rPr>
          <w:color w:val="99B7C4"/>
          <w:lang w:val="fi-FI"/>
        </w:rPr>
      </w:pPr>
      <w:r w:rsidRPr="001D35AE">
        <w:rPr>
          <w:color w:val="99B7C4"/>
          <w:lang w:val="fi-FI"/>
        </w:rPr>
        <w:t xml:space="preserve">6.5. </w:t>
      </w:r>
      <w:r>
        <w:rPr>
          <w:color w:val="99B7C4"/>
          <w:lang w:val="fi-FI"/>
        </w:rPr>
        <w:t>TYTÄRYHTIÖT</w:t>
      </w:r>
    </w:p>
    <w:p w:rsidR="001D35AE" w:rsidRPr="001D35AE" w:rsidP="001D35AE" w14:paraId="6D195E0A" w14:textId="609BF2F6">
      <w:pPr>
        <w:pStyle w:val="Heading12"/>
        <w:ind w:left="284"/>
        <w:rPr>
          <w:color w:val="99B7C4"/>
          <w:lang w:val="fi-FI"/>
        </w:rPr>
      </w:pPr>
      <w:r w:rsidRPr="001D35AE">
        <w:rPr>
          <w:color w:val="99B7C4"/>
          <w:lang w:val="fi-FI"/>
        </w:rPr>
        <w:t xml:space="preserve">6.6. </w:t>
      </w:r>
      <w:r>
        <w:rPr>
          <w:color w:val="99B7C4"/>
          <w:lang w:val="fi-FI"/>
        </w:rPr>
        <w:t>TILINPÄÄTÖSKURSSEJA</w:t>
      </w:r>
    </w:p>
    <w:p w:rsidR="001D35AE" w:rsidRPr="001D35AE" w:rsidP="001D35AE" w14:paraId="0139A41E" w14:textId="2673A7A3">
      <w:pPr>
        <w:pStyle w:val="Bodytext2"/>
        <w:rPr>
          <w:lang w:val="fi-FI"/>
        </w:rPr>
      </w:pPr>
      <w:r>
        <w:rPr>
          <w:noProof/>
        </w:rPr>
        <mc:AlternateContent>
          <mc:Choice Requires="wps">
            <w:drawing>
              <wp:anchor distT="0" distB="0" distL="114300" distR="114300" simplePos="0" relativeHeight="251687936" behindDoc="0" locked="0" layoutInCell="1" allowOverlap="1">
                <wp:simplePos x="0" y="0"/>
                <wp:positionH relativeFrom="column">
                  <wp:posOffset>0</wp:posOffset>
                </wp:positionH>
                <wp:positionV relativeFrom="paragraph">
                  <wp:posOffset>71755</wp:posOffset>
                </wp:positionV>
                <wp:extent cx="4679950" cy="0"/>
                <wp:effectExtent l="19050" t="19050" r="25400" b="19050"/>
                <wp:wrapNone/>
                <wp:docPr id="1786728486" name="Straight Connector 2"/>
                <wp:cNvGraphicFramePr/>
                <a:graphic xmlns:a="http://schemas.openxmlformats.org/drawingml/2006/main">
                  <a:graphicData uri="http://schemas.microsoft.com/office/word/2010/wordprocessingShape">
                    <wps:wsp xmlns:wps="http://schemas.microsoft.com/office/word/2010/wordprocessingShape">
                      <wps:cNvCnPr/>
                      <wps:spPr>
                        <a:xfrm>
                          <a:off x="0" y="0"/>
                          <a:ext cx="4679950" cy="0"/>
                        </a:xfrm>
                        <a:prstGeom prst="line">
                          <a:avLst/>
                        </a:prstGeom>
                        <a:ln w="28575" cap="rnd">
                          <a:solidFill>
                            <a:srgbClr val="99B7C4"/>
                          </a:solidFill>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id="Straight Connector 2" o:spid="_x0000_s1042" style="mso-height-percent:0;mso-height-relative:page;mso-width-percent:0;mso-width-relative:margin;mso-wrap-distance-bottom:0;mso-wrap-distance-left:9pt;mso-wrap-distance-right:9pt;mso-wrap-distance-top:0;position:absolute;v-text-anchor:top;z-index:251686912" from="0,5.65pt" to="368.5pt,5.65pt" fillcolor="this" stroked="t" strokecolor="#99b7c4" strokeweight="2.25pt">
                <v:stroke endcap="round"/>
              </v:line>
            </w:pict>
          </mc:Fallback>
        </mc:AlternateContent>
      </w:r>
    </w:p>
    <w:p w:rsidR="001D35AE" w:rsidRPr="001D35AE" w:rsidP="001D35AE" w14:paraId="1B59B764" w14:textId="77777777">
      <w:pPr>
        <w:pStyle w:val="Bodytext2"/>
        <w:rPr>
          <w:szCs w:val="15"/>
          <w:lang w:val="fi-FI"/>
        </w:rPr>
      </w:pPr>
    </w:p>
    <w:p w:rsidR="001D35AE" w:rsidRPr="001D35AE" w:rsidP="001D35AE" w14:paraId="5BDD3C69" w14:textId="77777777">
      <w:pPr>
        <w:pStyle w:val="Bodytext2"/>
        <w:rPr>
          <w:lang w:val="fi-FI"/>
        </w:rPr>
      </w:pPr>
    </w:p>
    <w:p w:rsidR="00232A17" w:rsidRPr="001D35AE" w:rsidP="00232A17" w14:paraId="38AAAB40" w14:textId="5A0CF9FD">
      <w:pPr>
        <w:pStyle w:val="Heading12"/>
        <w:rPr>
          <w:lang w:val="fi-FI"/>
        </w:rPr>
      </w:pPr>
      <w:r w:rsidRPr="001D35AE">
        <w:rPr>
          <w:lang w:val="fi-FI"/>
        </w:rPr>
        <w:t>6.1. YRITYSHANKINNAT</w:t>
      </w:r>
    </w:p>
    <w:tbl>
      <w:tblPr>
        <w:tblStyle w:val="TableGrid0"/>
        <w:tblW w:w="7371" w:type="dxa"/>
        <w:tblInd w:w="5" w:type="dxa"/>
        <w:tblLook w:val="04A0"/>
      </w:tblPr>
      <w:tblGrid>
        <w:gridCol w:w="7371"/>
      </w:tblGrid>
      <w:tr w14:paraId="13F5744E" w14:textId="77777777" w:rsidTr="00232A17">
        <w:tblPrEx>
          <w:tblW w:w="7371" w:type="dxa"/>
          <w:tblInd w:w="5" w:type="dxa"/>
          <w:tblLook w:val="04A0"/>
        </w:tblPrEx>
        <w:tc>
          <w:tcPr>
            <w:tcW w:w="7361" w:type="dxa"/>
            <w:shd w:val="clear" w:color="auto" w:fill="B6C8D1"/>
          </w:tcPr>
          <w:p w:rsidR="00232A17" w:rsidRPr="00232A17" w14:paraId="06788A53" w14:textId="378D8E4F">
            <w:pPr>
              <w:pStyle w:val="Heading13"/>
              <w:rPr>
                <w:rFonts w:cstheme="minorHAnsi"/>
              </w:rPr>
            </w:pPr>
            <w:r w:rsidRPr="00232A17">
              <w:t>Laadintaperiaatteet</w:t>
            </w:r>
          </w:p>
          <w:p w:rsidR="00232A17" w:rsidP="00232A17" w14:paraId="33CD7165" w14:textId="29713D89">
            <w:pPr>
              <w:pStyle w:val="Bodytext2"/>
            </w:pPr>
            <w:r w:rsidRPr="00232A17">
              <w:t xml:space="preserve">Hankitut tai perustetut tytäryhtiöt sisällytetään konsernitilinpäätökseen käyttäen hankintamenetelmää. Tällöin luovutettu vastike ja hankitun yrityksen yksilöitävissä olevat varat ja vastattavaksi otetut velat on arvostettu käypään arvoon hankintahetkellä. Konsernin lisätessä omistusosuuttaan sellaisessa yhtiössä, jossa Wärtsilällä on jo ollut määräysvalta, määräysvallattomien omistajien osuus hankinnan kohteesta arvostetaan joko käypään arvoon tai siihen määrään, joka vastaa määräysvallattomien omistajien osuuden suhteellista osuutta hankinnan kohteen yksilöitävissä olevasta nettovarallisuudesta. Hankinnasta syntynyt liikearvo kirjataan määrään, jolla luovutettu vastike, mahdollinen määräysvallattomien </w:t>
            </w:r>
            <w:r w:rsidRPr="00E34619">
              <w:t>omistajien osuus hankinnan kohteesta ja mahdollinen aiemmin omistettu osuus yhteenlaskettuina, ylittää konsernin osuuden hankitun nettovarallisuuden käyvästä arvosta. Liikearvoille suoritetaan arvonalentumistestaus vähintään vuosittain. Hankintameno sisältää mahdolliset käypään arvoon arvostetut luovutetut varat. Luovutettu vastike ei sisällä hankin</w:t>
            </w:r>
            <w:r w:rsidRPr="00E34619" w:rsidR="00E34619">
              <w:t>taan liittyviä menoja. Ne</w:t>
            </w:r>
            <w:r w:rsidRPr="00E34619">
              <w:t xml:space="preserve"> kirjataan tuloslaskelmaan kuluiksi kausille, joiden aikana menot toteutuvat ja palvelut otetaan vastaan, lukuun ottamatta vieraan- tai omanpääomanehtoisten</w:t>
            </w:r>
            <w:r w:rsidRPr="00232A17">
              <w:t xml:space="preserve"> arvopapereiden liikkeeseen laskusta aiheutuvia menoja.</w:t>
            </w:r>
          </w:p>
          <w:p w:rsidR="00232A17" w:rsidP="00232A17" w14:paraId="20AC1E13" w14:textId="060A71A2">
            <w:pPr>
              <w:pStyle w:val="Bodytext2"/>
            </w:pPr>
          </w:p>
          <w:p w:rsidR="00232A17" w:rsidP="00232A17" w14:paraId="59B60634" w14:textId="0B1ED133">
            <w:pPr>
              <w:pStyle w:val="Bodytext2"/>
            </w:pPr>
            <w:r w:rsidRPr="00232A17">
              <w:t>Merkittävissä liiketoimintojen yhdistämisissä konserni on käyttänyt ulkopuolista neuvonantajaa arvioitaessa aineellisten ja aineettomien hyödykkeiden käypiä arvoja. Aineellisten hyödykkeiden osalta on tehty vertailuja vastaavien hyödykkeiden markkinahintoihin ja arvioitu hankittujen hyödykkeiden iästä, kulumisesta ja muista vastaavista tekijöistä aiheutuva arvon vähentyminen. Aineettomien hyödykkeiden käyvän arvon määritys perustuu arvioihin hyödykkeisiin liittyvistä tulevista rahavirroista. Hankitut aineettomat hyödykkeet koostuvat yleensä teknologiasta, asiakassuhteista ja tavaramerkeistä.</w:t>
            </w:r>
          </w:p>
          <w:p w:rsidR="00232A17" w:rsidP="00232A17" w14:paraId="17D7EEE6" w14:textId="51F4AE71">
            <w:pPr>
              <w:pStyle w:val="Bodytext2"/>
            </w:pPr>
          </w:p>
          <w:p w:rsidR="00232A17" w:rsidP="00232A17" w14:paraId="32D50A6E" w14:textId="6E7BDB2C">
            <w:pPr>
              <w:pStyle w:val="Bodytext2"/>
            </w:pPr>
            <w:r w:rsidRPr="00232A17">
              <w:t xml:space="preserve">Liiketoimintojen yhdistämiseen liittyvä mahdollinen ehdollinen vastike (lisäkauppahinta) arvostetaan käypään arvoon hankintahetkellä. Se luokitellaan joko velaksi tai omaksi pääomaksi. Velaksi määritelty ehdollinen </w:t>
            </w:r>
            <w:r w:rsidRPr="00232A17">
              <w:t xml:space="preserve">vastike arvostetaan käypään arvoon kunkin </w:t>
            </w:r>
            <w:r>
              <w:t>raportointi</w:t>
            </w:r>
            <w:r w:rsidRPr="00232A17">
              <w:t>kauden viimeisenä päivänä, ja tästä aiheutuva tappio tai voitto kirjataan tulosvaikutteisesti. Omaksi pääomaksi määriteltyä ehdollista vastiketta ei arvosteta uudelleen.</w:t>
            </w:r>
          </w:p>
          <w:p w:rsidR="00232A17" w:rsidRPr="00232A17" w:rsidP="00232A17" w14:paraId="5F2FD74A" w14:textId="77777777">
            <w:pPr>
              <w:pStyle w:val="Bodytext2"/>
            </w:pPr>
          </w:p>
          <w:p w:rsidR="00232A17" w:rsidRPr="001D35AE" w14:paraId="0FFA64B0" w14:textId="1BC6E789">
            <w:pPr>
              <w:pStyle w:val="Bodytext2"/>
              <w:rPr>
                <w:highlight w:val="yellow"/>
              </w:rPr>
            </w:pPr>
            <w:r w:rsidRPr="00232A17">
              <w:t>Hankitut tytäryhtiöt yhdistellään konsernitilinpäätökseen siitä hetkestä lähtien, kun konserni on saanut määräysvallan</w:t>
            </w:r>
            <w:r>
              <w:t>.</w:t>
            </w:r>
          </w:p>
        </w:tc>
      </w:tr>
    </w:tbl>
    <w:p w:rsidR="003E221D" w:rsidP="00232A17" w14:paraId="647C7E50" w14:textId="5AEFF076">
      <w:pPr>
        <w:pStyle w:val="Heading13"/>
        <w:rPr>
          <w:lang w:val="fi-FI"/>
        </w:rPr>
      </w:pPr>
    </w:p>
    <w:tbl>
      <w:tblPr>
        <w:tblStyle w:val="TableGrid"/>
        <w:tblW w:w="7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7DFE1"/>
        <w:tblLook w:val="04A0"/>
      </w:tblPr>
      <w:tblGrid>
        <w:gridCol w:w="7371"/>
      </w:tblGrid>
      <w:tr w14:paraId="11E68356" w14:textId="77777777" w:rsidTr="001D35AE">
        <w:tblPrEx>
          <w:tblW w:w="7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7DFE1"/>
          <w:tblLook w:val="04A0"/>
        </w:tblPrEx>
        <w:tc>
          <w:tcPr>
            <w:tcW w:w="7360" w:type="dxa"/>
            <w:shd w:val="clear" w:color="auto" w:fill="D7DFE1"/>
          </w:tcPr>
          <w:p w:rsidR="001D35AE" w:rsidRPr="001D35AE" w:rsidP="001D35AE" w14:paraId="2209B0AB" w14:textId="77777777">
            <w:pPr>
              <w:pStyle w:val="Heading13"/>
              <w:rPr>
                <w:rFonts w:cstheme="minorHAnsi"/>
                <w:lang w:val="fi-FI"/>
              </w:rPr>
            </w:pPr>
            <w:r w:rsidRPr="001D35AE">
              <w:rPr>
                <w:lang w:val="fi-FI"/>
              </w:rPr>
              <w:t>Kirjanpidolliset arviot ja harkinnat</w:t>
            </w:r>
          </w:p>
          <w:p w:rsidR="001D35AE" w:rsidRPr="001D35AE" w:rsidP="001D35AE" w14:paraId="785C8EFD" w14:textId="68CB5EA5">
            <w:pPr>
              <w:pStyle w:val="Bodytext2"/>
              <w:rPr>
                <w:lang w:val="fi-FI"/>
              </w:rPr>
            </w:pPr>
            <w:r w:rsidRPr="001D35AE">
              <w:rPr>
                <w:lang w:val="fi-FI"/>
              </w:rPr>
              <w:t>Liiketoimintojen yhdistämisen kirjanpitokäsittely saattaa edellyttää arvioita hankittujen varallisuuserien käyvästä arvosta ja toteutuneiden ehdollisten vastikkeiden määrästä.</w:t>
            </w:r>
          </w:p>
        </w:tc>
      </w:tr>
    </w:tbl>
    <w:p w:rsidR="001D35AE" w:rsidP="001D35AE" w14:paraId="41E8C36C" w14:textId="00D60C23">
      <w:pPr>
        <w:pStyle w:val="Bodytext2"/>
        <w:rPr>
          <w:lang w:val="fi-FI"/>
        </w:rPr>
      </w:pPr>
    </w:p>
    <w:p w:rsidR="003E221D" w:rsidRPr="00E34619" w:rsidP="003E221D" w14:paraId="538DFFD7" w14:textId="086842FA">
      <w:pPr>
        <w:pStyle w:val="Heading13"/>
        <w:rPr>
          <w:lang w:val="fi-FI"/>
        </w:rPr>
      </w:pPr>
      <w:r w:rsidRPr="00E34619">
        <w:rPr>
          <w:lang w:val="fi-FI"/>
        </w:rPr>
        <w:t>202</w:t>
      </w:r>
      <w:r>
        <w:rPr>
          <w:lang w:val="fi-FI"/>
        </w:rPr>
        <w:t>1</w:t>
      </w:r>
    </w:p>
    <w:p w:rsidR="003E221D" w:rsidRPr="00E34619" w:rsidP="003E221D" w14:paraId="099CD04C" w14:textId="40A477F4">
      <w:pPr>
        <w:pStyle w:val="Bodytext2"/>
        <w:rPr>
          <w:lang w:val="fi-FI"/>
        </w:rPr>
      </w:pPr>
      <w:r>
        <w:rPr>
          <w:lang w:val="fi-FI"/>
        </w:rPr>
        <w:t>Vuonna 2021 ei tehty yrityshankintoja.</w:t>
      </w:r>
    </w:p>
    <w:p w:rsidR="003E221D" w:rsidP="00232A17" w14:paraId="24DA704B" w14:textId="77777777">
      <w:pPr>
        <w:pStyle w:val="Heading13"/>
        <w:rPr>
          <w:lang w:val="fi-FI"/>
        </w:rPr>
      </w:pPr>
    </w:p>
    <w:p w:rsidR="00232A17" w:rsidRPr="00E34619" w:rsidP="00232A17" w14:paraId="0041264C" w14:textId="3FFB4031">
      <w:pPr>
        <w:pStyle w:val="Heading13"/>
        <w:rPr>
          <w:lang w:val="fi-FI"/>
        </w:rPr>
      </w:pPr>
      <w:r w:rsidRPr="00E34619">
        <w:rPr>
          <w:lang w:val="fi-FI"/>
        </w:rPr>
        <w:t>2020</w:t>
      </w:r>
    </w:p>
    <w:p w:rsidR="00232A17" w:rsidRPr="00232A17" w:rsidP="00232A17" w14:paraId="4DB5AC0D" w14:textId="45754C41">
      <w:pPr>
        <w:pStyle w:val="Bodytext2"/>
        <w:rPr>
          <w:lang w:val="fi-FI"/>
        </w:rPr>
      </w:pPr>
      <w:r>
        <w:rPr>
          <w:lang w:val="fi-FI"/>
        </w:rPr>
        <w:t>Vuonna 2020 ei tehty yrityshankintoja.</w:t>
      </w:r>
    </w:p>
    <w:p/>
    <w:p w:rsidR="009E7B0C" w:rsidP="009E7B0C" w14:paraId="0EBB5311" w14:textId="2F548B0C">
      <w:pPr>
        <w:pStyle w:val="Heading12"/>
      </w:pPr>
      <w:bookmarkStart w:id="1487" w:name="RG_MARKER_7439"/>
      <w:r>
        <w:t>6.2. YRITYSMYYNNIT</w:t>
      </w:r>
      <w:bookmarkEnd w:id="1487"/>
    </w:p>
    <w:tbl>
      <w:tblPr>
        <w:tblStyle w:val="TableGrid"/>
        <w:tblW w:w="7371" w:type="dxa"/>
        <w:tblLook w:val="04A0"/>
      </w:tblPr>
      <w:tblGrid>
        <w:gridCol w:w="7371"/>
      </w:tblGrid>
      <w:tr w14:paraId="4C4B839E" w14:textId="77777777" w:rsidTr="009E7B0C">
        <w:tblPrEx>
          <w:tblW w:w="7371" w:type="dxa"/>
          <w:tblLook w:val="04A0"/>
        </w:tblPrEx>
        <w:tc>
          <w:tcPr>
            <w:tcW w:w="7371" w:type="dxa"/>
            <w:tcBorders>
              <w:top w:val="nil"/>
              <w:left w:val="nil"/>
              <w:bottom w:val="nil"/>
              <w:right w:val="nil"/>
            </w:tcBorders>
            <w:shd w:val="clear" w:color="auto" w:fill="B6C8D1"/>
            <w:hideMark/>
          </w:tcPr>
          <w:p w:rsidR="009E7B0C" w:rsidRPr="009E7B0C" w14:paraId="436E64DA" w14:textId="19FEC4A9">
            <w:pPr>
              <w:pStyle w:val="Heading13"/>
              <w:rPr>
                <w:rFonts w:eastAsiaTheme="minorEastAsia" w:cstheme="minorHAnsi"/>
                <w:lang w:val="fi-FI" w:eastAsia="fi-FI"/>
              </w:rPr>
            </w:pPr>
            <w:r w:rsidRPr="009E7B0C">
              <w:rPr>
                <w:lang w:val="fi-FI"/>
              </w:rPr>
              <w:t>Laadintaperiaatteet</w:t>
            </w:r>
          </w:p>
          <w:p w:rsidR="009E7B0C" w:rsidRPr="009E7B0C" w14:paraId="7D1FE971" w14:textId="662CE271">
            <w:pPr>
              <w:pStyle w:val="Bodytext2"/>
              <w:rPr>
                <w:rFonts w:eastAsiaTheme="minorEastAsia"/>
                <w:color w:val="0F172B"/>
                <w:lang w:val="fi-FI" w:eastAsia="fi-FI"/>
              </w:rPr>
            </w:pPr>
            <w:r>
              <w:rPr>
                <w:color w:val="0F172B"/>
                <w:lang w:val="fi-FI"/>
              </w:rPr>
              <w:t xml:space="preserve">Luovutetut </w:t>
            </w:r>
            <w:r w:rsidRPr="009E7B0C">
              <w:rPr>
                <w:color w:val="0F172B"/>
                <w:lang w:val="fi-FI"/>
              </w:rPr>
              <w:t>tytäryhtiöt yhdistellään konsernitilinpäätökseen siihen</w:t>
            </w:r>
            <w:r>
              <w:rPr>
                <w:color w:val="0F172B"/>
                <w:lang w:val="fi-FI"/>
              </w:rPr>
              <w:t xml:space="preserve"> hetkeen asti</w:t>
            </w:r>
            <w:r w:rsidRPr="009E7B0C">
              <w:rPr>
                <w:color w:val="0F172B"/>
                <w:lang w:val="fi-FI"/>
              </w:rPr>
              <w:t>, jolloin määräysvalta lakkaa.</w:t>
            </w:r>
          </w:p>
        </w:tc>
      </w:tr>
    </w:tbl>
    <w:p w:rsidR="00C80463" w:rsidP="009E7B0C" w14:paraId="78A54F9B" w14:textId="77777777">
      <w:pPr>
        <w:pStyle w:val="Heading13"/>
        <w:rPr>
          <w:lang w:val="fi-FI"/>
        </w:rPr>
      </w:pPr>
    </w:p>
    <w:p w:rsidR="00C80463" w:rsidP="009E7B0C" w14:paraId="0D9C10FF" w14:textId="4D90623F">
      <w:pPr>
        <w:pStyle w:val="Heading13"/>
        <w:rPr>
          <w:lang w:val="fi-FI"/>
        </w:rPr>
      </w:pPr>
      <w:r w:rsidRPr="00BC2EED">
        <w:rPr>
          <w:lang w:val="fi-FI"/>
        </w:rPr>
        <w:t>202</w:t>
      </w:r>
      <w:r>
        <w:rPr>
          <w:lang w:val="fi-FI"/>
        </w:rPr>
        <w:t>1</w:t>
      </w:r>
    </w:p>
    <w:p w:rsidR="00C80463" w:rsidP="00C80463" w14:paraId="03B88DF5" w14:textId="03A2A3DA">
      <w:pPr>
        <w:pStyle w:val="Bodytext2"/>
        <w:rPr>
          <w:color w:val="0F172B"/>
          <w:lang w:val="fi-FI"/>
        </w:rPr>
      </w:pPr>
      <w:r w:rsidRPr="00C80463">
        <w:rPr>
          <w:color w:val="0F172B"/>
          <w:lang w:val="fi-FI"/>
        </w:rPr>
        <w:t>Huhtikuussa 2021 Wärtsilä myi 100% viihdejärjestelmät-liiketoimintayksikön, Wärtsilä Funa GmbH:n, osakkeista ranskalaiselle pörssiyhtiölle Videlio SA:lle. Yritysmyynnistä ilmoitettiin tammikuussa 2021.</w:t>
      </w:r>
    </w:p>
    <w:p w:rsidR="00C80463" w:rsidP="00C80463" w14:paraId="2EA9700F" w14:textId="77777777">
      <w:pPr>
        <w:pStyle w:val="Bodytext2"/>
        <w:rPr>
          <w:color w:val="0F172B"/>
          <w:lang w:val="fi-FI"/>
        </w:rPr>
      </w:pPr>
    </w:p>
    <w:p w:rsidR="00C80463" w:rsidP="00C80463" w14:paraId="752BAE45" w14:textId="11748C6C">
      <w:pPr>
        <w:pStyle w:val="Bodytext2"/>
        <w:rPr>
          <w:color w:val="0F172B"/>
          <w:lang w:val="fi-FI"/>
        </w:rPr>
      </w:pPr>
      <w:r w:rsidRPr="00C80463">
        <w:rPr>
          <w:color w:val="0F172B"/>
          <w:lang w:val="fi-FI"/>
        </w:rPr>
        <w:t>Viihdejärjestelmät suunnittelee, valmistaa ja integr</w:t>
      </w:r>
      <w:r w:rsidRPr="00C80463">
        <w:rPr>
          <w:color w:val="0F172B"/>
          <w:lang w:val="fi-FI"/>
        </w:rPr>
        <w:t>oi viihde-, valaistus-, valaistuksen säätö-, kuulutus- ja digitaalisen äänentoiston järjestelmiä risteilyaluksiin ja huvipuistoihin. Liikevaihto vuonna 2020 oli noin 50 miljoonaa euroa. Myynnin vaikutus raportointikauden tulokseen ei ole olennainen.</w:t>
      </w:r>
    </w:p>
    <w:p w:rsidR="00C80463" w:rsidP="00C80463" w14:paraId="7B31B6BE" w14:textId="77777777">
      <w:pPr>
        <w:pStyle w:val="Bodytext2"/>
        <w:rPr>
          <w:color w:val="0F172B"/>
          <w:lang w:val="fi-FI"/>
        </w:rPr>
      </w:pPr>
    </w:p>
    <w:p w:rsidR="00C80463" w:rsidP="00C80463" w14:paraId="57B08755" w14:textId="31E8D13C">
      <w:pPr>
        <w:pStyle w:val="Bodytext2"/>
        <w:rPr>
          <w:color w:val="0F172B"/>
          <w:lang w:val="fi-FI"/>
        </w:rPr>
      </w:pPr>
      <w:r w:rsidRPr="00C80463">
        <w:rPr>
          <w:color w:val="0F172B"/>
          <w:lang w:val="fi-FI"/>
        </w:rPr>
        <w:t>Hein</w:t>
      </w:r>
      <w:r w:rsidRPr="00C80463">
        <w:rPr>
          <w:color w:val="0F172B"/>
          <w:lang w:val="fi-FI"/>
        </w:rPr>
        <w:t>äkuussa 2021 Wärtsilä myi 100% Wärtsilä EUROATLAS GmbH:n osakkeista ruotsalaiselle globaalisti toimivalle sijoitusyhtiö</w:t>
      </w:r>
      <w:r>
        <w:rPr>
          <w:color w:val="0F172B"/>
          <w:lang w:val="fi-FI"/>
        </w:rPr>
        <w:t>lle,</w:t>
      </w:r>
      <w:r w:rsidRPr="00C80463">
        <w:rPr>
          <w:color w:val="0F172B"/>
          <w:lang w:val="fi-FI"/>
        </w:rPr>
        <w:t xml:space="preserve"> Mimirille. Wärtsilä EUROATLAS kuului muuntajat-liiketoimintayksikköön ja sen myynnistä ilmoitettiin maaliskuussa 2021.</w:t>
      </w:r>
    </w:p>
    <w:p w:rsidR="00C80463" w:rsidP="00C80463" w14:paraId="271974B7" w14:textId="77777777">
      <w:pPr>
        <w:pStyle w:val="Bodytext2"/>
        <w:rPr>
          <w:color w:val="0F172B"/>
          <w:lang w:val="fi-FI"/>
        </w:rPr>
      </w:pPr>
    </w:p>
    <w:p w:rsidR="00C80463" w:rsidP="00C80463" w14:paraId="79072844" w14:textId="7139F76C">
      <w:pPr>
        <w:pStyle w:val="Bodytext2"/>
        <w:rPr>
          <w:color w:val="0F172B"/>
          <w:lang w:val="fi-FI"/>
        </w:rPr>
      </w:pPr>
      <w:r w:rsidRPr="00C80463">
        <w:rPr>
          <w:color w:val="0F172B"/>
          <w:lang w:val="fi-FI"/>
        </w:rPr>
        <w:t>Wärtsilä EUROAT</w:t>
      </w:r>
      <w:r w:rsidRPr="00C80463">
        <w:rPr>
          <w:color w:val="0F172B"/>
          <w:lang w:val="fi-FI"/>
        </w:rPr>
        <w:t>LAS tarjoaa globaalille asiakaskunnalleen räätälöityjä korkean suorituskyvyn tehonmuunnosratkaisuja meri-, ilmailu- ja maasovelluksiin, jotka edellyttävät ehdotonta luotettavuutta, tehotiheyttä ja huippuluokan energiatehokkuutta ankarissa ympäristöolosuhte</w:t>
      </w:r>
      <w:r w:rsidRPr="00C80463">
        <w:rPr>
          <w:color w:val="0F172B"/>
          <w:lang w:val="fi-FI"/>
        </w:rPr>
        <w:t>issa. Tuotteet ja palvelut sisältävät alkuperäisen suunnittelun, jälkiasennukset, päivitykset, huollon, varaosat ja koulutuksen. Liikevaihto vuonna 2020 oli noin 10 miljoonaa euroa. Omaisuuserän myytävänä olevaksi luokittelun vaikutus tilikauden 2020 tulok</w:t>
      </w:r>
      <w:r w:rsidRPr="00C80463">
        <w:rPr>
          <w:color w:val="0F172B"/>
          <w:lang w:val="fi-FI"/>
        </w:rPr>
        <w:t xml:space="preserve">seen oli noin -6 miljoonaa euroa, ja myynnin vaikutus </w:t>
      </w:r>
      <w:r>
        <w:rPr>
          <w:color w:val="0F172B"/>
          <w:lang w:val="fi-FI"/>
        </w:rPr>
        <w:t>raportointikauden</w:t>
      </w:r>
      <w:r w:rsidRPr="00C80463">
        <w:rPr>
          <w:color w:val="0F172B"/>
          <w:lang w:val="fi-FI"/>
        </w:rPr>
        <w:t xml:space="preserve"> 2021 tulokseen on -2 miljoonaa euroa.</w:t>
      </w:r>
    </w:p>
    <w:p w:rsidR="00C80463" w:rsidP="00C80463" w14:paraId="0844AC3D" w14:textId="77777777">
      <w:pPr>
        <w:pStyle w:val="Bodytext2"/>
        <w:rPr>
          <w:color w:val="0F172B"/>
          <w:lang w:val="fi-FI"/>
        </w:rPr>
      </w:pPr>
    </w:p>
    <w:p w:rsidR="00C80463" w:rsidRPr="00C80463" w:rsidP="00C80463" w14:paraId="57A2B858" w14:textId="57D5D6E1">
      <w:pPr>
        <w:pStyle w:val="Bodytext2"/>
        <w:rPr>
          <w:color w:val="0F172B"/>
          <w:lang w:val="fi-FI"/>
        </w:rPr>
      </w:pPr>
      <w:r w:rsidRPr="00C80463">
        <w:rPr>
          <w:color w:val="0F172B"/>
          <w:lang w:val="fi-FI"/>
        </w:rPr>
        <w:t>Kaikki myydyt liiketoimintayksiköt kuuluivat Por</w:t>
      </w:r>
      <w:r>
        <w:rPr>
          <w:color w:val="0F172B"/>
          <w:lang w:val="fi-FI"/>
        </w:rPr>
        <w:t>t</w:t>
      </w:r>
      <w:r w:rsidRPr="00C80463">
        <w:rPr>
          <w:color w:val="0F172B"/>
          <w:lang w:val="fi-FI"/>
        </w:rPr>
        <w:t>folio Businessiin</w:t>
      </w:r>
      <w:r>
        <w:rPr>
          <w:color w:val="0F172B"/>
          <w:lang w:val="fi-FI"/>
        </w:rPr>
        <w:t>.</w:t>
      </w:r>
    </w:p>
    <w:p w:rsidR="00C80463" w:rsidP="009E7B0C" w14:paraId="048C9674" w14:textId="77777777">
      <w:pPr>
        <w:pStyle w:val="Heading13"/>
        <w:rPr>
          <w:lang w:val="fi-FI"/>
        </w:rPr>
      </w:pPr>
    </w:p>
    <w:p w:rsidR="009E7B0C" w:rsidRPr="00BC2EED" w:rsidP="009E7B0C" w14:paraId="4A11FD0D" w14:textId="701F870B">
      <w:pPr>
        <w:pStyle w:val="Heading13"/>
        <w:rPr>
          <w:lang w:val="fi-FI"/>
        </w:rPr>
      </w:pPr>
      <w:r w:rsidRPr="00BC2EED">
        <w:rPr>
          <w:lang w:val="fi-FI"/>
        </w:rPr>
        <w:t>2020</w:t>
      </w:r>
    </w:p>
    <w:p w:rsidR="00BC2EED" w:rsidP="00BC2EED" w14:paraId="538E064D" w14:textId="447E77A4">
      <w:pPr>
        <w:pStyle w:val="Bodytext2"/>
        <w:rPr>
          <w:color w:val="0F172B"/>
          <w:lang w:val="fi-FI"/>
        </w:rPr>
      </w:pPr>
      <w:r w:rsidRPr="00BC2EED">
        <w:rPr>
          <w:color w:val="0F172B"/>
          <w:lang w:val="fi-FI"/>
        </w:rPr>
        <w:t>Lokakuussa Wärtsilä myi 100% omistamansa Wärtsilä JOVYATLAS GmbH:n osak</w:t>
      </w:r>
      <w:r w:rsidRPr="00BC2EED">
        <w:rPr>
          <w:color w:val="0F172B"/>
          <w:lang w:val="fi-FI"/>
        </w:rPr>
        <w:t>keista saksalaiselle teollisuusyhtiölle Jacob Waitz Industrie GmbH:lle. Wärtsilä JOVYATLAS tarjosi keskeytymättömän virransyötön järjestelmiä, tasasuuntaajia, muuntajia, taajuusmuuttajia ja vastuksia sekä niihin liittyviä palveluita. Yhtiön liikevaihto oli</w:t>
      </w:r>
      <w:r w:rsidRPr="00BC2EED">
        <w:rPr>
          <w:color w:val="0F172B"/>
          <w:lang w:val="fi-FI"/>
        </w:rPr>
        <w:t xml:space="preserve"> 20 milj</w:t>
      </w:r>
      <w:r w:rsidR="00A843BC">
        <w:rPr>
          <w:color w:val="0F172B"/>
          <w:lang w:val="fi-FI"/>
        </w:rPr>
        <w:t>oonaa</w:t>
      </w:r>
      <w:r w:rsidRPr="00BC2EED">
        <w:rPr>
          <w:color w:val="0F172B"/>
          <w:lang w:val="fi-FI"/>
        </w:rPr>
        <w:t xml:space="preserve"> euroa vuonna 2019. Yritysmyynnin vaikutus tilikauden tulokseen on noin -6 milj</w:t>
      </w:r>
      <w:r>
        <w:rPr>
          <w:color w:val="0F172B"/>
          <w:lang w:val="fi-FI"/>
        </w:rPr>
        <w:t>oonaa</w:t>
      </w:r>
      <w:r w:rsidRPr="00BC2EED">
        <w:rPr>
          <w:color w:val="0F172B"/>
          <w:lang w:val="fi-FI"/>
        </w:rPr>
        <w:t xml:space="preserve"> euroa.</w:t>
      </w:r>
    </w:p>
    <w:p w:rsidR="00BC2EED" w:rsidRPr="00BC2EED" w:rsidP="00BC2EED" w14:paraId="7FD66132" w14:textId="77777777">
      <w:pPr>
        <w:pStyle w:val="Bodytext2"/>
        <w:rPr>
          <w:color w:val="0F172B"/>
          <w:lang w:val="fi-FI"/>
        </w:rPr>
      </w:pPr>
    </w:p>
    <w:p w:rsidR="00BC2EED" w:rsidP="00BC2EED" w14:paraId="0A948E25" w14:textId="4971AECB">
      <w:pPr>
        <w:pStyle w:val="Bodytext2"/>
        <w:rPr>
          <w:color w:val="0F172B"/>
          <w:lang w:val="fi-FI"/>
        </w:rPr>
      </w:pPr>
      <w:r w:rsidRPr="00BC2EED">
        <w:rPr>
          <w:color w:val="0F172B"/>
          <w:lang w:val="fi-FI"/>
        </w:rPr>
        <w:t>Myöskin lokakuussa Wärtsilä myi 100% omistamansa Wärtsilä Valves</w:t>
      </w:r>
      <w:r w:rsidRPr="00BC2EED">
        <w:rPr>
          <w:color w:val="0F172B"/>
          <w:lang w:val="fi-FI"/>
        </w:rPr>
        <w:t xml:space="preserve"> Ltd -yhtiön osakkeista New Yorkissa, Yhdysvalloissa, sijaitsevalle Evergreen Capital L.P.:lle. Myydyn yhtiön toiminnot sisälsivät nikkelialumiinipronssi- ja erikoisteräsventtiilien suunnittelun, kokoonpanon, testauksen, myynnin ja toimituksen merenkulku-,</w:t>
      </w:r>
      <w:r w:rsidRPr="00BC2EED">
        <w:rPr>
          <w:color w:val="0F172B"/>
          <w:lang w:val="fi-FI"/>
        </w:rPr>
        <w:t xml:space="preserve"> öljy- ja kaasu sekä energiamarkkinoille. Lisäksi se tarjo</w:t>
      </w:r>
      <w:r>
        <w:rPr>
          <w:color w:val="0F172B"/>
          <w:lang w:val="fi-FI"/>
        </w:rPr>
        <w:t>si</w:t>
      </w:r>
      <w:r w:rsidRPr="00BC2EED">
        <w:rPr>
          <w:color w:val="0F172B"/>
          <w:lang w:val="fi-FI"/>
        </w:rPr>
        <w:t xml:space="preserve"> venttiilituotesovelluksia FPSO-aluksille, petrokemian laitoksille, voimantuotantoon, merivoimille, jätevedenpuhdistamoille ja putkistoihin. Yhtiön liikevaihto oli noin 15 milj</w:t>
      </w:r>
      <w:r>
        <w:rPr>
          <w:color w:val="0F172B"/>
          <w:lang w:val="fi-FI"/>
        </w:rPr>
        <w:t>oonaa</w:t>
      </w:r>
      <w:r w:rsidRPr="00BC2EED">
        <w:rPr>
          <w:color w:val="0F172B"/>
          <w:lang w:val="fi-FI"/>
        </w:rPr>
        <w:t xml:space="preserve"> euroa vuonna 2</w:t>
      </w:r>
      <w:r w:rsidRPr="00BC2EED">
        <w:rPr>
          <w:color w:val="0F172B"/>
          <w:lang w:val="fi-FI"/>
        </w:rPr>
        <w:t>019. Yritysmyynnin vaikutus tilikauden tulokseen on noin -10 milj</w:t>
      </w:r>
      <w:r>
        <w:rPr>
          <w:color w:val="0F172B"/>
          <w:lang w:val="fi-FI"/>
        </w:rPr>
        <w:t>oonaa</w:t>
      </w:r>
      <w:r w:rsidRPr="00BC2EED">
        <w:rPr>
          <w:color w:val="0F172B"/>
          <w:lang w:val="fi-FI"/>
        </w:rPr>
        <w:t xml:space="preserve"> euroa.</w:t>
      </w:r>
    </w:p>
    <w:p w:rsidR="00BC2EED" w:rsidRPr="00BC2EED" w:rsidP="00BC2EED" w14:paraId="7F8BFE57" w14:textId="77777777">
      <w:pPr>
        <w:pStyle w:val="Bodytext2"/>
        <w:rPr>
          <w:color w:val="0F172B"/>
          <w:lang w:val="fi-FI"/>
        </w:rPr>
      </w:pPr>
    </w:p>
    <w:p w:rsidR="00BC2EED" w:rsidRPr="00BC2EED" w:rsidP="00BC2EED" w14:paraId="001DD093" w14:textId="12B1EA0D">
      <w:pPr>
        <w:pStyle w:val="Bodytext2"/>
        <w:rPr>
          <w:color w:val="0F172B"/>
          <w:lang w:val="fi-FI"/>
        </w:rPr>
      </w:pPr>
      <w:r w:rsidRPr="00BC2EED">
        <w:rPr>
          <w:color w:val="0F172B"/>
          <w:lang w:val="fi-FI"/>
        </w:rPr>
        <w:t xml:space="preserve">Joulukuussa 2020 Wärtsilä </w:t>
      </w:r>
      <w:r>
        <w:rPr>
          <w:color w:val="0F172B"/>
          <w:lang w:val="fi-FI"/>
        </w:rPr>
        <w:t>sai</w:t>
      </w:r>
      <w:r w:rsidRPr="00BC2EED">
        <w:rPr>
          <w:color w:val="0F172B"/>
          <w:lang w:val="fi-FI"/>
        </w:rPr>
        <w:t xml:space="preserve"> päätökseen Wärtsilä ELAC Nautik GmbH:n (ELAC Nautik) osakkeiden myynnin Cohort plc:lle. Osakkeiden luopumisesta ilmoitettiin alun perin joulukuussa</w:t>
      </w:r>
      <w:r w:rsidRPr="00BC2EED">
        <w:rPr>
          <w:color w:val="0F172B"/>
          <w:lang w:val="fi-FI"/>
        </w:rPr>
        <w:t xml:space="preserve"> 2019. ELAC Nautikin painopisteenä markkinoilla olivat kaikuluotaimet, mukaan lukien ääniluotaimet, vedenalaiset viestintäjärjestelmät sekä kaikujärjestelmät pienille ja keskikokoisille asevoimien sukellusveneille. Yhtiön liikevaihto oli noin 21 milj</w:t>
      </w:r>
      <w:r w:rsidR="00A843BC">
        <w:rPr>
          <w:color w:val="0F172B"/>
          <w:lang w:val="fi-FI"/>
        </w:rPr>
        <w:t>oonaa</w:t>
      </w:r>
      <w:r w:rsidRPr="00BC2EED">
        <w:rPr>
          <w:color w:val="0F172B"/>
          <w:lang w:val="fi-FI"/>
        </w:rPr>
        <w:t xml:space="preserve"> </w:t>
      </w:r>
      <w:r w:rsidRPr="00BC2EED">
        <w:rPr>
          <w:color w:val="0F172B"/>
          <w:lang w:val="fi-FI"/>
        </w:rPr>
        <w:t>euroa vuonna 2019. Yritysmyynnin vaikutus tilikauden tulokseen ei ole olennainen.</w:t>
      </w:r>
    </w:p>
    <w:p w:rsidR="00BC2EED" w:rsidP="00BC2EED" w14:paraId="4F624CCF" w14:textId="77777777">
      <w:pPr>
        <w:pStyle w:val="Bodytext2"/>
        <w:rPr>
          <w:color w:val="0F172B"/>
          <w:lang w:val="fi-FI"/>
        </w:rPr>
      </w:pPr>
    </w:p>
    <w:p w:rsidR="004A0DF2" w:rsidRPr="00C80463" w:rsidP="00C80463" w14:textId="153EA6F6">
      <w:pPr>
        <w:pStyle w:val="Bodytext2"/>
        <w:rPr>
          <w:color w:val="0F172B"/>
          <w:lang w:val="fi-FI"/>
        </w:rPr>
      </w:pPr>
      <w:r w:rsidRPr="00BC2EED">
        <w:rPr>
          <w:color w:val="0F172B"/>
          <w:lang w:val="fi-FI"/>
        </w:rPr>
        <w:t>Kaikki myydyt liiketoiminnat kuuluivat Por</w:t>
      </w:r>
      <w:r>
        <w:rPr>
          <w:color w:val="0F172B"/>
          <w:lang w:val="fi-FI"/>
        </w:rPr>
        <w:t>t</w:t>
      </w:r>
      <w:r w:rsidRPr="00BC2EED">
        <w:rPr>
          <w:color w:val="0F172B"/>
          <w:lang w:val="fi-FI"/>
        </w:rPr>
        <w:t>folio Businessiin.</w:t>
      </w:r>
    </w:p>
    <w:p/>
    <w:p w:rsidR="00432E25" w:rsidP="00432E25" w14:paraId="46939836" w14:textId="67CFC493">
      <w:pPr>
        <w:pStyle w:val="Heading12"/>
      </w:pPr>
      <w:bookmarkStart w:id="1488" w:name="RG_MARKER_7440"/>
      <w:r>
        <w:t>6.3. MYYTÄVÄNÄ OLEVAT OMAISUUSERÄT</w:t>
      </w:r>
      <w:bookmarkEnd w:id="1488"/>
    </w:p>
    <w:tbl>
      <w:tblPr>
        <w:tblStyle w:val="TableGrid"/>
        <w:tblW w:w="7371" w:type="dxa"/>
        <w:tblLook w:val="04A0"/>
      </w:tblPr>
      <w:tblGrid>
        <w:gridCol w:w="7371"/>
      </w:tblGrid>
      <w:tr w14:paraId="0E3546DD" w14:textId="77777777" w:rsidTr="00432E25">
        <w:tblPrEx>
          <w:tblW w:w="7371" w:type="dxa"/>
          <w:tblLook w:val="04A0"/>
        </w:tblPrEx>
        <w:tc>
          <w:tcPr>
            <w:tcW w:w="7371" w:type="dxa"/>
            <w:tcBorders>
              <w:top w:val="nil"/>
              <w:left w:val="nil"/>
              <w:bottom w:val="nil"/>
              <w:right w:val="nil"/>
            </w:tcBorders>
            <w:shd w:val="clear" w:color="auto" w:fill="B6C8D1"/>
          </w:tcPr>
          <w:p w:rsidR="00432E25" w:rsidRPr="00705109" w14:paraId="27431AFF" w14:textId="3B951B30">
            <w:pPr>
              <w:pStyle w:val="Heading13"/>
              <w:rPr>
                <w:rFonts w:eastAsiaTheme="minorEastAsia"/>
                <w:lang w:val="fi-FI" w:eastAsia="fi-FI"/>
              </w:rPr>
            </w:pPr>
            <w:r w:rsidRPr="00705109">
              <w:rPr>
                <w:rFonts w:eastAsiaTheme="minorEastAsia"/>
                <w:lang w:val="fi-FI" w:eastAsia="fi-FI"/>
              </w:rPr>
              <w:t>Laadintaperiaatteet</w:t>
            </w:r>
          </w:p>
          <w:p w:rsidR="00432E25" w:rsidP="00432E25" w14:paraId="08BA2626" w14:textId="5ADE7831">
            <w:pPr>
              <w:pStyle w:val="Bodytext2"/>
              <w:rPr>
                <w:lang w:val="fi-FI" w:eastAsia="fi-FI"/>
              </w:rPr>
            </w:pPr>
            <w:r w:rsidRPr="00432E25">
              <w:rPr>
                <w:lang w:val="fi-FI" w:eastAsia="fi-FI"/>
              </w:rPr>
              <w:t>Pitkäaikaiset omaisuuserät sekä lopetettuihin toimintoihin liittyvät varat ja velat luokitellaan myytävänä oleviksi, jos niiden kirj</w:t>
            </w:r>
            <w:r w:rsidRPr="003B228E">
              <w:rPr>
                <w:lang w:val="fi-FI" w:eastAsia="fi-FI"/>
              </w:rPr>
              <w:t xml:space="preserve">anpitoarvoja vastaavan määrän odotetaan kertyvän ensisijaisesti myynnistä sen sijaan, että ne kertyisivät jatkuvan käytön seurauksena. </w:t>
            </w:r>
            <w:r w:rsidRPr="003B228E" w:rsidR="000345FF">
              <w:rPr>
                <w:lang w:val="fi-FI" w:eastAsia="fi-FI"/>
              </w:rPr>
              <w:t>Luokittelu myytävänä olevaksi edellyttää, että omaisuuserän (tai luovutettavien erien ryhmän) on oltava välittömästi myytävissä nykyisessä kunnossaan tällaisten omaisuuserien myynnissä yleisin ja tavanomaisin ehdoin, ja sen myynnin on oltava erittäin todennäköinen.</w:t>
            </w:r>
          </w:p>
          <w:p w:rsidR="001F6EBC" w:rsidRPr="00432E25" w:rsidP="00432E25" w14:paraId="23B5D0C3" w14:textId="77777777">
            <w:pPr>
              <w:pStyle w:val="Bodytext2"/>
              <w:rPr>
                <w:lang w:val="fi-FI" w:eastAsia="fi-FI"/>
              </w:rPr>
            </w:pPr>
          </w:p>
          <w:p w:rsidR="00432E25" w:rsidP="00432E25" w14:paraId="6DAFACF2" w14:textId="071D6531">
            <w:pPr>
              <w:pStyle w:val="Bodytext2"/>
              <w:rPr>
                <w:lang w:val="fi-FI" w:eastAsia="fi-FI"/>
              </w:rPr>
            </w:pPr>
            <w:r w:rsidRPr="00432E25">
              <w:rPr>
                <w:lang w:val="fi-FI" w:eastAsia="fi-FI"/>
              </w:rPr>
              <w:t>Ennen kuin omaisuuserä tai luovutettavien erien ryhmään kuuluvat varat ja velat luokitellaan myytävänä olevaks</w:t>
            </w:r>
            <w:r w:rsidRPr="00432E25">
              <w:rPr>
                <w:lang w:val="fi-FI" w:eastAsia="fi-FI"/>
              </w:rPr>
              <w:t>i, niiden kirjanpitoarvot määritetään niihin sovellettavien IFRS-standardien mukaisesti. Luokittelupäivästä alkaen myytävänä olevat pitkäaikaiset omaisuuserät on arvostettava kirjanpitoarvoon tai käypään arvoon vähennettynä myynnistä aiheutuneilla menoilla</w:t>
            </w:r>
            <w:r w:rsidRPr="00432E25">
              <w:rPr>
                <w:lang w:val="fi-FI" w:eastAsia="fi-FI"/>
              </w:rPr>
              <w:t xml:space="preserve"> sen mukaan, kumpi näistä on alempi. Samalla poistot ja hankintamenon jaksotukset on lopetettava.</w:t>
            </w:r>
          </w:p>
          <w:p w:rsidR="00432E25" w:rsidRPr="00432E25" w:rsidP="00432E25" w14:paraId="50FC802B" w14:textId="77777777">
            <w:pPr>
              <w:pStyle w:val="Bodytext2"/>
              <w:rPr>
                <w:lang w:val="fi-FI" w:eastAsia="fi-FI"/>
              </w:rPr>
            </w:pPr>
          </w:p>
          <w:p w:rsidR="00432E25" w:rsidRPr="00432E25" w14:paraId="5668D160" w14:textId="22A7F0D1">
            <w:pPr>
              <w:pStyle w:val="Bodytext2"/>
              <w:rPr>
                <w:lang w:val="fi-FI" w:eastAsia="fi-FI"/>
              </w:rPr>
            </w:pPr>
            <w:r w:rsidRPr="00432E25">
              <w:rPr>
                <w:lang w:val="fi-FI" w:eastAsia="fi-FI"/>
              </w:rPr>
              <w:t>Myytävänä olevat omaisuuserät esitetään omalla rivillään konsernin taseessa vertailukauden lukuja oikaisematta.</w:t>
            </w:r>
          </w:p>
        </w:tc>
      </w:tr>
    </w:tbl>
    <w:p w:rsidR="00432E25" w:rsidRPr="00705109" w:rsidP="00432E25" w14:paraId="2CEC50D9" w14:textId="77777777">
      <w:pPr>
        <w:pStyle w:val="Bodytext2"/>
        <w:rPr>
          <w:color w:val="0F172B"/>
          <w:lang w:val="fi-FI"/>
        </w:rPr>
      </w:pPr>
    </w:p>
    <w:p w:rsidR="007457F7" w:rsidP="007457F7" w14:paraId="08621BB5" w14:textId="19D5CD9D">
      <w:pPr>
        <w:pStyle w:val="Heading13"/>
        <w:rPr>
          <w:lang w:val="fi-FI"/>
        </w:rPr>
      </w:pPr>
      <w:r w:rsidRPr="00705109">
        <w:rPr>
          <w:lang w:val="fi-FI"/>
        </w:rPr>
        <w:t>202</w:t>
      </w:r>
      <w:r>
        <w:rPr>
          <w:lang w:val="fi-FI"/>
        </w:rPr>
        <w:t>1</w:t>
      </w:r>
    </w:p>
    <w:p w:rsidR="007457F7" w:rsidP="007457F7" w14:paraId="05B2D94B" w14:textId="77777777">
      <w:pPr>
        <w:pStyle w:val="Bodytext2"/>
        <w:rPr>
          <w:color w:val="0F172B"/>
          <w:lang w:val="fi-FI"/>
        </w:rPr>
      </w:pPr>
      <w:r w:rsidRPr="007457F7">
        <w:rPr>
          <w:color w:val="0F172B"/>
          <w:lang w:val="fi-FI"/>
        </w:rPr>
        <w:t>Wärtsilä on luokitellut säiliönohjausj</w:t>
      </w:r>
      <w:r w:rsidRPr="007457F7">
        <w:rPr>
          <w:color w:val="0F172B"/>
          <w:lang w:val="fi-FI"/>
        </w:rPr>
        <w:t>ärjestelmät-liiketoimintayksikön sekä Delivery Centre Santanderin myytävänä oleviksi omaisuuseriksi. Säiliönohjausjärjestelmät on luokiteltu myytävänä olevaksi omaisuuseräksi vuoden 2020 toisesta neljänneksestä alkaen ja Delivery Centre Santander vuoden 20</w:t>
      </w:r>
      <w:r w:rsidRPr="007457F7">
        <w:rPr>
          <w:color w:val="0F172B"/>
          <w:lang w:val="fi-FI"/>
        </w:rPr>
        <w:t xml:space="preserve">21 toisesta neljänneksestä alkaen. </w:t>
      </w:r>
    </w:p>
    <w:p w:rsidR="007457F7" w:rsidP="007457F7" w14:paraId="6D41232D" w14:textId="77777777">
      <w:pPr>
        <w:pStyle w:val="Bodytext2"/>
        <w:rPr>
          <w:color w:val="0F172B"/>
          <w:lang w:val="fi-FI"/>
        </w:rPr>
      </w:pPr>
    </w:p>
    <w:p w:rsidR="007457F7" w:rsidP="007457F7" w14:paraId="587276F1" w14:textId="3B378915">
      <w:pPr>
        <w:pStyle w:val="Bodytext2"/>
        <w:rPr>
          <w:color w:val="0F172B"/>
          <w:lang w:val="fi-FI"/>
        </w:rPr>
      </w:pPr>
      <w:r w:rsidRPr="007457F7">
        <w:rPr>
          <w:color w:val="0F172B"/>
          <w:lang w:val="fi-FI"/>
        </w:rPr>
        <w:t>Syyskuussa 2021 Wärtsilä ilmoitti myyvänsä säiliönohjausjärjestelmät-liiketoimintayksikkönsä tanskalaiselle Svanehøj’lle, joka suunnittelee ja valmistaa kaasualan erikoispumppuja. Säiliönohjausjärjestelmät suunnittelee,</w:t>
      </w:r>
      <w:r w:rsidRPr="007457F7">
        <w:rPr>
          <w:color w:val="0F172B"/>
          <w:lang w:val="fi-FI"/>
        </w:rPr>
        <w:t xml:space="preserve"> valmistaa myy</w:t>
      </w:r>
      <w:r>
        <w:rPr>
          <w:color w:val="0F172B"/>
          <w:lang w:val="fi-FI"/>
        </w:rPr>
        <w:t xml:space="preserve"> ja huoltaa</w:t>
      </w:r>
      <w:r w:rsidRPr="007457F7">
        <w:rPr>
          <w:color w:val="0F172B"/>
          <w:lang w:val="fi-FI"/>
        </w:rPr>
        <w:t xml:space="preserve"> korkealuokkaisia mittausjärjestelmiä LNG-alusten, offshore-kaasuvarastojen sekä LNG</w:t>
      </w:r>
      <w:r>
        <w:rPr>
          <w:color w:val="0F172B"/>
          <w:lang w:val="fi-FI"/>
        </w:rPr>
        <w:t>-</w:t>
      </w:r>
      <w:r w:rsidRPr="007457F7">
        <w:rPr>
          <w:color w:val="0F172B"/>
          <w:lang w:val="fi-FI"/>
        </w:rPr>
        <w:t>terminaalien kaasutankkeihin. Säiliönohjausjärjestelmät on myös yksi alan johtavista turvallisuustuotteiden valmistajista maissa oleville LPG-vara</w:t>
      </w:r>
      <w:r w:rsidRPr="007457F7">
        <w:rPr>
          <w:color w:val="0F172B"/>
          <w:lang w:val="fi-FI"/>
        </w:rPr>
        <w:t>stoille sekä maanalaisille luolavarastoille.</w:t>
      </w:r>
      <w:r>
        <w:rPr>
          <w:color w:val="0F172B"/>
          <w:lang w:val="fi-FI"/>
        </w:rPr>
        <w:t xml:space="preserve"> </w:t>
      </w:r>
      <w:r w:rsidRPr="007457F7">
        <w:rPr>
          <w:color w:val="0F172B"/>
          <w:lang w:val="fi-FI"/>
        </w:rPr>
        <w:t>Säiliönohjausjärjestelmät</w:t>
      </w:r>
      <w:r>
        <w:rPr>
          <w:color w:val="0F172B"/>
          <w:lang w:val="fi-FI"/>
        </w:rPr>
        <w:t>-</w:t>
      </w:r>
      <w:r w:rsidRPr="007457F7">
        <w:rPr>
          <w:color w:val="0F172B"/>
          <w:lang w:val="fi-FI"/>
        </w:rPr>
        <w:t>liiketoimintayksikön myytävänä olevaksi omaisuuseräksi luokittelun vaikutus tilikauden 2021 tulokseen on -7 miljoonaa euroa. Myynti odotetaan saatavan päätökseen vuoden 202</w:t>
      </w:r>
      <w:r>
        <w:rPr>
          <w:color w:val="0F172B"/>
          <w:lang w:val="fi-FI"/>
        </w:rPr>
        <w:t>2</w:t>
      </w:r>
      <w:r w:rsidRPr="007457F7">
        <w:rPr>
          <w:color w:val="0F172B"/>
          <w:lang w:val="fi-FI"/>
        </w:rPr>
        <w:t xml:space="preserve"> </w:t>
      </w:r>
      <w:r>
        <w:rPr>
          <w:color w:val="0F172B"/>
          <w:lang w:val="fi-FI"/>
        </w:rPr>
        <w:t>ensimmäisel</w:t>
      </w:r>
      <w:r>
        <w:rPr>
          <w:color w:val="0F172B"/>
          <w:lang w:val="fi-FI"/>
        </w:rPr>
        <w:t xml:space="preserve">lä </w:t>
      </w:r>
      <w:r w:rsidRPr="007457F7">
        <w:rPr>
          <w:color w:val="0F172B"/>
          <w:lang w:val="fi-FI"/>
        </w:rPr>
        <w:t>vuosineljänneksellä. Säiliönohjausjärjestelmät-liiketoimintayksikkö kuuluu Portfolio Businessiin.</w:t>
      </w:r>
    </w:p>
    <w:p w:rsidR="007457F7" w:rsidP="007457F7" w14:paraId="3E21A847" w14:textId="77777777">
      <w:pPr>
        <w:pStyle w:val="Bodytext2"/>
        <w:rPr>
          <w:color w:val="0F172B"/>
          <w:lang w:val="fi-FI"/>
        </w:rPr>
      </w:pPr>
    </w:p>
    <w:p w:rsidR="007457F7" w:rsidP="007457F7" w14:paraId="6540D118" w14:textId="4C6A17D8">
      <w:pPr>
        <w:pStyle w:val="Bodytext2"/>
        <w:rPr>
          <w:color w:val="0F172B"/>
          <w:lang w:val="fi-FI"/>
        </w:rPr>
      </w:pPr>
      <w:r w:rsidRPr="007457F7">
        <w:rPr>
          <w:color w:val="0F172B"/>
          <w:lang w:val="fi-FI"/>
        </w:rPr>
        <w:t>Delivery Centre Santanderin myynti Javier Cavada Corporación Cantabrialle julkaistiin toukokuussa 2021. Myynti odotetaan saatavan päätökseen vuoden 202</w:t>
      </w:r>
      <w:r>
        <w:rPr>
          <w:color w:val="0F172B"/>
          <w:lang w:val="fi-FI"/>
        </w:rPr>
        <w:t>2</w:t>
      </w:r>
      <w:r w:rsidRPr="007457F7">
        <w:rPr>
          <w:color w:val="0F172B"/>
          <w:lang w:val="fi-FI"/>
        </w:rPr>
        <w:t xml:space="preserve"> </w:t>
      </w:r>
      <w:r>
        <w:rPr>
          <w:color w:val="0F172B"/>
          <w:lang w:val="fi-FI"/>
        </w:rPr>
        <w:t>ensimmäisellä</w:t>
      </w:r>
      <w:r w:rsidRPr="007457F7">
        <w:rPr>
          <w:color w:val="0F172B"/>
          <w:lang w:val="fi-FI"/>
        </w:rPr>
        <w:t xml:space="preserve"> vuosineljänneksellä. Delivery Centre Santander kuuluu Marine Poweriin.</w:t>
      </w:r>
    </w:p>
    <w:p w:rsidR="007457F7" w:rsidP="007457F7" w14:paraId="2F2989B8" w14:textId="77777777">
      <w:pPr>
        <w:pStyle w:val="Bodytext2"/>
        <w:rPr>
          <w:color w:val="0F172B"/>
          <w:lang w:val="fi-FI"/>
        </w:rPr>
      </w:pPr>
    </w:p>
    <w:p w:rsidR="007457F7" w:rsidRPr="007457F7" w:rsidP="007457F7" w14:paraId="3A3DC139" w14:textId="02A28088">
      <w:pPr>
        <w:pStyle w:val="Bodytext2"/>
        <w:rPr>
          <w:color w:val="0F172B"/>
          <w:lang w:val="fi-FI"/>
        </w:rPr>
      </w:pPr>
      <w:r w:rsidRPr="007457F7">
        <w:rPr>
          <w:color w:val="0F172B"/>
          <w:lang w:val="fi-FI"/>
        </w:rPr>
        <w:t>Myytävänä olevat omaisuuserät on arvostettu kirjanpitoarvoon tai käypään arvoon, kumpi näistä on alempi.</w:t>
      </w:r>
    </w:p>
    <w:p w:rsidR="007457F7" w:rsidRPr="00B67C3B" w:rsidP="00432E25" w14:paraId="6007C19D" w14:textId="77777777">
      <w:pPr>
        <w:pStyle w:val="Heading13"/>
        <w:rPr>
          <w:lang w:val="fi-FI"/>
        </w:rPr>
      </w:pPr>
    </w:p>
    <w:p w:rsidR="00432E25" w:rsidRPr="00B67C3B" w:rsidP="00432E25" w14:paraId="00E65008" w14:textId="6795270B">
      <w:pPr>
        <w:pStyle w:val="Heading13"/>
        <w:rPr>
          <w:lang w:val="fi-FI"/>
        </w:rPr>
      </w:pPr>
      <w:r w:rsidRPr="00B67C3B">
        <w:rPr>
          <w:lang w:val="fi-FI"/>
        </w:rPr>
        <w:t>2020</w:t>
      </w:r>
    </w:p>
    <w:p w:rsidR="00550A3C" w:rsidRPr="00550A3C" w:rsidP="00550A3C" w14:paraId="0EF03F1B" w14:textId="58FF769E">
      <w:pPr>
        <w:pStyle w:val="Bodytext2"/>
        <w:rPr>
          <w:color w:val="0F172B"/>
          <w:lang w:val="fi-FI"/>
        </w:rPr>
      </w:pPr>
      <w:r w:rsidRPr="00550A3C">
        <w:rPr>
          <w:color w:val="0F172B"/>
          <w:lang w:val="fi-FI"/>
        </w:rPr>
        <w:t xml:space="preserve">Wärtsilä on luokitellut </w:t>
      </w:r>
      <w:r w:rsidRPr="00550A3C">
        <w:rPr>
          <w:color w:val="0F172B"/>
          <w:lang w:val="fi-FI"/>
        </w:rPr>
        <w:t>viihdejärjestelmät- sekä säiliönohjausjärjestelmät-liiketoiminnot myytävänä olev</w:t>
      </w:r>
      <w:r>
        <w:rPr>
          <w:color w:val="0F172B"/>
          <w:lang w:val="fi-FI"/>
        </w:rPr>
        <w:t>i</w:t>
      </w:r>
      <w:r w:rsidRPr="00550A3C">
        <w:rPr>
          <w:color w:val="0F172B"/>
          <w:lang w:val="fi-FI"/>
        </w:rPr>
        <w:t>ksi omaisuuser</w:t>
      </w:r>
      <w:r>
        <w:rPr>
          <w:color w:val="0F172B"/>
          <w:lang w:val="fi-FI"/>
        </w:rPr>
        <w:t>i</w:t>
      </w:r>
      <w:r w:rsidRPr="00550A3C">
        <w:rPr>
          <w:color w:val="0F172B"/>
          <w:lang w:val="fi-FI"/>
        </w:rPr>
        <w:t>ksi. Viihdejärjestelmät-liiketoiminta on luokiteltu myytävänä olevaksi omaisuuseräksi vuoden 2019 viimeisestä neljänneksestä alkaen ja säiliönohjausjärjestelmät</w:t>
      </w:r>
      <w:r w:rsidRPr="00550A3C">
        <w:rPr>
          <w:color w:val="0F172B"/>
          <w:lang w:val="fi-FI"/>
        </w:rPr>
        <w:t>-liiketoiminta vuoden 2020 toisesta neljänneksestä alkaen. Myynnit odotetaan saatavan päätökseen vuoden 2021 ensimmäisen puoliskon aikana.</w:t>
      </w:r>
    </w:p>
    <w:p w:rsidR="00550A3C" w:rsidP="00550A3C" w14:paraId="10E816DC" w14:textId="77777777">
      <w:pPr>
        <w:pStyle w:val="Bodytext2"/>
        <w:rPr>
          <w:color w:val="0F172B"/>
          <w:lang w:val="fi-FI"/>
        </w:rPr>
      </w:pPr>
    </w:p>
    <w:p w:rsidR="00550A3C" w:rsidRPr="00550A3C" w:rsidP="00550A3C" w14:paraId="31B1A5BB" w14:textId="187788EA">
      <w:pPr>
        <w:pStyle w:val="Bodytext2"/>
        <w:rPr>
          <w:color w:val="0F172B"/>
          <w:lang w:val="fi-FI"/>
        </w:rPr>
      </w:pPr>
      <w:r w:rsidRPr="00550A3C">
        <w:rPr>
          <w:color w:val="0F172B"/>
          <w:lang w:val="fi-FI"/>
        </w:rPr>
        <w:t>Lisäksi Wärtsilä on aloittanut valmistelut, jotka tähtäävät Wärtsilä EUROATLAS GmbH:n myyntiin. Myös Wärtsilä EUROAT</w:t>
      </w:r>
      <w:r w:rsidRPr="00550A3C">
        <w:rPr>
          <w:color w:val="0F172B"/>
          <w:lang w:val="fi-FI"/>
        </w:rPr>
        <w:t>LAS GmbH on luokiteltu myytävänä olevaksi omaisuuseräksi. Myynti odotetaan saatavan päätökseen vuoden 2021 toisen puoliskon aikana. Vaikutus raportointikauden tulokseen on noin -6 milj</w:t>
      </w:r>
      <w:r>
        <w:rPr>
          <w:color w:val="0F172B"/>
          <w:lang w:val="fi-FI"/>
        </w:rPr>
        <w:t>oonaa</w:t>
      </w:r>
      <w:r w:rsidRPr="00550A3C">
        <w:rPr>
          <w:color w:val="0F172B"/>
          <w:lang w:val="fi-FI"/>
        </w:rPr>
        <w:t xml:space="preserve"> euroa.</w:t>
      </w:r>
    </w:p>
    <w:p w:rsidR="00550A3C" w:rsidP="00550A3C" w14:paraId="4C9D67EE" w14:textId="77777777">
      <w:pPr>
        <w:pStyle w:val="Bodytext2"/>
        <w:rPr>
          <w:color w:val="0F172B"/>
          <w:lang w:val="fi-FI"/>
        </w:rPr>
      </w:pPr>
    </w:p>
    <w:p w:rsidR="00550A3C" w:rsidRPr="00550A3C" w:rsidP="00550A3C" w14:paraId="072FD63F" w14:textId="32C1B730">
      <w:pPr>
        <w:pStyle w:val="Bodytext2"/>
        <w:rPr>
          <w:color w:val="0F172B"/>
          <w:lang w:val="fi-FI"/>
        </w:rPr>
      </w:pPr>
      <w:r w:rsidRPr="00550A3C">
        <w:rPr>
          <w:color w:val="0F172B"/>
          <w:lang w:val="fi-FI"/>
        </w:rPr>
        <w:t>Kaikki myytävänä olevat omaisuuserät kuuluvat Portfolio Bu</w:t>
      </w:r>
      <w:r w:rsidRPr="00550A3C">
        <w:rPr>
          <w:color w:val="0F172B"/>
          <w:lang w:val="fi-FI"/>
        </w:rPr>
        <w:t>sinessiin ja ne on arvostettu kirjanpitoarvoon tai käypään arvoon, kumpi näistä on alempi.</w:t>
      </w:r>
    </w:p>
    <w:p w:rsidR="007457F7" w:rsidRPr="00997309" w:rsidP="00997309" w14:paraId="6886E4E4" w14:textId="77777777">
      <w:pPr>
        <w:pStyle w:val="Bodytext2"/>
        <w:rPr>
          <w:lang w:val="fi-FI"/>
        </w:rPr>
      </w:pPr>
    </w:p>
    <w:p w:rsidR="00432E25" w:rsidP="00432E25" w14:paraId="01B9A5A6" w14:textId="5060C73E">
      <w:pPr>
        <w:pStyle w:val="Heading13"/>
      </w:pPr>
      <w:r>
        <w:t>Tase-</w:t>
      </w:r>
      <w:r>
        <w:t>erät</w:t>
      </w:r>
    </w:p>
    <w:p w:rsidR="003B228E" w:rsidRPr="003B228E" w:rsidP="003B228E" w14:paraId="2BC866F9" w14:textId="77777777">
      <w:pPr>
        <w:pStyle w:val="Bodytext2"/>
      </w:pPr>
    </w:p>
    <w:tbl>
      <w:tblPr>
        <w:tblStyle w:val="TableNormal"/>
        <w:tblCaption w:val="table_63_cur"/>
        <w:tblW w:w="7320" w:type="dxa"/>
        <w:tblLayout w:type="fixed"/>
        <w:tblLook w:val="0600"/>
      </w:tblPr>
      <w:tblGrid>
        <w:gridCol w:w="4830"/>
        <w:gridCol w:w="1245"/>
        <w:gridCol w:w="1245"/>
      </w:tblGrid>
      <w:tr>
        <w:tblPrEx>
          <w:tblW w:w="7320" w:type="dxa"/>
          <w:tblLayout w:type="fixed"/>
          <w:tblLook w:val="0600"/>
        </w:tblPrEx>
        <w:trPr>
          <w:trHeight w:hRule="exact" w:val="240"/>
        </w:trPr>
        <w:tc>
          <w:tcPr>
            <w:tcW w:w="48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31.12.2021</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31.12.2020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Liikearvo</w:t>
            </w:r>
          </w:p>
        </w:tc>
        <w:tc>
          <w:tcPr>
            <w:tcW w:w="12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12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aineettomat hyödykkeet</w:t>
            </w: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Aineelliset hyödykkeet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Käyttöoikeusomaisuuserät</w:t>
            </w: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Laskennalliset verosaamiset</w:t>
            </w: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Vaihto-omaisuus</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23</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saamiset, lyhytaikaiset</w:t>
            </w: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Rahavarat</w:t>
            </w:r>
          </w:p>
        </w:tc>
        <w:tc>
          <w:tcPr>
            <w:tcW w:w="124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Myytävänä olevat omaisuuserät</w:t>
            </w:r>
          </w:p>
        </w:tc>
        <w:tc>
          <w:tcPr>
            <w:tcW w:w="12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w:t>
            </w:r>
          </w:p>
        </w:tc>
        <w:tc>
          <w:tcPr>
            <w:tcW w:w="12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8" w:space="0" w:color="000000"/>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Varojen alaskirjaus</w:t>
            </w:r>
          </w:p>
        </w:tc>
        <w:tc>
          <w:tcPr>
            <w:tcW w:w="1245" w:type="dxa"/>
            <w:tcBorders>
              <w:top w:val="single" w:sz="4" w:space="0" w:color="004A6B"/>
              <w:left w:val="nil"/>
              <w:bottom w:val="single" w:sz="8" w:space="0" w:color="000000"/>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1245" w:type="dxa"/>
            <w:tcBorders>
              <w:top w:val="single" w:sz="4" w:space="0" w:color="004A6B"/>
              <w:left w:val="nil"/>
              <w:bottom w:val="single" w:sz="8" w:space="0" w:color="000000"/>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00000"/>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Myytävänä olevat omaisuuserät, netto</w:t>
            </w:r>
          </w:p>
        </w:tc>
        <w:tc>
          <w:tcPr>
            <w:tcW w:w="1245" w:type="dxa"/>
            <w:tcBorders>
              <w:top w:val="single" w:sz="8" w:space="0" w:color="000000"/>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1245" w:type="dxa"/>
            <w:tcBorders>
              <w:top w:val="single" w:sz="8" w:space="0" w:color="000000"/>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99</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Laskennalliset verovelat</w:t>
            </w:r>
          </w:p>
        </w:tc>
        <w:tc>
          <w:tcPr>
            <w:tcW w:w="1245"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velat, pitkäaikaiset</w:t>
            </w: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velat, lyhytaikaiset</w:t>
            </w:r>
          </w:p>
        </w:tc>
        <w:tc>
          <w:tcPr>
            <w:tcW w:w="124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Myytävänä oleviin omaisuuseriin liittyvät velat</w:t>
            </w:r>
          </w:p>
        </w:tc>
        <w:tc>
          <w:tcPr>
            <w:tcW w:w="12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68</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Nettovarat</w:t>
            </w:r>
          </w:p>
        </w:tc>
        <w:tc>
          <w:tcPr>
            <w:tcW w:w="1245"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12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31</w:t>
            </w:r>
          </w:p>
        </w:tc>
      </w:tr>
    </w:tbl>
    <w:p w:rsidR="00AD57B2" w:rsidP="00432E25" w14:paraId="532D3B58" w14:textId="094A8D57">
      <w:pPr>
        <w:pStyle w:val="Bodytext2"/>
        <w:rPr>
          <w:color w:val="0F172B"/>
        </w:rPr>
      </w:pPr>
    </w:p>
    <w:p w:rsidR="00017CE2" w:rsidP="00432E25" w14:paraId="46B39E9B" w14:textId="213C64C8">
      <w:pPr>
        <w:pStyle w:val="Bodytext2"/>
        <w:rPr>
          <w:color w:val="auto"/>
          <w:lang w:val="fi-FI"/>
        </w:rPr>
      </w:pPr>
      <w:r w:rsidRPr="006B20CB">
        <w:rPr>
          <w:color w:val="auto"/>
          <w:lang w:val="fi-FI"/>
        </w:rPr>
        <w:t>Vuonna 202</w:t>
      </w:r>
      <w:r w:rsidRPr="006B20CB" w:rsidR="00B67C3B">
        <w:rPr>
          <w:color w:val="auto"/>
          <w:lang w:val="fi-FI"/>
        </w:rPr>
        <w:t>1</w:t>
      </w:r>
      <w:r w:rsidRPr="006B20CB">
        <w:rPr>
          <w:color w:val="auto"/>
          <w:lang w:val="fi-FI"/>
        </w:rPr>
        <w:t xml:space="preserve"> kirjattu varojen alaskirjaus -6 milj</w:t>
      </w:r>
      <w:r>
        <w:rPr>
          <w:color w:val="auto"/>
          <w:lang w:val="fi-FI"/>
        </w:rPr>
        <w:t>oonaa</w:t>
      </w:r>
      <w:r w:rsidRPr="006B20CB">
        <w:rPr>
          <w:color w:val="auto"/>
          <w:lang w:val="fi-FI"/>
        </w:rPr>
        <w:t xml:space="preserve"> euroa liittyy </w:t>
      </w:r>
      <w:r w:rsidRPr="006B20CB" w:rsidR="00B67C3B">
        <w:rPr>
          <w:color w:val="auto"/>
          <w:lang w:val="fi-FI"/>
        </w:rPr>
        <w:t xml:space="preserve">säiliönohjausjärjestelmät-liiketoimintayksikköön, joka on luokiteltu </w:t>
      </w:r>
      <w:r w:rsidRPr="006B20CB">
        <w:rPr>
          <w:color w:val="auto"/>
          <w:lang w:val="fi-FI"/>
        </w:rPr>
        <w:t>myytävänä olevaksi omaisuuseräksi. Kulu on kirjattu tuloslaskelman erään poistot ja arvonalentumiset.</w:t>
      </w:r>
    </w:p>
    <w:p w:rsidR="00CC5946" w:rsidP="00432E25" w14:paraId="24F30DEC" w14:textId="77777777">
      <w:pPr>
        <w:pStyle w:val="Bodytext2"/>
        <w:rPr>
          <w:color w:val="auto"/>
          <w:lang w:val="fi-FI"/>
        </w:rPr>
      </w:pPr>
    </w:p>
    <w:p w:rsidR="00017CE2" w:rsidP="00017CE2" w14:paraId="50910F78" w14:textId="71BA93E0">
      <w:pPr>
        <w:autoSpaceDE w:val="0"/>
        <w:autoSpaceDN w:val="0"/>
        <w:adjustRightInd w:val="0"/>
        <w:spacing w:after="0" w:line="240" w:lineRule="auto"/>
        <w:rPr>
          <w:lang w:val="fi-FI"/>
        </w:rPr>
      </w:pPr>
      <w:r w:rsidRPr="00017CE2">
        <w:rPr>
          <w:rFonts w:ascii="Arial" w:hAnsi="Arial" w:cs="Arial"/>
          <w:sz w:val="15"/>
          <w:szCs w:val="17"/>
          <w:lang w:val="fi-FI"/>
        </w:rPr>
        <w:t>Vuonna 2020 kirjattu varojen alaskirjaus -6 milj</w:t>
      </w:r>
      <w:r>
        <w:rPr>
          <w:rFonts w:ascii="Arial" w:hAnsi="Arial" w:cs="Arial"/>
          <w:sz w:val="15"/>
          <w:szCs w:val="17"/>
          <w:lang w:val="fi-FI"/>
        </w:rPr>
        <w:t>oonaa</w:t>
      </w:r>
      <w:r w:rsidRPr="00017CE2">
        <w:rPr>
          <w:rFonts w:ascii="Arial" w:hAnsi="Arial" w:cs="Arial"/>
          <w:sz w:val="15"/>
          <w:szCs w:val="17"/>
          <w:lang w:val="fi-FI"/>
        </w:rPr>
        <w:t xml:space="preserve"> euroa liitty</w:t>
      </w:r>
      <w:r>
        <w:rPr>
          <w:rFonts w:ascii="Arial" w:hAnsi="Arial" w:cs="Arial"/>
          <w:sz w:val="15"/>
          <w:szCs w:val="17"/>
          <w:lang w:val="fi-FI"/>
        </w:rPr>
        <w:t>i</w:t>
      </w:r>
      <w:r w:rsidRPr="00017CE2">
        <w:rPr>
          <w:rFonts w:ascii="Arial" w:hAnsi="Arial" w:cs="Arial"/>
          <w:sz w:val="15"/>
          <w:szCs w:val="17"/>
          <w:lang w:val="fi-FI"/>
        </w:rPr>
        <w:t xml:space="preserve"> Wärtsilä EUROATLAS G</w:t>
      </w:r>
      <w:r w:rsidRPr="00017CE2">
        <w:rPr>
          <w:rFonts w:ascii="Arial" w:hAnsi="Arial" w:cs="Arial"/>
          <w:sz w:val="15"/>
          <w:szCs w:val="17"/>
          <w:lang w:val="fi-FI"/>
        </w:rPr>
        <w:t>mbH:n</w:t>
      </w:r>
      <w:r>
        <w:rPr>
          <w:rFonts w:ascii="Arial" w:hAnsi="Arial" w:cs="Arial"/>
          <w:sz w:val="15"/>
          <w:szCs w:val="17"/>
          <w:lang w:val="fi-FI"/>
        </w:rPr>
        <w:t xml:space="preserve"> </w:t>
      </w:r>
      <w:r w:rsidRPr="00017CE2">
        <w:rPr>
          <w:rFonts w:ascii="Arial" w:hAnsi="Arial" w:cs="Arial"/>
          <w:sz w:val="15"/>
          <w:szCs w:val="17"/>
          <w:lang w:val="fi-FI"/>
        </w:rPr>
        <w:t xml:space="preserve">luokitteluun myytävänä olevaksi omaisuuseräksi. Kulu </w:t>
      </w:r>
      <w:r w:rsidR="00CC5946">
        <w:rPr>
          <w:rFonts w:ascii="Arial" w:hAnsi="Arial" w:cs="Arial"/>
          <w:sz w:val="15"/>
          <w:szCs w:val="17"/>
          <w:lang w:val="fi-FI"/>
        </w:rPr>
        <w:t>kirjattiin</w:t>
      </w:r>
      <w:r w:rsidRPr="00017CE2">
        <w:rPr>
          <w:rFonts w:ascii="Arial" w:hAnsi="Arial" w:cs="Arial"/>
          <w:sz w:val="15"/>
          <w:szCs w:val="17"/>
          <w:lang w:val="fi-FI"/>
        </w:rPr>
        <w:t xml:space="preserve"> tuloslaskelman erään poistot</w:t>
      </w:r>
      <w:r>
        <w:rPr>
          <w:rFonts w:ascii="Arial" w:hAnsi="Arial" w:cs="Arial"/>
          <w:sz w:val="15"/>
          <w:szCs w:val="17"/>
          <w:lang w:val="fi-FI"/>
        </w:rPr>
        <w:t xml:space="preserve"> </w:t>
      </w:r>
      <w:r w:rsidRPr="00017CE2">
        <w:rPr>
          <w:rFonts w:ascii="Arial" w:hAnsi="Arial" w:cs="Arial"/>
          <w:sz w:val="15"/>
          <w:szCs w:val="17"/>
          <w:lang w:val="fi-FI"/>
        </w:rPr>
        <w:t>ja arvonalentumiset</w:t>
      </w:r>
      <w:r>
        <w:rPr>
          <w:rFonts w:ascii="Arial" w:hAnsi="Arial" w:cs="Arial"/>
          <w:sz w:val="15"/>
          <w:szCs w:val="17"/>
          <w:lang w:val="fi-FI"/>
        </w:rPr>
        <w:t>.</w:t>
      </w:r>
    </w:p>
    <w:p/>
    <w:p w:rsidR="001D7267" w:rsidP="001D7267" w14:paraId="48A34BFC" w14:textId="77777777">
      <w:pPr>
        <w:pStyle w:val="Heading12"/>
      </w:pPr>
      <w:bookmarkStart w:id="1489" w:name="RG_MARKER_7527"/>
      <w:r>
        <w:t>6.4. SIJOITUKSET OSAKKUUS- JA YHTEISYRITYKSIIN</w:t>
      </w:r>
      <w:bookmarkEnd w:id="1489"/>
    </w:p>
    <w:tbl>
      <w:tblPr>
        <w:tblStyle w:val="TableGrid"/>
        <w:tblW w:w="7371" w:type="dxa"/>
        <w:tblLook w:val="04A0"/>
      </w:tblPr>
      <w:tblGrid>
        <w:gridCol w:w="7371"/>
      </w:tblGrid>
      <w:tr w14:paraId="0F66A808" w14:textId="77777777" w:rsidTr="001D7267">
        <w:tblPrEx>
          <w:tblW w:w="7371" w:type="dxa"/>
          <w:tblLook w:val="04A0"/>
        </w:tblPrEx>
        <w:tc>
          <w:tcPr>
            <w:tcW w:w="7371" w:type="dxa"/>
            <w:tcBorders>
              <w:top w:val="nil"/>
              <w:left w:val="nil"/>
              <w:bottom w:val="nil"/>
              <w:right w:val="nil"/>
            </w:tcBorders>
            <w:shd w:val="clear" w:color="auto" w:fill="B6C8D1"/>
          </w:tcPr>
          <w:p w:rsidR="001D7267" w14:paraId="3BA6D771" w14:textId="77777777">
            <w:pPr>
              <w:pStyle w:val="Heading13"/>
              <w:rPr>
                <w:rFonts w:eastAsiaTheme="minorEastAsia"/>
                <w:lang w:val="fi-FI" w:eastAsia="fi-FI"/>
              </w:rPr>
            </w:pPr>
            <w:r>
              <w:rPr>
                <w:rFonts w:eastAsiaTheme="minorEastAsia"/>
                <w:lang w:val="fi-FI" w:eastAsia="fi-FI"/>
              </w:rPr>
              <w:t>Laadintaperiaatteet</w:t>
            </w:r>
          </w:p>
          <w:p w:rsidR="001D7267" w14:paraId="0AA3DC2D" w14:textId="77777777">
            <w:pPr>
              <w:pStyle w:val="Bodytext2"/>
              <w:rPr>
                <w:lang w:val="fi-FI" w:eastAsia="fi-FI"/>
              </w:rPr>
            </w:pPr>
            <w:r>
              <w:rPr>
                <w:lang w:val="fi-FI" w:eastAsia="fi-FI"/>
              </w:rPr>
              <w:t>Osakkuusyritykset ovat yrityksiä, joissa konsernilla on huomattava vaikutusvalta mutta ei määräysvaltaa tai yhteistä määräysvaltaa. Huomattava vaikutusvalta merkitsee yleensä sitä, että konsernilla on 20–50% yrityksen äänivallasta.</w:t>
            </w:r>
          </w:p>
          <w:p w:rsidR="001D7267" w14:paraId="4C893427" w14:textId="77777777">
            <w:pPr>
              <w:pStyle w:val="Bodytext2"/>
              <w:rPr>
                <w:lang w:val="fi-FI" w:eastAsia="fi-FI"/>
              </w:rPr>
            </w:pPr>
            <w:r>
              <w:rPr>
                <w:lang w:val="fi-FI" w:eastAsia="fi-FI"/>
              </w:rPr>
              <w:t>Yhteisyritys on yhteisjä</w:t>
            </w:r>
            <w:r>
              <w:rPr>
                <w:lang w:val="fi-FI" w:eastAsia="fi-FI"/>
              </w:rPr>
              <w:t>rjestely, jonka mukaan osapuolilla, joilla on järjestelyssä yhteinen määräysvalta, on oikeuksia järjestelyn nettovarallisuuteen. Yhteinen määräysvalta perustuu osapuolten väliseen sopimukseen.</w:t>
            </w:r>
          </w:p>
          <w:p w:rsidR="001D7267" w14:paraId="46A28A2B" w14:textId="77777777">
            <w:pPr>
              <w:pStyle w:val="Bodytext2"/>
              <w:rPr>
                <w:lang w:val="fi-FI" w:eastAsia="fi-FI"/>
              </w:rPr>
            </w:pPr>
          </w:p>
          <w:p w:rsidR="001D7267" w14:paraId="649B70D4" w14:textId="77777777">
            <w:pPr>
              <w:pStyle w:val="Bodytext2"/>
              <w:rPr>
                <w:lang w:val="fi-FI" w:eastAsia="fi-FI"/>
              </w:rPr>
            </w:pPr>
            <w:r>
              <w:rPr>
                <w:lang w:val="fi-FI" w:eastAsia="fi-FI"/>
              </w:rPr>
              <w:t xml:space="preserve">Konsernin osuudet osakkuus- ja yhteisyrityksistä yhdistellään </w:t>
            </w:r>
            <w:r>
              <w:rPr>
                <w:lang w:val="fi-FI" w:eastAsia="fi-FI"/>
              </w:rPr>
              <w:t>konsernitilinpäätökseen pääomaosuusmenetelmällä huomattavan vaikutusvallan tai yhteisen määräysvallan saamisesta lähtien sen päättymiseen saakka. Sijoitukset osakkuusyrityksiin kirjataan aluksi hankintamenoon, ja hankintameno kasvaa tai vähenee osakkuusyri</w:t>
            </w:r>
            <w:r>
              <w:rPr>
                <w:lang w:val="fi-FI" w:eastAsia="fi-FI"/>
              </w:rPr>
              <w:t xml:space="preserve">tyksen nettovaroissa hankintapäivän jälkeen tapahtuvien muutosten </w:t>
            </w:r>
            <w:r>
              <w:rPr>
                <w:lang w:val="fi-FI" w:eastAsia="fi-FI"/>
              </w:rPr>
              <w:t xml:space="preserve">perusteella suhteutettuna konsernin omistusosuuteen. Konsernin omistusosuuden mukainen osuus osakkuus- ja yhteisyritysten raportointikauden tuloksista on esitetty konsernin tuloslaskelmassa </w:t>
            </w:r>
            <w:r>
              <w:rPr>
                <w:lang w:val="fi-FI" w:eastAsia="fi-FI"/>
              </w:rPr>
              <w:t>omana eränään ennen liiketulosta rivillä Osuus osakkuus- ja yhteisyritysten tuloksista. Konsernin osuus osakkuus- ja yhteisyritysten muihin laajan tuloksen eriin kirjatuista muutoksista on kirjattu konsernin muihin laajan tuloksen eriin. Wärtsilän osuus ha</w:t>
            </w:r>
            <w:r>
              <w:rPr>
                <w:lang w:val="fi-FI" w:eastAsia="fi-FI"/>
              </w:rPr>
              <w:t>nkintapäivän jälkeen kertyneistä oman pääoman eristä sisältyy konsernin omaan pääomaan. Jos konsernin osuus osakkuus- tai yhteisyrityksen tappiosta ylittää kyseisen sijoituksen hankintamenon, sijoitus merkitään taseeseen nolla-arvoon. Kirjanpitoarvon ylitt</w:t>
            </w:r>
            <w:r>
              <w:rPr>
                <w:lang w:val="fi-FI" w:eastAsia="fi-FI"/>
              </w:rPr>
              <w:t>äviä tappioita ei tämän jälkeen huomioida, ellei konsernilla ole muita osakkuus- tai yhteisyrityksiin liittyviä velvoitteita.</w:t>
            </w:r>
          </w:p>
          <w:p w:rsidR="001D7267" w14:paraId="6F183999" w14:textId="77777777">
            <w:pPr>
              <w:pStyle w:val="Bodytext2"/>
              <w:rPr>
                <w:lang w:val="fi-FI" w:eastAsia="fi-FI"/>
              </w:rPr>
            </w:pPr>
            <w:r>
              <w:rPr>
                <w:lang w:val="fi-FI" w:eastAsia="fi-FI"/>
              </w:rPr>
              <w:t>Osakkuus- ja yhteisyritysten konsernitilinpäätökseen yhdistämisestä johtuvat valuuttakurssimuutokset, jotka kirjataan omaan pääoma</w:t>
            </w:r>
            <w:r>
              <w:rPr>
                <w:lang w:val="fi-FI" w:eastAsia="fi-FI"/>
              </w:rPr>
              <w:t>an, ilmoitetaan tuloslaskelmassa osana voittoa tai tappiota, kun omistusosuus muuttuu.</w:t>
            </w:r>
          </w:p>
        </w:tc>
      </w:tr>
    </w:tbl>
    <w:p w:rsidR="001D7267" w:rsidP="001D7267" w14:paraId="704901B6" w14:textId="77777777">
      <w:pPr>
        <w:pStyle w:val="Bodytext2"/>
        <w:rPr>
          <w:color w:val="0F172B"/>
          <w:szCs w:val="15"/>
          <w:lang w:val="fi-FI" w:eastAsia="fi-FI"/>
        </w:rPr>
      </w:pPr>
    </w:p>
    <w:tbl>
      <w:tblPr>
        <w:tblStyle w:val="TableNormal"/>
        <w:tblCaption w:val="table_64_investments"/>
        <w:tblW w:w="7320" w:type="dxa"/>
        <w:tblLayout w:type="fixed"/>
        <w:tblLook w:val="0600"/>
      </w:tblPr>
      <w:tblGrid>
        <w:gridCol w:w="4830"/>
        <w:gridCol w:w="1245"/>
        <w:gridCol w:w="1245"/>
      </w:tblGrid>
      <w:tr>
        <w:tblPrEx>
          <w:tblW w:w="7320" w:type="dxa"/>
          <w:tblLayout w:type="fixed"/>
          <w:tblLook w:val="0600"/>
        </w:tblPrEx>
        <w:trPr>
          <w:trHeight w:hRule="exact" w:val="240"/>
        </w:trPr>
        <w:tc>
          <w:tcPr>
            <w:tcW w:w="48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483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Kirjanpitoarvo 1.1.</w:t>
            </w:r>
          </w:p>
        </w:tc>
        <w:tc>
          <w:tcPr>
            <w:tcW w:w="12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23</w:t>
            </w:r>
          </w:p>
        </w:tc>
        <w:tc>
          <w:tcPr>
            <w:tcW w:w="12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Osuus tuloksesta</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Osingot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Muuntoerot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Osakepääoman alentaminen osakkuus- ja yhteisyrityksissä</w:t>
            </w: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-28</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483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Arvonalentumiset</w:t>
            </w:r>
          </w:p>
        </w:tc>
        <w:tc>
          <w:tcPr>
            <w:tcW w:w="124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4830" w:type="dxa"/>
            <w:tcBorders>
              <w:top w:val="nil"/>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Kirjanpitoarvo 31.12.</w:t>
            </w:r>
          </w:p>
        </w:tc>
        <w:tc>
          <w:tcPr>
            <w:tcW w:w="1245" w:type="dxa"/>
            <w:tcBorders>
              <w:top w:val="nil"/>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27</w:t>
            </w:r>
          </w:p>
        </w:tc>
        <w:tc>
          <w:tcPr>
            <w:tcW w:w="1245" w:type="dxa"/>
            <w:tcBorders>
              <w:top w:val="nil"/>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23</w:t>
            </w:r>
          </w:p>
        </w:tc>
      </w:tr>
    </w:tbl>
    <w:p w:rsidR="008A709C" w:rsidP="008A709C" w14:paraId="3F2AC99C" w14:textId="457DB1B3">
      <w:pPr>
        <w:pStyle w:val="Bodytext2"/>
        <w:rPr>
          <w:color w:val="0F172B"/>
          <w:szCs w:val="15"/>
          <w:lang w:val="fi-FI"/>
        </w:rPr>
        <w:sectPr w:rsidSect="002642EE">
          <w:headerReference w:type="even" r:id="rId64"/>
          <w:headerReference w:type="default" r:id="rId65"/>
          <w:footerReference w:type="even" r:id="rId66"/>
          <w:footerReference w:type="default" r:id="rId67"/>
          <w:headerReference w:type="first" r:id="rId68"/>
          <w:footerReference w:type="first" r:id="rId69"/>
          <w:type w:val="continuous"/>
          <w:pgSz w:w="16838" w:h="11906" w:orient="landscape"/>
          <w:pgMar w:top="1814" w:right="737" w:bottom="1247" w:left="737" w:header="720" w:footer="720" w:gutter="0"/>
          <w:pgBorders w:zOrder="front" w:display="allPages" w:offsetFrom="text">
            <w:top w:val="nil"/>
            <w:left w:val="nil"/>
            <w:bottom w:val="nil"/>
            <w:right w:val="nil"/>
          </w:pgBorders>
          <w:cols w:num="2" w:sep="0" w:space="624" w:equalWidth="1"/>
          <w:vAlign w:val="top"/>
          <w:titlePg w:val="0"/>
          <w:rtlGutter w:val="0"/>
          <w:docGrid w:linePitch="360"/>
        </w:sectPr>
      </w:pPr>
    </w:p>
    <w:p w:rsidR="008A709C" w:rsidP="001D7267" w14:paraId="2DEB398F" w14:textId="77777777">
      <w:pPr>
        <w:pStyle w:val="Bodytext2"/>
        <w:rPr>
          <w:b/>
          <w:bCs/>
          <w:color w:val="0F172B"/>
          <w:sz w:val="2"/>
          <w:szCs w:val="2"/>
          <w:lang w:val="fi-FI"/>
        </w:rPr>
      </w:pPr>
    </w:p>
    <w:p w:rsidR="001D7267" w:rsidP="001D7267" w14:paraId="7F2167E7" w14:textId="446BA31E">
      <w:pPr>
        <w:pStyle w:val="Heading13"/>
        <w:rPr>
          <w:lang w:val="fi-FI"/>
        </w:rPr>
      </w:pPr>
      <w:r>
        <w:rPr>
          <w:lang w:val="fi-FI"/>
        </w:rPr>
        <w:t>Taloudellinen yhteenveto (100%):</w:t>
      </w:r>
    </w:p>
    <w:p w:rsidR="001D7267" w:rsidP="001D7267" w14:paraId="607597AA" w14:textId="221A3B17">
      <w:pPr>
        <w:pStyle w:val="Heading13"/>
        <w:rPr>
          <w:lang w:val="en-GB"/>
        </w:rPr>
      </w:pPr>
      <w:r>
        <w:rPr>
          <w:lang w:val="en-GB"/>
        </w:rPr>
        <w:t>2021</w:t>
      </w:r>
    </w:p>
    <w:tbl>
      <w:tblPr>
        <w:tblStyle w:val="TableNormal"/>
        <w:tblCaption w:val="table_64_fin_info_cur"/>
        <w:tblW w:w="15450" w:type="dxa"/>
        <w:tblLayout w:type="fixed"/>
        <w:tblLook w:val="0600"/>
      </w:tblPr>
      <w:tblGrid>
        <w:gridCol w:w="4860"/>
        <w:gridCol w:w="1215"/>
        <w:gridCol w:w="870"/>
        <w:gridCol w:w="1215"/>
        <w:gridCol w:w="1215"/>
        <w:gridCol w:w="1215"/>
        <w:gridCol w:w="1215"/>
        <w:gridCol w:w="1215"/>
        <w:gridCol w:w="1215"/>
        <w:gridCol w:w="1215"/>
      </w:tblGrid>
      <w:tr>
        <w:tblPrEx>
          <w:tblW w:w="15450" w:type="dxa"/>
          <w:tblLayout w:type="fixed"/>
          <w:tblLook w:val="0600"/>
        </w:tblPrEx>
        <w:trPr>
          <w:trHeight w:val="240"/>
        </w:trPr>
        <w:tc>
          <w:tcPr>
            <w:tcW w:w="486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15"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Omistus-%</w:t>
            </w:r>
          </w:p>
        </w:tc>
        <w:tc>
          <w:tcPr>
            <w:tcW w:w="121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Pitkäaikaiset</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varat</w:t>
            </w:r>
          </w:p>
        </w:tc>
        <w:tc>
          <w:tcPr>
            <w:tcW w:w="121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Lyhytaikaiset</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varat</w:t>
            </w:r>
          </w:p>
        </w:tc>
        <w:tc>
          <w:tcPr>
            <w:tcW w:w="121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Oma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pääoma</w:t>
            </w:r>
          </w:p>
        </w:tc>
        <w:tc>
          <w:tcPr>
            <w:tcW w:w="121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Pitkäaikaiset</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velat</w:t>
            </w:r>
          </w:p>
        </w:tc>
        <w:tc>
          <w:tcPr>
            <w:tcW w:w="121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Lyhytaikaiset</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velat</w:t>
            </w:r>
          </w:p>
        </w:tc>
        <w:tc>
          <w:tcPr>
            <w:tcW w:w="121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Liike-</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vaihto</w:t>
            </w:r>
          </w:p>
        </w:tc>
        <w:tc>
          <w:tcPr>
            <w:tcW w:w="121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Tilikauden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tulos</w:t>
            </w:r>
          </w:p>
        </w:tc>
      </w:tr>
      <w:tr>
        <w:tblPrEx>
          <w:tblW w:w="15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486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Yhteisyritykset</w:t>
            </w:r>
          </w:p>
        </w:tc>
        <w:tc>
          <w:tcPr>
            <w:tcW w:w="121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15" w:type="dxa"/>
            <w:tcBorders>
              <w:top w:val="single" w:sz="8" w:space="0" w:color="0F172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15" w:type="dxa"/>
            <w:tcBorders>
              <w:top w:val="single" w:sz="8" w:space="0" w:color="0F172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15" w:type="dxa"/>
            <w:tcBorders>
              <w:top w:val="single" w:sz="8" w:space="0" w:color="0F172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15" w:type="dxa"/>
            <w:tcBorders>
              <w:top w:val="single" w:sz="8" w:space="0" w:color="0F172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15" w:type="dxa"/>
            <w:tcBorders>
              <w:top w:val="single" w:sz="8" w:space="0" w:color="0F172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15" w:type="dxa"/>
            <w:tcBorders>
              <w:top w:val="single" w:sz="8" w:space="0" w:color="0F172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15" w:type="dxa"/>
            <w:tcBorders>
              <w:top w:val="single" w:sz="8" w:space="0" w:color="0F172B"/>
              <w:left w:val="nil"/>
              <w:bottom w:val="single" w:sz="4" w:space="0" w:color="004A6B"/>
              <w:right w:val="nil"/>
              <w:tl2br w:val="nil"/>
              <w:tr2bl w:val="nil"/>
            </w:tcBorders>
            <w:shd w:val="clear" w:color="FFFFFF" w:fill="E7EBED"/>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15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4860" w:type="dxa"/>
            <w:tcBorders>
              <w:top w:val="single" w:sz="4" w:space="0" w:color="004A6B"/>
              <w:left w:val="nil"/>
              <w:bottom w:val="single" w:sz="4" w:space="0" w:color="004A6B"/>
              <w:right w:val="nil"/>
              <w:tl2br w:val="nil"/>
              <w:tr2bl w:val="nil"/>
            </w:tcBorders>
            <w:shd w:val="clear" w:color="FFFFFF" w:fill="FFFFFF"/>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Qiyao Diesel Company Ltd.</w:t>
            </w: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Kiina</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50,0</w:t>
            </w:r>
          </w:p>
        </w:tc>
        <w:tc>
          <w:tcPr>
            <w:tcW w:w="121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121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37</w:t>
            </w:r>
          </w:p>
        </w:tc>
        <w:tc>
          <w:tcPr>
            <w:tcW w:w="121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24</w:t>
            </w:r>
          </w:p>
        </w:tc>
        <w:tc>
          <w:tcPr>
            <w:tcW w:w="121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121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w:t>
            </w:r>
          </w:p>
        </w:tc>
        <w:tc>
          <w:tcPr>
            <w:tcW w:w="121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54</w:t>
            </w:r>
          </w:p>
        </w:tc>
        <w:tc>
          <w:tcPr>
            <w:tcW w:w="121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r>
      <w:tr>
        <w:tblPrEx>
          <w:tblW w:w="15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4860" w:type="dxa"/>
            <w:tcBorders>
              <w:top w:val="single" w:sz="4" w:space="0" w:color="004A6B"/>
              <w:left w:val="nil"/>
              <w:bottom w:val="single" w:sz="4" w:space="0" w:color="004A6B"/>
              <w:right w:val="nil"/>
              <w:tl2br w:val="nil"/>
              <w:tr2bl w:val="nil"/>
            </w:tcBorders>
            <w:shd w:val="clear" w:color="FFFFFF" w:fill="FFFFFF"/>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CSSC Wärtsilä Electrical &amp; Automation Co., Ltd.</w:t>
            </w: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Kiina</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49,0</w:t>
            </w:r>
          </w:p>
        </w:tc>
        <w:tc>
          <w:tcPr>
            <w:tcW w:w="121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121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121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121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c>
          <w:tcPr>
            <w:tcW w:w="121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121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c>
          <w:tcPr>
            <w:tcW w:w="121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w:t>
            </w:r>
          </w:p>
        </w:tc>
      </w:tr>
      <w:tr>
        <w:tblPrEx>
          <w:tblW w:w="15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4860" w:type="dxa"/>
            <w:tcBorders>
              <w:top w:val="single" w:sz="4" w:space="0" w:color="004A6B"/>
              <w:left w:val="nil"/>
              <w:bottom w:val="single" w:sz="4" w:space="0" w:color="004A6B"/>
              <w:right w:val="nil"/>
              <w:tl2br w:val="nil"/>
              <w:tr2bl w:val="nil"/>
            </w:tcBorders>
            <w:shd w:val="clear" w:color="FFFFFF" w:fill="FFFFFF"/>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CSSC Wärtsilä Engine (Shanghai) Co., Ltd.</w:t>
            </w: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Kiina</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49,0</w:t>
            </w:r>
          </w:p>
        </w:tc>
        <w:tc>
          <w:tcPr>
            <w:tcW w:w="121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56</w:t>
            </w:r>
          </w:p>
        </w:tc>
        <w:tc>
          <w:tcPr>
            <w:tcW w:w="121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117</w:t>
            </w:r>
          </w:p>
        </w:tc>
        <w:tc>
          <w:tcPr>
            <w:tcW w:w="121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24</w:t>
            </w:r>
          </w:p>
        </w:tc>
        <w:tc>
          <w:tcPr>
            <w:tcW w:w="121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34</w:t>
            </w:r>
          </w:p>
        </w:tc>
        <w:tc>
          <w:tcPr>
            <w:tcW w:w="121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115</w:t>
            </w:r>
          </w:p>
        </w:tc>
        <w:tc>
          <w:tcPr>
            <w:tcW w:w="121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75</w:t>
            </w:r>
          </w:p>
        </w:tc>
        <w:tc>
          <w:tcPr>
            <w:tcW w:w="121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r>
      <w:tr>
        <w:tblPrEx>
          <w:tblW w:w="15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4860" w:type="dxa"/>
            <w:tcBorders>
              <w:top w:val="single" w:sz="4" w:space="0" w:color="004A6B"/>
              <w:left w:val="nil"/>
              <w:bottom w:val="single" w:sz="4" w:space="0" w:color="004A6B"/>
              <w:right w:val="nil"/>
              <w:tl2br w:val="nil"/>
              <w:tr2bl w:val="nil"/>
            </w:tcBorders>
            <w:shd w:val="clear" w:color="FFFFFF" w:fill="FFFFFF"/>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Repropel Sociedad de reparacao de helices</w:t>
            </w:r>
          </w:p>
        </w:tc>
        <w:tc>
          <w:tcPr>
            <w:tcW w:w="121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Portugali</w:t>
            </w:r>
          </w:p>
        </w:tc>
        <w:tc>
          <w:tcPr>
            <w:tcW w:w="87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50,0</w:t>
            </w:r>
          </w:p>
        </w:tc>
        <w:tc>
          <w:tcPr>
            <w:tcW w:w="121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1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121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21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1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1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21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bl>
    <w:p w:rsidR="001D7267" w:rsidP="001D7267" w14:paraId="60BCF7E5" w14:textId="77777777">
      <w:pPr>
        <w:pStyle w:val="Bodytext2"/>
        <w:rPr>
          <w:color w:val="0F172B"/>
          <w:szCs w:val="15"/>
          <w:lang w:val="en-GB"/>
        </w:rPr>
      </w:pPr>
    </w:p>
    <w:p w:rsidR="001D7267" w:rsidP="001D7267" w14:paraId="4C7EFD2F" w14:textId="4382E2A5">
      <w:pPr>
        <w:pStyle w:val="Bodytext2"/>
        <w:rPr>
          <w:color w:val="0F172B"/>
          <w:szCs w:val="15"/>
          <w:lang w:val="fi-FI"/>
        </w:rPr>
      </w:pPr>
      <w:r>
        <w:rPr>
          <w:color w:val="0F172B"/>
          <w:szCs w:val="15"/>
          <w:lang w:val="fi-FI"/>
        </w:rPr>
        <w:t>CSSC Wärtsilä Engine (Shanghai) Co., Ltd. -yhtiö valmistaa keskikokoisia ja suuria keskinopeita dieselmoottoreita ja monipolttoainemoottoreita Shanghaissa Linganganissa. Wärtsilä Qiyao Diesel Company Ltd. valmistaa merenkulun ap</w:t>
      </w:r>
      <w:r>
        <w:rPr>
          <w:color w:val="0F172B"/>
          <w:szCs w:val="15"/>
          <w:lang w:val="fi-FI"/>
        </w:rPr>
        <w:t>umoottoreita Shanghaissa, Kiinassa. CSSC Wärtsilä Electrical &amp; Automation Co., Ltd. tuottaa kehittyneitä sähkö- ja automaatioratkaisuja risteilyalalle.</w:t>
      </w:r>
    </w:p>
    <w:p w:rsidR="001D7267" w:rsidP="001D7267" w14:paraId="7840E15E" w14:textId="635995A7">
      <w:pPr>
        <w:pStyle w:val="Bodytext2"/>
        <w:rPr>
          <w:color w:val="0F172B"/>
          <w:szCs w:val="15"/>
          <w:lang w:val="fi-FI"/>
        </w:rPr>
      </w:pPr>
    </w:p>
    <w:p w:rsidR="001D7267" w:rsidP="001D7267" w14:paraId="279F4853" w14:textId="0D61C4BB">
      <w:pPr>
        <w:pStyle w:val="Heading13"/>
        <w:rPr>
          <w:lang w:val="en-GB"/>
        </w:rPr>
      </w:pPr>
      <w:r>
        <w:rPr>
          <w:lang w:val="en-GB"/>
        </w:rPr>
        <w:t>2020</w:t>
      </w:r>
    </w:p>
    <w:tbl>
      <w:tblPr>
        <w:tblStyle w:val="TableNormal"/>
        <w:tblCaption w:val="table_64_fin_info_pre"/>
        <w:tblW w:w="15450" w:type="dxa"/>
        <w:tblLayout w:type="fixed"/>
        <w:tblLook w:val="0600"/>
      </w:tblPr>
      <w:tblGrid>
        <w:gridCol w:w="4860"/>
        <w:gridCol w:w="1215"/>
        <w:gridCol w:w="870"/>
        <w:gridCol w:w="1215"/>
        <w:gridCol w:w="1215"/>
        <w:gridCol w:w="1215"/>
        <w:gridCol w:w="1215"/>
        <w:gridCol w:w="1215"/>
        <w:gridCol w:w="1215"/>
        <w:gridCol w:w="1215"/>
      </w:tblGrid>
      <w:tr>
        <w:tblPrEx>
          <w:tblW w:w="15450" w:type="dxa"/>
          <w:tblLayout w:type="fixed"/>
          <w:tblLook w:val="0600"/>
        </w:tblPrEx>
        <w:trPr>
          <w:trHeight w:val="240"/>
        </w:trPr>
        <w:tc>
          <w:tcPr>
            <w:tcW w:w="486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15"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Omistus-%</w:t>
            </w:r>
          </w:p>
        </w:tc>
        <w:tc>
          <w:tcPr>
            <w:tcW w:w="1215"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1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Pitkäaikaiset</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varat</w:t>
            </w:r>
          </w:p>
        </w:tc>
        <w:tc>
          <w:tcPr>
            <w:tcW w:w="121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Lyhytaikaiset</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varat</w:t>
            </w:r>
          </w:p>
        </w:tc>
        <w:tc>
          <w:tcPr>
            <w:tcW w:w="121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Oma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pääoma</w:t>
            </w:r>
          </w:p>
        </w:tc>
        <w:tc>
          <w:tcPr>
            <w:tcW w:w="121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Lyhytaikaiset</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velat</w:t>
            </w:r>
          </w:p>
        </w:tc>
        <w:tc>
          <w:tcPr>
            <w:tcW w:w="121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Liike-</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vaihto</w:t>
            </w:r>
          </w:p>
        </w:tc>
        <w:tc>
          <w:tcPr>
            <w:tcW w:w="121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Tilikauden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tulos</w:t>
            </w:r>
          </w:p>
        </w:tc>
      </w:tr>
      <w:tr>
        <w:tblPrEx>
          <w:tblW w:w="15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486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Yhteisyritykset</w:t>
            </w:r>
          </w:p>
        </w:tc>
        <w:tc>
          <w:tcPr>
            <w:tcW w:w="121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70" w:type="dxa"/>
            <w:tcBorders>
              <w:top w:val="single" w:sz="8" w:space="0" w:color="0F172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15" w:type="dxa"/>
            <w:tcBorders>
              <w:top w:val="single" w:sz="8" w:space="0" w:color="0F172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15" w:type="dxa"/>
            <w:tcBorders>
              <w:top w:val="single" w:sz="8" w:space="0" w:color="0F172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15" w:type="dxa"/>
            <w:tcBorders>
              <w:top w:val="single" w:sz="8" w:space="0" w:color="0F172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15" w:type="dxa"/>
            <w:tcBorders>
              <w:top w:val="single" w:sz="8" w:space="0" w:color="0F172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15" w:type="dxa"/>
            <w:tcBorders>
              <w:top w:val="single" w:sz="8" w:space="0" w:color="0F172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15" w:type="dxa"/>
            <w:tcBorders>
              <w:top w:val="single" w:sz="8" w:space="0" w:color="0F172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15" w:type="dxa"/>
            <w:tcBorders>
              <w:top w:val="single" w:sz="8" w:space="0" w:color="0F172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15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4860" w:type="dxa"/>
            <w:tcBorders>
              <w:top w:val="single" w:sz="4" w:space="0" w:color="004A6B"/>
              <w:left w:val="nil"/>
              <w:bottom w:val="single" w:sz="4" w:space="0" w:color="004A6B"/>
              <w:right w:val="nil"/>
              <w:tl2br w:val="nil"/>
              <w:tr2bl w:val="nil"/>
            </w:tcBorders>
            <w:shd w:val="clear" w:color="FFFFFF" w:fill="FFFFFF"/>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Qiyao Diesel Company Ltd.</w:t>
            </w: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Kiina</w:t>
            </w:r>
          </w:p>
        </w:tc>
        <w:tc>
          <w:tcPr>
            <w:tcW w:w="87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50.0</w:t>
            </w:r>
          </w:p>
        </w:tc>
        <w:tc>
          <w:tcPr>
            <w:tcW w:w="12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w:t>
            </w: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32</w:t>
            </w: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22</w:t>
            </w: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w:t>
            </w: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54</w:t>
            </w: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w:t>
            </w:r>
          </w:p>
        </w:tc>
      </w:tr>
      <w:tr>
        <w:tblPrEx>
          <w:tblW w:w="15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4860" w:type="dxa"/>
            <w:tcBorders>
              <w:top w:val="single" w:sz="4" w:space="0" w:color="004A6B"/>
              <w:left w:val="nil"/>
              <w:bottom w:val="single" w:sz="4" w:space="0" w:color="004A6B"/>
              <w:right w:val="nil"/>
              <w:tl2br w:val="nil"/>
              <w:tr2bl w:val="nil"/>
            </w:tcBorders>
            <w:shd w:val="clear" w:color="FFFFFF" w:fill="FFFFFF"/>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Hyundai Engine Co Ltd.</w:t>
            </w: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Etelä-Korea</w:t>
            </w:r>
          </w:p>
        </w:tc>
        <w:tc>
          <w:tcPr>
            <w:tcW w:w="87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0,0</w:t>
            </w:r>
          </w:p>
        </w:tc>
        <w:tc>
          <w:tcPr>
            <w:tcW w:w="12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15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4860" w:type="dxa"/>
            <w:tcBorders>
              <w:top w:val="single" w:sz="4" w:space="0" w:color="004A6B"/>
              <w:left w:val="nil"/>
              <w:bottom w:val="single" w:sz="4" w:space="0" w:color="004A6B"/>
              <w:right w:val="nil"/>
              <w:tl2br w:val="nil"/>
              <w:tr2bl w:val="nil"/>
            </w:tcBorders>
            <w:shd w:val="clear" w:color="FFFFFF" w:fill="FFFFFF"/>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CSSC Wärtsilä Electrical &amp; Automation Co., Ltd.</w:t>
            </w: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Kiina</w:t>
            </w:r>
          </w:p>
        </w:tc>
        <w:tc>
          <w:tcPr>
            <w:tcW w:w="87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49.0</w:t>
            </w:r>
          </w:p>
        </w:tc>
        <w:tc>
          <w:tcPr>
            <w:tcW w:w="12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w:t>
            </w:r>
          </w:p>
        </w:tc>
        <w:tc>
          <w:tcPr>
            <w:tcW w:w="12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15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5"/>
        </w:trPr>
        <w:tc>
          <w:tcPr>
            <w:tcW w:w="4860" w:type="dxa"/>
            <w:tcBorders>
              <w:top w:val="single" w:sz="4" w:space="0" w:color="004A6B"/>
              <w:left w:val="nil"/>
              <w:bottom w:val="single" w:sz="4" w:space="0" w:color="004A6B"/>
              <w:right w:val="nil"/>
              <w:tl2br w:val="nil"/>
              <w:tr2bl w:val="nil"/>
            </w:tcBorders>
            <w:shd w:val="clear" w:color="FFFFFF" w:fill="FFFFFF"/>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CSSC Wärtsilä Engine (Shanghai) Co., Ltd.</w:t>
            </w: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Kiina</w:t>
            </w:r>
          </w:p>
        </w:tc>
        <w:tc>
          <w:tcPr>
            <w:tcW w:w="87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49.0</w:t>
            </w:r>
          </w:p>
        </w:tc>
        <w:tc>
          <w:tcPr>
            <w:tcW w:w="12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21</w:t>
            </w: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73</w:t>
            </w: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w:t>
            </w: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74</w:t>
            </w: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66</w:t>
            </w: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15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5"/>
        </w:trPr>
        <w:tc>
          <w:tcPr>
            <w:tcW w:w="4860" w:type="dxa"/>
            <w:tcBorders>
              <w:top w:val="single" w:sz="4" w:space="0" w:color="004A6B"/>
              <w:left w:val="nil"/>
              <w:bottom w:val="single" w:sz="4" w:space="0" w:color="004A6B"/>
              <w:right w:val="nil"/>
              <w:tl2br w:val="nil"/>
              <w:tr2bl w:val="nil"/>
            </w:tcBorders>
            <w:shd w:val="clear" w:color="FFFFFF" w:fill="FFFFFF"/>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Repropel Sociedad de reparacao de helices</w:t>
            </w: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Portugali</w:t>
            </w:r>
          </w:p>
        </w:tc>
        <w:tc>
          <w:tcPr>
            <w:tcW w:w="87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50.0</w:t>
            </w:r>
          </w:p>
        </w:tc>
        <w:tc>
          <w:tcPr>
            <w:tcW w:w="12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12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12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bl>
    <w:p w:rsidR="002D0A0D" w:rsidRPr="008A709C" w:rsidP="008A709C" w14:paraId="11E08D27" w14:textId="6E93D354">
      <w:pPr>
        <w:pStyle w:val="Bodytext2"/>
      </w:pPr>
    </w:p>
    <w:p w:rsidR="002D0A0D" w:rsidRPr="00C920E0" w:rsidP="00C920E0" w14:paraId="1F9B3885" w14:textId="68EDBBC9">
      <w:pPr>
        <w:pStyle w:val="Bodytext2"/>
        <w:rPr>
          <w:color w:val="0F172B"/>
          <w:szCs w:val="15"/>
          <w:lang w:val="fi-FI"/>
        </w:rPr>
        <w:sectPr>
          <w:headerReference w:type="even" r:id="rId70"/>
          <w:headerReference w:type="default" r:id="rId71"/>
          <w:footerReference w:type="even" r:id="rId72"/>
          <w:footerReference w:type="default" r:id="rId73"/>
          <w:headerReference w:type="first" r:id="rId74"/>
          <w:footerReference w:type="first" r:id="rId75"/>
          <w:type w:val="continuous"/>
          <w:pgSz w:w="16838" w:h="11906" w:orient="landscape"/>
          <w:pgMar w:top="1814" w:right="737" w:bottom="1247" w:left="737" w:header="720" w:footer="720" w:gutter="0"/>
          <w:pgBorders w:zOrder="front" w:display="allPages" w:offsetFrom="text">
            <w:top w:val="nil"/>
            <w:left w:val="nil"/>
            <w:bottom w:val="nil"/>
            <w:right w:val="nil"/>
          </w:pgBorders>
          <w:cols w:space="720"/>
          <w:vAlign w:val="top"/>
          <w:titlePg w:val="0"/>
          <w:rtlGutter w:val="0"/>
        </w:sectPr>
      </w:pPr>
      <w:r>
        <w:rPr>
          <w:color w:val="0F172B"/>
          <w:szCs w:val="15"/>
          <w:lang w:val="fi-FI"/>
        </w:rPr>
        <w:t xml:space="preserve">Wärtsilä Hyundai Engine Co Ltd.:n osakkeet </w:t>
      </w:r>
      <w:r>
        <w:rPr>
          <w:color w:val="0F172B"/>
          <w:szCs w:val="15"/>
          <w:lang w:val="fi-FI"/>
        </w:rPr>
        <w:t>myytin 31.12.2020. Lisäksi tilikauden aikana lakkautettiin Wärtsilä Land &amp; Sea Academy, Inc. ja Neptun Maritime AS:n osakkeet myytiin.</w:t>
      </w:r>
    </w:p>
    <w:p w:rsidR="001D7267" w:rsidRPr="002D0A0D" w:rsidP="001D7267" w14:paraId="20D3F766" w14:textId="408C7EEA">
      <w:pPr>
        <w:rPr>
          <w:sz w:val="2"/>
          <w:szCs w:val="2"/>
          <w:lang w:val="fi-FI"/>
        </w:rPr>
      </w:pPr>
    </w:p>
    <w:p w:rsidR="001D7267" w:rsidRPr="002D0A0D" w:rsidP="001D7267" w14:paraId="7EC6B68E" w14:textId="77777777">
      <w:pPr>
        <w:rPr>
          <w:sz w:val="2"/>
          <w:szCs w:val="2"/>
          <w:lang w:val="fi-FI"/>
        </w:rPr>
      </w:pPr>
    </w:p>
    <w:p w:rsidR="004A0DF2" w:rsidRPr="002D0A0D" w:rsidP="001D7267" w14:textId="3B15A68D">
      <w:pPr>
        <w:rPr>
          <w:sz w:val="2"/>
          <w:szCs w:val="2"/>
          <w:lang w:val="fi-FI"/>
        </w:rPr>
      </w:pPr>
      <w:r>
        <w:t xml:space="preserve"> </w:t>
      </w:r>
    </w:p>
    <w:p w:rsidR="006505F6" w:rsidP="006505F6" w14:paraId="01BFD5C8" w14:textId="47459372">
      <w:pPr>
        <w:pStyle w:val="Heading12"/>
      </w:pPr>
      <w:bookmarkStart w:id="1490" w:name="RG_MARKER_7442"/>
      <w:r>
        <w:t>6.5. TYTÄRYHTIÖT</w:t>
      </w:r>
      <w:bookmarkEnd w:id="1490"/>
    </w:p>
    <w:tbl>
      <w:tblPr>
        <w:tblStyle w:val="TableGrid"/>
        <w:tblW w:w="7371" w:type="dxa"/>
        <w:tblLook w:val="04A0"/>
      </w:tblPr>
      <w:tblGrid>
        <w:gridCol w:w="7371"/>
      </w:tblGrid>
      <w:tr w14:paraId="53369239" w14:textId="77777777" w:rsidTr="006505F6">
        <w:tblPrEx>
          <w:tblW w:w="7371" w:type="dxa"/>
          <w:tblLook w:val="04A0"/>
        </w:tblPrEx>
        <w:tc>
          <w:tcPr>
            <w:tcW w:w="7371" w:type="dxa"/>
            <w:tcBorders>
              <w:top w:val="nil"/>
              <w:left w:val="nil"/>
              <w:bottom w:val="nil"/>
              <w:right w:val="nil"/>
            </w:tcBorders>
            <w:shd w:val="clear" w:color="auto" w:fill="B6C8D1"/>
          </w:tcPr>
          <w:p w:rsidR="006505F6" w:rsidRPr="006505F6" w14:paraId="37791D3E" w14:textId="61C75134">
            <w:pPr>
              <w:pStyle w:val="Heading13"/>
              <w:rPr>
                <w:rFonts w:eastAsiaTheme="minorEastAsia" w:cstheme="minorHAnsi"/>
                <w:lang w:val="fi-FI" w:eastAsia="fi-FI"/>
              </w:rPr>
            </w:pPr>
            <w:r w:rsidRPr="006505F6">
              <w:rPr>
                <w:lang w:val="fi-FI"/>
              </w:rPr>
              <w:t>Laadintaperiaatteet</w:t>
            </w:r>
          </w:p>
          <w:p w:rsidR="006505F6" w14:paraId="5612FC10" w14:textId="18E78C5D">
            <w:pPr>
              <w:pStyle w:val="Bodytext2"/>
              <w:rPr>
                <w:color w:val="0F172B"/>
                <w:szCs w:val="15"/>
                <w:lang w:val="fi-FI"/>
              </w:rPr>
            </w:pPr>
            <w:r w:rsidRPr="006505F6">
              <w:rPr>
                <w:color w:val="0F172B"/>
                <w:szCs w:val="15"/>
                <w:lang w:val="fi-FI"/>
              </w:rPr>
              <w:t xml:space="preserve">Konsernitilinpäätös sisältää emoyhtiö Wärtsilä </w:t>
            </w:r>
            <w:bookmarkStart w:id="1491" w:name="XBRL_CS_c01865e4795b455f9d858f6a1d329a51"/>
            <w:bookmarkEnd w:id="1491"/>
            <w:bookmarkStart w:id="1492" w:name="c01865e4795b455f9d858f6a1d329a51"/>
            <w:r w:rsidRPr="00C6455E">
              <w:rPr>
                <w:color w:val="0F172B"/>
                <w:szCs w:val="15"/>
                <w:lang w:val="fi-FI"/>
              </w:rPr>
              <w:t>Oyj</w:t>
            </w:r>
            <w:bookmarkStart w:id="1493" w:name="XBRL_CE_c01865e4795b455f9d858f6a1d329a51"/>
            <w:bookmarkEnd w:id="1492"/>
            <w:bookmarkEnd w:id="1493"/>
            <w:r w:rsidRPr="00C6455E">
              <w:rPr>
                <w:color w:val="0F172B"/>
                <w:szCs w:val="15"/>
                <w:lang w:val="fi-FI"/>
              </w:rPr>
              <w:t xml:space="preserve"> </w:t>
            </w:r>
            <w:r w:rsidRPr="006505F6">
              <w:rPr>
                <w:color w:val="0F172B"/>
                <w:szCs w:val="15"/>
                <w:lang w:val="fi-FI"/>
              </w:rPr>
              <w:t xml:space="preserve">Abp:n sekä kaikki ne tytäryhtiöt, jotka ovat konsernin määräysvallassa. Konsernilla on määräysvalta yhtiöön silloin, kun se olemalla osallisena yhtiössä </w:t>
            </w:r>
            <w:r w:rsidRPr="006505F6">
              <w:rPr>
                <w:color w:val="0F172B"/>
                <w:szCs w:val="15"/>
                <w:lang w:val="fi-FI"/>
              </w:rPr>
              <w:t>altistuu sijoituskohteen muuttuvalle tuotolle tai on oikeutettu sen muuttuvaan tuottoon ja se pystyy vaikuttamaan tähän tuottoon käyttämällä sijoituskohdetta koskevaa valtaansa. Kun konsernilla ei ole enemmistöä ääni- tai muista vastaavista oikeuksista, ko</w:t>
            </w:r>
            <w:r w:rsidRPr="006505F6">
              <w:rPr>
                <w:color w:val="0F172B"/>
                <w:szCs w:val="15"/>
                <w:lang w:val="fi-FI"/>
              </w:rPr>
              <w:t>nserni ottaa huomioon kaikki asianmukaiset tosiseikat ja olosuhteet, mukaan lukien sopimusjärjestelyt, äänioikeudet ja mahdolliset äänioikeudet, arvioidessaan, onko sillä määräysvaltaa yhtiöön. Konserni arvioi määräysvaltansa yhtiöön uudelleen, jos tosisei</w:t>
            </w:r>
            <w:r w:rsidRPr="006505F6">
              <w:rPr>
                <w:color w:val="0F172B"/>
                <w:szCs w:val="15"/>
                <w:lang w:val="fi-FI"/>
              </w:rPr>
              <w:t>kat ja olosuhteet viittaavat siihen, että määräysvallan osatekijöissä on tapahtunut muutoksia.</w:t>
            </w:r>
          </w:p>
          <w:p w:rsidR="006505F6" w:rsidRPr="006505F6" w14:paraId="58C8C9FD" w14:textId="77777777">
            <w:pPr>
              <w:pStyle w:val="Bodytext2"/>
              <w:rPr>
                <w:rFonts w:eastAsiaTheme="minorEastAsia"/>
                <w:color w:val="0F172B"/>
                <w:szCs w:val="15"/>
                <w:lang w:val="fi-FI" w:eastAsia="fi-FI"/>
              </w:rPr>
            </w:pPr>
          </w:p>
          <w:p w:rsidR="006505F6" w:rsidRPr="006505F6" w14:paraId="315CE128" w14:textId="18F3A50A">
            <w:pPr>
              <w:pStyle w:val="Bodytext2"/>
              <w:rPr>
                <w:rFonts w:eastAsiaTheme="minorEastAsia"/>
                <w:color w:val="0F172B"/>
                <w:szCs w:val="15"/>
                <w:lang w:val="fi-FI" w:eastAsia="fi-FI"/>
              </w:rPr>
            </w:pPr>
            <w:r w:rsidRPr="006505F6">
              <w:rPr>
                <w:color w:val="0F172B"/>
                <w:szCs w:val="15"/>
                <w:lang w:val="fi-FI"/>
              </w:rPr>
              <w:t>Hyperinflaatiosta kärsivissä maissa toimivien tytäryhtiöiden taloudelliset tiedot oikaistaan standardin IAS 29 mukaisesti silloin, kun hyperinflaation vaikutust</w:t>
            </w:r>
            <w:r w:rsidRPr="006505F6">
              <w:rPr>
                <w:color w:val="0F172B"/>
                <w:szCs w:val="15"/>
                <w:lang w:val="fi-FI"/>
              </w:rPr>
              <w:t>a konsernitilinpäätökseen pidetään olennaisena.</w:t>
            </w:r>
          </w:p>
        </w:tc>
      </w:tr>
    </w:tbl>
    <w:p w:rsidR="006505F6" w:rsidRPr="006505F6" w:rsidP="006505F6" w14:paraId="6F94749D" w14:textId="77777777">
      <w:pPr>
        <w:pStyle w:val="Bodytext2"/>
        <w:rPr>
          <w:color w:val="0F172B"/>
          <w:szCs w:val="15"/>
          <w:lang w:val="fi-FI"/>
        </w:rPr>
      </w:pPr>
    </w:p>
    <w:tbl>
      <w:tblPr>
        <w:tblStyle w:val="TableNormal"/>
        <w:tblCaption w:val="table_65"/>
        <w:tblW w:w="7350" w:type="dxa"/>
        <w:tblLayout w:type="fixed"/>
        <w:tblLook w:val="0600"/>
      </w:tblPr>
      <w:tblGrid>
        <w:gridCol w:w="870"/>
        <w:gridCol w:w="2925"/>
        <w:gridCol w:w="1125"/>
        <w:gridCol w:w="1740"/>
        <w:gridCol w:w="690"/>
      </w:tblGrid>
      <w:tr>
        <w:tblPrEx>
          <w:tblW w:w="7350" w:type="dxa"/>
          <w:tblLayout w:type="fixed"/>
          <w:tblLook w:val="0600"/>
        </w:tblPrEx>
        <w:trPr>
          <w:trHeight w:val="240"/>
        </w:trPr>
        <w:tc>
          <w:tcPr>
            <w:tcW w:w="87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Maantie-</w:t>
            </w:r>
          </w:p>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teellinen </w:t>
            </w:r>
          </w:p>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alue</w:t>
            </w:r>
          </w:p>
        </w:tc>
        <w:tc>
          <w:tcPr>
            <w:tcW w:w="292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Yhtiön nimi</w:t>
            </w:r>
          </w:p>
        </w:tc>
        <w:tc>
          <w:tcPr>
            <w:tcW w:w="112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Kotimaa</w:t>
            </w:r>
          </w:p>
        </w:tc>
        <w:tc>
          <w:tcPr>
            <w:tcW w:w="174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Toiminnot</w:t>
            </w:r>
          </w:p>
        </w:tc>
        <w:tc>
          <w:tcPr>
            <w:tcW w:w="69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Omistus-</w:t>
            </w:r>
          </w:p>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osuus %</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Eurooppa</w:t>
            </w:r>
          </w:p>
        </w:tc>
        <w:tc>
          <w:tcPr>
            <w:tcW w:w="2925"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Cyprus Limited</w:t>
            </w:r>
          </w:p>
        </w:tc>
        <w:tc>
          <w:tcPr>
            <w:tcW w:w="1125"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Kypros</w:t>
            </w:r>
          </w:p>
        </w:tc>
        <w:tc>
          <w:tcPr>
            <w:tcW w:w="174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Danmark A/S</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Tanska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Lyngsø Marine A/S</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Tanska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BLRT Estonia Oü</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Viro</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51,7</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Finland Oy</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Suomi</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Tuotanto, 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Projects Oy</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Suomi</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Solutions Oy</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Suomi</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Technology Oy Ab</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Suomi</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Holding</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France S.A.S.</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Ranska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Voyage Mediterranean SAS</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Ranska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Deutschland GmbH</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Saksa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SAM Electronics GmbH</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Saksa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Voyage Germany GmbH</w:t>
            </w:r>
          </w:p>
        </w:tc>
        <w:tc>
          <w:tcPr>
            <w:tcW w:w="112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Saksa</w:t>
            </w:r>
          </w:p>
        </w:tc>
        <w:tc>
          <w:tcPr>
            <w:tcW w:w="174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Serck Como GmbH</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Saksa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Guidance Marine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Yhdistynyt kuningaskunta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Puregas Solutions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Yhdistynyt kuningaskunta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UK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Yhdistynyt kuningaskunta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Tuotanto, 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Voyage UK Limited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Yhdistynyt kuningaskunta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Ships Electronic Services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Yhdistynyt kuningaskunta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Greenham Regis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Yhdistynyt kuningaskunta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Water Systems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Yhdistynyt kuningaskunta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Defence Solutions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Yhdistynyt kuningaskunta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Greece S.A.</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Kreikka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Hungary Kft</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Unkari</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Transas New Building Limited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Irlanti</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Voyage Limited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Irlanti</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APSS Srl</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Italia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Italia S.p.A.</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Italia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Tuotanto, 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Trident Italia Srl</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Italia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Moss AS</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Norja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Tuotanto, 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Norway AS</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Norja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Tuotanto, 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Gas Solutions Norway AS.</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Norja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Valmarine AS</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Norja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Baltic Design Centre Sp.z.o.o.</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Puola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Polska Sp.z.o.o.</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Puola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Voyage Poland sp. z.o.o.</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Puola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Portugal S.A.</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Portugali</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Vostok, LLC</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Venäjä</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 xml:space="preserve">Transas Navigator Ltd. </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Venäjä</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Digital Technologies, JSC</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Venäjä</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Ibérica S.A.</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Espanja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Tuotanto, 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Burriel Navarro S.L.</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Espanja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Trident Las Palmas S.L.</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Espanja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Sweden AB</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Ruotsi</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Tuotanto, 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Voyage Sweden AB</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Ruotsi</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Services Switzerland AG</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Sveitsi</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Quantiparts B.V.</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Alankomaat</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Netherlands B.V.</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Alankomaat</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Tuotanto, 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Trident B.V.</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Alankomaat</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Voyage Netherlands B.V.</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Alankomaat</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Amerikka</w:t>
            </w: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Argentina S.A.</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Argentiina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Brasil Ltda.</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Brasilia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Tuotanto, 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Canada Inc.</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Kanada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Chile Ltda.</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Chile</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Colombia S.A.</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Kolumbia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Dominicana Inc.</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Dominikaaninen tasavalta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Ecuador S.A.</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Ecuador</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Guatemala S.A.</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Guatemala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Operations Guyana Inc.</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Guyana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de Mexico S.A. de C.V.</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Meksiko</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Panama Services S.A.</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Panama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Peru S.A.C.</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Peru</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Caribbean, Inc.</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Puerto Rico</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Uruguay S.A.</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Uruguay</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American Hydro Corporation</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USA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Guidance Marine LLC</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USA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Defence Inc.</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USA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North America, Inc.</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USA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LOCK-N-STITCH Inc.</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USA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Wartsila Voyage Americas  Inc</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USA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Aasia</w:t>
            </w: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PT. Wärtsilä Indonesia</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Indonesia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Azerbaijan LLC</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Azerbaidzan</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Bangladesh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Bangladesh</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Propulsion (Wuxi) Co.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Kiina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Tuotanto, 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Services (Shanghai) Co.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Kiina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Ship Design (Shanghai) Co.,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Kiina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Suzhou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Kiina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Tuotanto, 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Wärtsilä-CME Zhenjiang Propeller Co.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Kiina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Tuotanto, 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55,0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Voyage (Shanghai) Co.,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Hong Kong</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China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Hong Kong</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India Private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Intia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Tuotanto, 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Japan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Japani</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Tuotanto, 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Malaysia Sdn. Bhd.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Malesia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Myanmar</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Myanmar</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Pakistan (Pvt.)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Pakistan</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Philippines Inc.</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Filippiinit</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Doha L.L.C.</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Qatar</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Power Contracting Company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Saudi-Arabia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Guidance Marine Pte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Singapore</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Singapore Pte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Singapore</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Voyage Pacific Pte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Singapore</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Korea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Etelä-Korea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Lanka (PVT)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Sri Lanka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Taiwan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Taiwan</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Wärtsilä-Enpa A.S.</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Turkki</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51,0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Gulf FZE</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Yhdistyneet arabiemiirikunnat</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Hamworthy Middle East (FZE)</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Yhdistyneet arabiemiirikunnat</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LLC</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Yhdistyneet arabiemiirikunnat</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Ships Repairing &amp; Maintenance LLC</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Yhdistyneet arabiemiirikunnat</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 xml:space="preserve">Wärtsilä Voyage Middle East DMCEST </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Yhdistyneet arabiemiirikunnat</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 xml:space="preserve">Wartsila Samarkand Energy LLC </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Uzbekistan</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(Vietnam) Company Limited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Vietnam</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w:t>
            </w: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Australia Pty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Australia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Burkina Faso</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Burkina Faso</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Central Africa Plc</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Kamerun</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Egypt Power S.A.E</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Egypti</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Central Africa Gabon</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Gabon</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West Africa Guinea S.A.</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Guinea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Eastern Africa Limited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Kenia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Mauritanie SA</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Mauritania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Mocambique LDA</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Mosambik</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Muscat LLC</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Oman</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New Zealand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Uusi-Seelanti</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Marine &amp; Power Services Nigeria Limited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Nigeria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PNG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Papua-Uusi-Guinea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West Africa S.A.</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Senegal</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Southern Africa (Pty)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Etelä-Afrikka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South Africa Pty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Etelä-Afrikka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Tanzania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Tansania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87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9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Wärtsilä Uganda Ltd.</w:t>
            </w:r>
          </w:p>
        </w:tc>
        <w:tc>
          <w:tcPr>
            <w:tcW w:w="112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Uganda</w:t>
            </w:r>
          </w:p>
        </w:tc>
        <w:tc>
          <w:tcPr>
            <w:tcW w:w="174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 ja huolto</w:t>
            </w:r>
          </w:p>
        </w:tc>
        <w:tc>
          <w:tcPr>
            <w:tcW w:w="6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100,0</w:t>
            </w:r>
          </w:p>
        </w:tc>
      </w:tr>
    </w:tbl>
    <w:p w:rsidR="006505F6" w:rsidRPr="0094539F" w:rsidP="006505F6" w14:paraId="21B83604" w14:textId="77777777">
      <w:pPr>
        <w:pStyle w:val="Bodytext2"/>
        <w:rPr>
          <w:color w:val="0F172B"/>
          <w:szCs w:val="15"/>
          <w:lang w:val="fi-FI"/>
        </w:rPr>
      </w:pPr>
    </w:p>
    <w:p w:rsidR="006505F6" w:rsidRPr="006505F6" w:rsidP="006505F6" w14:paraId="0EEE1402" w14:textId="77777777">
      <w:pPr>
        <w:pStyle w:val="Bodytext2"/>
        <w:rPr>
          <w:color w:val="0F172B"/>
          <w:szCs w:val="15"/>
          <w:lang w:val="fi-FI"/>
        </w:rPr>
      </w:pPr>
      <w:r w:rsidRPr="006505F6">
        <w:rPr>
          <w:color w:val="0F172B"/>
          <w:szCs w:val="15"/>
          <w:lang w:val="fi-FI"/>
        </w:rPr>
        <w:t>Määräysvallattomien omistajien osuus konsernin toiminnoista ja rahavirroista ei ole olennainen yksittäisten tytäryhtiöiden osalta.</w:t>
      </w:r>
    </w:p>
    <w:p w:rsidR="006505F6" w:rsidRPr="006505F6" w:rsidP="006505F6" w14:paraId="5E825D01" w14:textId="77777777">
      <w:pPr>
        <w:pStyle w:val="Bodytext2"/>
        <w:rPr>
          <w:color w:val="0F172B"/>
          <w:szCs w:val="15"/>
          <w:lang w:val="fi-FI"/>
        </w:rPr>
      </w:pPr>
    </w:p>
    <w:p w:rsidR="004A0DF2" w:rsidRPr="006505F6" w:rsidP="006505F6" w14:textId="247E1176">
      <w:pPr>
        <w:pStyle w:val="Bodytext2"/>
        <w:rPr>
          <w:rFonts w:eastAsia="Times New Roman"/>
          <w:color w:val="auto"/>
          <w:sz w:val="2"/>
          <w:szCs w:val="2"/>
          <w:lang w:val="en-GB" w:eastAsia="en-GB"/>
        </w:rPr>
      </w:pPr>
      <w:r w:rsidRPr="006505F6">
        <w:rPr>
          <w:color w:val="0F172B"/>
          <w:szCs w:val="15"/>
          <w:lang w:val="fi-FI"/>
        </w:rPr>
        <w:t>Listassa ei ole mukana sellaisia tytäryhtiöitä, joilla ei o</w:t>
      </w:r>
      <w:r w:rsidRPr="006505F6">
        <w:rPr>
          <w:color w:val="0F172B"/>
          <w:szCs w:val="15"/>
          <w:lang w:val="fi-FI"/>
        </w:rPr>
        <w:t xml:space="preserve">le merkittävää vaikutusta konsernin tulokseen tai varoihin. </w:t>
      </w:r>
      <w:r w:rsidRPr="006505F6">
        <w:rPr>
          <w:color w:val="0F172B"/>
          <w:szCs w:val="15"/>
          <w:lang w:val="en-GB"/>
        </w:rPr>
        <w:t>Suomen kirjanpitoasetuksen mukainen täydellinen luettelo sisältyy emoyhtiön virallisiin tilinpäätösasiakirjoihi</w:t>
      </w:r>
      <w:r>
        <w:rPr>
          <w:color w:val="0F172B"/>
          <w:szCs w:val="15"/>
          <w:lang w:val="en-GB"/>
        </w:rPr>
        <w:t>n.</w:t>
      </w:r>
    </w:p>
    <w:p/>
    <w:p w:rsidR="00D57FE8" w:rsidP="00D57FE8" w14:paraId="173D882D" w14:textId="172ECCDF">
      <w:pPr>
        <w:pStyle w:val="Heading12"/>
      </w:pPr>
      <w:bookmarkStart w:id="1494" w:name="RG_MARKER_7443"/>
      <w:r>
        <w:t>6.6. TILINPÄÄTÖSKURSSEJA</w:t>
      </w:r>
      <w:bookmarkEnd w:id="1494"/>
    </w:p>
    <w:tbl>
      <w:tblPr>
        <w:tblStyle w:val="TableGrid"/>
        <w:tblW w:w="7371" w:type="dxa"/>
        <w:tblLook w:val="04A0"/>
      </w:tblPr>
      <w:tblGrid>
        <w:gridCol w:w="7371"/>
      </w:tblGrid>
      <w:tr w14:paraId="76006B24" w14:textId="77777777" w:rsidTr="00D57FE8">
        <w:tblPrEx>
          <w:tblW w:w="7371" w:type="dxa"/>
          <w:tblLook w:val="04A0"/>
        </w:tblPrEx>
        <w:tc>
          <w:tcPr>
            <w:tcW w:w="7371" w:type="dxa"/>
            <w:tcBorders>
              <w:top w:val="nil"/>
              <w:left w:val="nil"/>
              <w:bottom w:val="nil"/>
              <w:right w:val="nil"/>
            </w:tcBorders>
            <w:shd w:val="clear" w:color="auto" w:fill="B6C8D1"/>
          </w:tcPr>
          <w:p w:rsidR="00D57FE8" w:rsidRPr="0086214E" w14:paraId="2E9DF254" w14:textId="476AA3FE">
            <w:pPr>
              <w:pStyle w:val="Heading13"/>
              <w:rPr>
                <w:lang w:val="fi-FI"/>
              </w:rPr>
            </w:pPr>
            <w:r w:rsidRPr="0086214E">
              <w:rPr>
                <w:lang w:val="fi-FI"/>
              </w:rPr>
              <w:t>Laadintaperiaatteet</w:t>
            </w:r>
          </w:p>
          <w:p w:rsidR="00D57FE8" w:rsidRPr="00D57FE8" w:rsidP="00D57FE8" w14:paraId="7CB73D6B" w14:textId="77777777">
            <w:pPr>
              <w:pStyle w:val="Heading13"/>
              <w:rPr>
                <w:lang w:val="fi-FI"/>
              </w:rPr>
            </w:pPr>
            <w:r w:rsidRPr="00D57FE8">
              <w:rPr>
                <w:lang w:val="fi-FI"/>
              </w:rPr>
              <w:t>Ulkomaan rahan määräisten erien muuttaminen</w:t>
            </w:r>
          </w:p>
          <w:p w:rsidR="00D57FE8" w:rsidP="00D57FE8" w14:paraId="1CBC2DA8" w14:textId="3B0D4423">
            <w:pPr>
              <w:pStyle w:val="Bodytext2"/>
              <w:rPr>
                <w:lang w:val="fi-FI"/>
              </w:rPr>
            </w:pPr>
            <w:r w:rsidRPr="00D57FE8">
              <w:rPr>
                <w:lang w:val="fi-FI"/>
              </w:rPr>
              <w:t>Konserni</w:t>
            </w:r>
            <w:r w:rsidR="0086214E">
              <w:rPr>
                <w:lang w:val="fi-FI"/>
              </w:rPr>
              <w:t>yhtiöiden</w:t>
            </w:r>
            <w:r w:rsidRPr="00D57FE8">
              <w:rPr>
                <w:lang w:val="fi-FI"/>
              </w:rPr>
              <w:t xml:space="preserve"> tulosta ja taloudellista asemaa koskevat luvut määritetään kunkin yksikön pääasiallisen toimintaympäristön valuutassa (”toimintavaluutta”). Konsernitilinpäätös on esitetty euroina, joka on Wärtsilä Oyj Abp:n toiminta- ja esittämisvaluutta.</w:t>
            </w:r>
          </w:p>
          <w:p w:rsidR="00D57FE8" w:rsidRPr="00D57FE8" w:rsidP="00D57FE8" w14:paraId="5C438349" w14:textId="77777777">
            <w:pPr>
              <w:pStyle w:val="Bodytext2"/>
              <w:rPr>
                <w:lang w:val="fi-FI"/>
              </w:rPr>
            </w:pPr>
          </w:p>
          <w:p w:rsidR="00D57FE8" w:rsidRPr="00D57FE8" w:rsidP="00D57FE8" w14:paraId="7A303C34" w14:textId="77777777">
            <w:pPr>
              <w:pStyle w:val="Heading13"/>
              <w:rPr>
                <w:lang w:val="fi-FI"/>
              </w:rPr>
            </w:pPr>
            <w:r w:rsidRPr="00D57FE8">
              <w:rPr>
                <w:lang w:val="fi-FI"/>
              </w:rPr>
              <w:t>Ulkomaiset tyt</w:t>
            </w:r>
            <w:r w:rsidRPr="00D57FE8">
              <w:rPr>
                <w:lang w:val="fi-FI"/>
              </w:rPr>
              <w:t>äryhtiöt</w:t>
            </w:r>
          </w:p>
          <w:p w:rsidR="00D57FE8" w:rsidP="00D57FE8" w14:paraId="27827D3F" w14:textId="314F818E">
            <w:pPr>
              <w:pStyle w:val="Bodytext2"/>
              <w:rPr>
                <w:lang w:val="fi-FI"/>
              </w:rPr>
            </w:pPr>
            <w:r w:rsidRPr="00D57FE8">
              <w:rPr>
                <w:lang w:val="fi-FI"/>
              </w:rPr>
              <w:t>Ulkomaisten konserniy</w:t>
            </w:r>
            <w:r w:rsidR="0086214E">
              <w:rPr>
                <w:lang w:val="fi-FI"/>
              </w:rPr>
              <w:t>htiöiden</w:t>
            </w:r>
            <w:r w:rsidRPr="00D57FE8">
              <w:rPr>
                <w:lang w:val="fi-FI"/>
              </w:rPr>
              <w:t xml:space="preserve"> tuloslaskelmien ja laajojen tuloslaskelmien tuotto- ja kuluerät muunnetaan euroiksi kunkin vuosineljänneksen keskikurssia käyttäen ja taseet raportointikauden päättymispäivän kurssin mukaan. </w:t>
            </w:r>
            <w:r>
              <w:rPr>
                <w:lang w:val="fi-FI"/>
              </w:rPr>
              <w:t>Raportointikauden</w:t>
            </w:r>
            <w:r w:rsidRPr="00D57FE8">
              <w:rPr>
                <w:lang w:val="fi-FI"/>
              </w:rPr>
              <w:t xml:space="preserve"> tuloksen</w:t>
            </w:r>
            <w:r w:rsidRPr="00D57FE8">
              <w:rPr>
                <w:lang w:val="fi-FI"/>
              </w:rPr>
              <w:t xml:space="preserve"> ja muiden laajan tuloksen erien muuntaminen eri kursseilla laajassa tuloslaskelmassa ja taseessa aiheuttaa taseessa omaan pääomaan kirjattavan muuntoeron, jonka muutos kirjataan muihin laajan tuloksen eriin. Ulkomaisten y</w:t>
            </w:r>
            <w:r w:rsidR="0086214E">
              <w:rPr>
                <w:lang w:val="fi-FI"/>
              </w:rPr>
              <w:t>htiöiden</w:t>
            </w:r>
            <w:r w:rsidRPr="00D57FE8">
              <w:rPr>
                <w:lang w:val="fi-FI"/>
              </w:rPr>
              <w:t xml:space="preserve"> hankintamenon eliminoinni</w:t>
            </w:r>
            <w:r w:rsidRPr="00D57FE8">
              <w:rPr>
                <w:lang w:val="fi-FI"/>
              </w:rPr>
              <w:t>sta sekä hankinnan jälkeen kertyneiden oman pääoman erien muuntamisesta syntyvät muuntoerot kirjataan muihin laajan tuloksen eriin ja esitetään omana eränään omassa pääomassa. Ulkomaisten y</w:t>
            </w:r>
            <w:r>
              <w:rPr>
                <w:lang w:val="fi-FI"/>
              </w:rPr>
              <w:t>htiöiden</w:t>
            </w:r>
            <w:r w:rsidRPr="00D57FE8">
              <w:rPr>
                <w:lang w:val="fi-FI"/>
              </w:rPr>
              <w:t xml:space="preserve"> hankinnoista syntyvä liikearvo ja kyseisten ulkomaisten yk</w:t>
            </w:r>
            <w:r w:rsidRPr="00D57FE8">
              <w:rPr>
                <w:lang w:val="fi-FI"/>
              </w:rPr>
              <w:t>siköiden varojen ja velkojen kirjanpitoarvoihin hankinnan yhteydessä tehtävät käypien arvojen oikaisut käsitellään kyseisten ulkomaisten yksikköjen varoina ja velkoina. Ne muunnetaan euroiksi raportointikauden päättymispäivän kursseja käyttäen. Kun ulkomai</w:t>
            </w:r>
            <w:r w:rsidRPr="00D57FE8">
              <w:rPr>
                <w:lang w:val="fi-FI"/>
              </w:rPr>
              <w:t>nen tytäryhtiö myydään, tytäryhtiöön liittyvät omaan pääomaan kirjatut kertyneet kurssimuutoserot kirjataan myyntihetkellä tuloslaskelmaan osana voittoa tai tappiota.</w:t>
            </w:r>
          </w:p>
          <w:p w:rsidR="00D57FE8" w:rsidRPr="00D57FE8" w:rsidP="00D57FE8" w14:paraId="011D7078" w14:textId="77777777">
            <w:pPr>
              <w:pStyle w:val="Bodytext2"/>
              <w:rPr>
                <w:lang w:val="fi-FI"/>
              </w:rPr>
            </w:pPr>
          </w:p>
          <w:p w:rsidR="00D57FE8" w:rsidRPr="00D57FE8" w:rsidP="00D57FE8" w14:paraId="540B9228" w14:textId="77777777">
            <w:pPr>
              <w:pStyle w:val="Heading13"/>
              <w:rPr>
                <w:lang w:val="fi-FI"/>
              </w:rPr>
            </w:pPr>
            <w:r w:rsidRPr="00D57FE8">
              <w:rPr>
                <w:lang w:val="fi-FI"/>
              </w:rPr>
              <w:t>Ulkomaan valuutan määräiset erät</w:t>
            </w:r>
          </w:p>
          <w:p w:rsidR="00D57FE8" w:rsidRPr="00D57FE8" w14:paraId="5BC02962" w14:textId="16B01C34">
            <w:pPr>
              <w:pStyle w:val="Bodytext2"/>
              <w:rPr>
                <w:lang w:val="fi-FI"/>
              </w:rPr>
            </w:pPr>
            <w:r w:rsidRPr="00D57FE8">
              <w:rPr>
                <w:lang w:val="fi-FI"/>
              </w:rPr>
              <w:t>Ulkomaan valuutan määräiset liiketapahtumat on kirjattu</w:t>
            </w:r>
            <w:r w:rsidRPr="00D57FE8">
              <w:rPr>
                <w:lang w:val="fi-FI"/>
              </w:rPr>
              <w:t xml:space="preserve"> toimintavaluutan määräisinä käyttäen tapahtumapäivän valuuttakurssia. Saamiset ja velat muunnetaan käyttäen raportointikauden päättymispäivän kursseja</w:t>
            </w:r>
            <w:r>
              <w:rPr>
                <w:lang w:val="fi-FI"/>
              </w:rPr>
              <w:t>. Myynti</w:t>
            </w:r>
            <w:r w:rsidRPr="00D57FE8">
              <w:rPr>
                <w:lang w:val="fi-FI"/>
              </w:rPr>
              <w:t xml:space="preserve">saamisista ja </w:t>
            </w:r>
            <w:r>
              <w:rPr>
                <w:lang w:val="fi-FI"/>
              </w:rPr>
              <w:t>osto</w:t>
            </w:r>
            <w:r w:rsidRPr="00D57FE8">
              <w:rPr>
                <w:lang w:val="fi-FI"/>
              </w:rPr>
              <w:t>veloista syntyvät kurssierot kirjataan niitä vastaavien tuloslaskelman erien oi</w:t>
            </w:r>
            <w:r w:rsidRPr="00D57FE8">
              <w:rPr>
                <w:lang w:val="fi-FI"/>
              </w:rPr>
              <w:t>kaisuiksi, ja ne sisältyvät liiketulokseen. Rahoitusvaroihin ja -velkoihin liittyvät kurssierot esitetään tuloslaskelman rahoituserissä pois lukien sellaisista pitkäaikaisista lainoista syntyvät kurssierot, jotka ovat osa konsernin tytäryhtiöön tekemää net</w:t>
            </w:r>
            <w:r w:rsidRPr="00D57FE8">
              <w:rPr>
                <w:lang w:val="fi-FI"/>
              </w:rPr>
              <w:t>tosijoitusta. Ne kirjataan muihin laajan tuloksen eriin ja esitetään oman pääoman muuntoeroissa.</w:t>
            </w:r>
          </w:p>
        </w:tc>
      </w:tr>
    </w:tbl>
    <w:p w:rsidR="00D57FE8" w:rsidRPr="0086214E" w:rsidP="00D57FE8" w14:paraId="091B3C6B" w14:textId="77777777">
      <w:pPr>
        <w:pStyle w:val="Bodytext2"/>
        <w:rPr>
          <w:color w:val="0F172B"/>
          <w:lang w:val="fi-FI"/>
        </w:rPr>
      </w:pPr>
    </w:p>
    <w:p w:rsidR="00D57FE8" w:rsidP="00D57FE8" w14:paraId="3C82A2A1" w14:textId="144C5E70">
      <w:pPr>
        <w:pStyle w:val="Bodytext2"/>
        <w:rPr>
          <w:color w:val="0F172B"/>
          <w:lang w:val="fi-FI"/>
        </w:rPr>
      </w:pPr>
      <w:r w:rsidRPr="00D57FE8">
        <w:rPr>
          <w:color w:val="0F172B"/>
          <w:lang w:val="fi-FI"/>
        </w:rPr>
        <w:t>Konsernitilinpäätökseen konsolidoidaan noin 60 valuuttaa, joista keskeisimmät esitetään tässä.</w:t>
      </w:r>
    </w:p>
    <w:p w:rsidR="00D57FE8" w:rsidRPr="00D57FE8" w:rsidP="00D57FE8" w14:paraId="50CF9A98" w14:textId="77777777">
      <w:pPr>
        <w:pStyle w:val="Bodytext2"/>
        <w:rPr>
          <w:color w:val="0F172B"/>
          <w:lang w:val="fi-FI"/>
        </w:rPr>
      </w:pPr>
    </w:p>
    <w:tbl>
      <w:tblPr>
        <w:tblStyle w:val="TableNormal"/>
        <w:tblCaption w:val="table_66"/>
        <w:tblW w:w="7320" w:type="dxa"/>
        <w:tblLayout w:type="fixed"/>
        <w:tblLook w:val="0600"/>
      </w:tblPr>
      <w:tblGrid>
        <w:gridCol w:w="690"/>
        <w:gridCol w:w="2100"/>
        <w:gridCol w:w="1185"/>
        <w:gridCol w:w="1080"/>
        <w:gridCol w:w="1185"/>
        <w:gridCol w:w="1080"/>
      </w:tblGrid>
      <w:tr>
        <w:tblPrEx>
          <w:tblW w:w="7320" w:type="dxa"/>
          <w:tblLayout w:type="fixed"/>
          <w:tblLook w:val="0600"/>
        </w:tblPrEx>
        <w:trPr>
          <w:trHeight w:val="240"/>
        </w:trPr>
        <w:tc>
          <w:tcPr>
            <w:tcW w:w="690" w:type="dxa"/>
            <w:tcBorders>
              <w:top w:val="nil"/>
              <w:left w:val="nil"/>
              <w:bottom w:val="nil"/>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100" w:type="dxa"/>
            <w:tcBorders>
              <w:top w:val="nil"/>
              <w:left w:val="nil"/>
              <w:bottom w:val="nil"/>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265" w:type="dxa"/>
            <w:gridSpan w:val="2"/>
            <w:tcBorders>
              <w:top w:val="nil"/>
              <w:left w:val="nil"/>
              <w:bottom w:val="nil"/>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Tilinpäätöskurssi</w:t>
            </w:r>
          </w:p>
        </w:tc>
        <w:tc>
          <w:tcPr>
            <w:tcW w:w="2265" w:type="dxa"/>
            <w:gridSpan w:val="2"/>
            <w:tcBorders>
              <w:top w:val="nil"/>
              <w:left w:val="nil"/>
              <w:bottom w:val="nil"/>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Keskikurssi</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690"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100" w:type="dxa"/>
            <w:tcBorders>
              <w:top w:val="nil"/>
              <w:left w:val="nil"/>
              <w:bottom w:val="single" w:sz="8" w:space="0" w:color="0F172B"/>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185"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31.12.2021</w:t>
            </w:r>
          </w:p>
        </w:tc>
        <w:tc>
          <w:tcPr>
            <w:tcW w:w="108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31.12.2020</w:t>
            </w:r>
          </w:p>
        </w:tc>
        <w:tc>
          <w:tcPr>
            <w:tcW w:w="118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08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690"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AED</w:t>
            </w:r>
          </w:p>
        </w:tc>
        <w:tc>
          <w:tcPr>
            <w:tcW w:w="2100"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Yhdistyneiden Arabiemiirikuntien dirhami</w:t>
            </w:r>
          </w:p>
        </w:tc>
        <w:tc>
          <w:tcPr>
            <w:tcW w:w="118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4,15959</w:t>
            </w:r>
          </w:p>
        </w:tc>
        <w:tc>
          <w:tcPr>
            <w:tcW w:w="108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4,50689</w:t>
            </w:r>
          </w:p>
        </w:tc>
        <w:tc>
          <w:tcPr>
            <w:tcW w:w="118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4,34679</w:t>
            </w:r>
          </w:p>
        </w:tc>
        <w:tc>
          <w:tcPr>
            <w:tcW w:w="108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4,19169</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69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AUD</w:t>
            </w:r>
          </w:p>
        </w:tc>
        <w:tc>
          <w:tcPr>
            <w:tcW w:w="210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Australian dollari</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1,56150</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1,58960</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1,57473</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1,65540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6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BRL</w:t>
            </w:r>
          </w:p>
        </w:tc>
        <w:tc>
          <w:tcPr>
            <w:tcW w:w="21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Brasilian real</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6,31010</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6,37350</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6,38134</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5,89001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6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CHF</w:t>
            </w:r>
          </w:p>
        </w:tc>
        <w:tc>
          <w:tcPr>
            <w:tcW w:w="21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Sveitsin frangi</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1,03310</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1,08020</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1,08142</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1,07031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6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CNY</w:t>
            </w:r>
          </w:p>
        </w:tc>
        <w:tc>
          <w:tcPr>
            <w:tcW w:w="21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Kiinan juan renminbi</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7,19470</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8,02250</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7,63402</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7,87084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6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DKK</w:t>
            </w:r>
          </w:p>
        </w:tc>
        <w:tc>
          <w:tcPr>
            <w:tcW w:w="21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Tanskan kruunu</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7,43640</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7,44090</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7,43705</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7,45440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6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GBP</w:t>
            </w:r>
          </w:p>
        </w:tc>
        <w:tc>
          <w:tcPr>
            <w:tcW w:w="21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Englannin punta</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0,84028</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0,89903</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0,86000</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0,88921</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6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IDR</w:t>
            </w:r>
          </w:p>
        </w:tc>
        <w:tc>
          <w:tcPr>
            <w:tcW w:w="21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Indonesian rupia</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16 100,42000</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17 240,76000</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16 928,51000</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16 619,78000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6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INR</w:t>
            </w:r>
          </w:p>
        </w:tc>
        <w:tc>
          <w:tcPr>
            <w:tcW w:w="21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Intian rupia</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84,22920</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89,66050</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87,48609</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84,57954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6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JPY</w:t>
            </w:r>
          </w:p>
        </w:tc>
        <w:tc>
          <w:tcPr>
            <w:tcW w:w="21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Japanin jeni</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130,38000</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126,49000</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129,85747</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121,77545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6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NOK</w:t>
            </w:r>
          </w:p>
        </w:tc>
        <w:tc>
          <w:tcPr>
            <w:tcW w:w="21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Norjan kruunu</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9,98880</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10,47030</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10,16339</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10,72476</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6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RUB</w:t>
            </w:r>
          </w:p>
        </w:tc>
        <w:tc>
          <w:tcPr>
            <w:tcW w:w="21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Venäjän rupla</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85,30040</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91,46710</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87,23206</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82,64545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6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SAR</w:t>
            </w:r>
          </w:p>
        </w:tc>
        <w:tc>
          <w:tcPr>
            <w:tcW w:w="21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Saudi-Arabian rial</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4,25155</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4,60347</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4,43897</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4,28208</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6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SEK</w:t>
            </w:r>
          </w:p>
        </w:tc>
        <w:tc>
          <w:tcPr>
            <w:tcW w:w="21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Ruotsin kruunu</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10,25030</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10,03430</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10,14485</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10,48813</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6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SGD</w:t>
            </w:r>
          </w:p>
        </w:tc>
        <w:tc>
          <w:tcPr>
            <w:tcW w:w="21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Singaporen dollari</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1,52790</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1,62180</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1,58965</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1,57357</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6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USD</w:t>
            </w:r>
          </w:p>
        </w:tc>
        <w:tc>
          <w:tcPr>
            <w:tcW w:w="210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Yhdysvaltain dollari</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1,13260</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1,22710</w:t>
            </w:r>
          </w:p>
        </w:tc>
        <w:tc>
          <w:tcPr>
            <w:tcW w:w="118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1,18353</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1,14128</w:t>
            </w:r>
          </w:p>
        </w:tc>
      </w:tr>
    </w:tbl>
    <w:p w:rsidR="00D57FE8" w:rsidRPr="00D57FE8" w:rsidP="00D57FE8" w14:paraId="7AA5BFA5" w14:textId="77777777">
      <w:pPr>
        <w:pStyle w:val="Bodytext2"/>
        <w:rPr>
          <w:color w:val="auto"/>
          <w:sz w:val="2"/>
          <w:szCs w:val="2"/>
          <w:lang w:val="fi-FI"/>
        </w:rPr>
      </w:pPr>
      <w:r w:rsidRPr="00D57FE8">
        <w:rPr>
          <w:color w:val="0F172B"/>
          <w:sz w:val="2"/>
          <w:szCs w:val="2"/>
          <w:lang w:val="fi-FI"/>
        </w:rPr>
        <w:br w:type="column"/>
      </w:r>
    </w:p>
    <w:p w:rsidR="004A0DF2" w:rsidRPr="00D57FE8" w:rsidP="00D57FE8" w14:textId="0C398F5D">
      <w:pPr>
        <w:rPr>
          <w:sz w:val="2"/>
          <w:szCs w:val="2"/>
          <w:lang w:val="fi-FI"/>
        </w:rPr>
      </w:pPr>
      <w:r>
        <w:t xml:space="preserve"> </w:t>
      </w:r>
    </w:p>
    <w:p w:rsidR="002D54FF" w:rsidP="002D54FF" w14:paraId="6065F556" w14:textId="310CFD89">
      <w:pPr>
        <w:pStyle w:val="Heading11"/>
        <w:rPr>
          <w:lang w:val="en-GB"/>
        </w:rPr>
      </w:pPr>
      <w:bookmarkStart w:id="1495" w:name="RG_MARKER_7253"/>
      <w:bookmarkStart w:id="1496" w:name="RG_MARKER_7435"/>
      <w:r>
        <w:rPr>
          <w:noProof/>
          <w:lang w:val="en-GB"/>
        </w:rPr>
        <w:drawing>
          <wp:anchor distT="0" distB="0" distL="114300" distR="114300" simplePos="0" relativeHeight="251707392" behindDoc="1" locked="0" layoutInCell="1" allowOverlap="1">
            <wp:simplePos x="0" y="0"/>
            <wp:positionH relativeFrom="page">
              <wp:posOffset>0</wp:posOffset>
            </wp:positionH>
            <wp:positionV relativeFrom="page">
              <wp:posOffset>1155700</wp:posOffset>
            </wp:positionV>
            <wp:extent cx="5115600" cy="5580000"/>
            <wp:effectExtent l="0" t="0" r="8890" b="1905"/>
            <wp:wrapNone/>
            <wp:docPr id="17227689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393243" name="Picture 4"/>
                    <pic:cNvPicPr>
                      <a:picLocks noChangeAspect="1" noChangeArrowheads="1"/>
                    </pic:cNvPicPr>
                  </pic:nvPicPr>
                  <pic:blipFill>
                    <a:blip xmlns:r="http://schemas.openxmlformats.org/officeDocument/2006/relationships" r:embed="rId76">
                      <a:extLst>
                        <a:ext xmlns:a="http://schemas.openxmlformats.org/drawingml/2006/main" uri="{28A0092B-C50C-407E-A947-70E740481C1C}">
                          <a14:useLocalDpi xmlns:a14="http://schemas.microsoft.com/office/drawing/2010/main" val="0"/>
                        </a:ext>
                      </a:extLst>
                    </a:blip>
                    <a:stretch>
                      <a:fillRect/>
                    </a:stretch>
                  </pic:blipFill>
                  <pic:spPr bwMode="auto">
                    <a:xfrm>
                      <a:off x="0" y="0"/>
                      <a:ext cx="5115600" cy="5580000"/>
                    </a:xfrm>
                    <a:prstGeom prst="rect">
                      <a:avLst/>
                    </a:prstGeom>
                    <a:noFill/>
                  </pic:spPr>
                </pic:pic>
              </a:graphicData>
            </a:graphic>
            <wp14:sizeRelH relativeFrom="margin">
              <wp14:pctWidth>0</wp14:pctWidth>
            </wp14:sizeRelH>
            <wp14:sizeRelV relativeFrom="margin">
              <wp14:pctHeight>0</wp14:pctHeight>
            </wp14:sizeRelV>
          </wp:anchor>
        </w:drawing>
      </w:r>
      <w:bookmarkEnd w:id="1496"/>
      <w:bookmarkEnd w:id="1495"/>
    </w:p>
    <w:p w:rsidR="002D54FF" w:rsidP="002D54FF" w14:paraId="0B53E488" w14:textId="77777777">
      <w:pPr>
        <w:pStyle w:val="Heading11"/>
        <w:rPr>
          <w:lang w:val="en-GB"/>
        </w:rPr>
      </w:pPr>
    </w:p>
    <w:p w:rsidR="002D54FF" w:rsidP="002D54FF" w14:paraId="4E62E306" w14:textId="77777777">
      <w:pPr>
        <w:pStyle w:val="Heading11"/>
        <w:rPr>
          <w:lang w:val="en-GB"/>
        </w:rPr>
      </w:pPr>
    </w:p>
    <w:p w:rsidR="002D54FF" w:rsidP="002D54FF" w14:paraId="65B3165F" w14:textId="77777777">
      <w:pPr>
        <w:pStyle w:val="Heading11"/>
        <w:rPr>
          <w:lang w:val="en-GB"/>
        </w:rPr>
      </w:pPr>
    </w:p>
    <w:p w:rsidR="002D54FF" w:rsidP="002D54FF" w14:paraId="779EC95E" w14:textId="77777777">
      <w:pPr>
        <w:pStyle w:val="Heading11"/>
        <w:rPr>
          <w:lang w:val="en-GB"/>
        </w:rPr>
      </w:pPr>
    </w:p>
    <w:p w:rsidR="002D54FF" w:rsidP="002D54FF" w14:paraId="15E741CA" w14:textId="77777777">
      <w:pPr>
        <w:pStyle w:val="Heading11"/>
        <w:rPr>
          <w:lang w:val="en-GB"/>
        </w:rPr>
      </w:pPr>
    </w:p>
    <w:p w:rsidR="002D54FF" w:rsidP="002D54FF" w14:paraId="46909173" w14:textId="77777777">
      <w:pPr>
        <w:pStyle w:val="Heading11"/>
        <w:rPr>
          <w:lang w:val="en-GB"/>
        </w:rPr>
      </w:pPr>
    </w:p>
    <w:p w:rsidR="002D54FF" w:rsidP="002D54FF" w14:paraId="3BEA6E27" w14:textId="7C3FA795">
      <w:pPr>
        <w:pStyle w:val="Heading11"/>
        <w:rPr>
          <w:lang w:val="en-GB"/>
        </w:rPr>
      </w:pPr>
    </w:p>
    <w:p w:rsidR="002D54FF" w:rsidP="002D54FF" w14:paraId="64A767A2" w14:textId="77777777">
      <w:pPr>
        <w:pStyle w:val="Heading11"/>
        <w:rPr>
          <w:lang w:val="en-GB"/>
        </w:rPr>
      </w:pPr>
    </w:p>
    <w:p w:rsidR="002D54FF" w:rsidP="002D54FF" w14:paraId="754B8F86" w14:textId="77777777">
      <w:pPr>
        <w:pStyle w:val="Heading11"/>
        <w:rPr>
          <w:lang w:val="en-GB"/>
        </w:rPr>
      </w:pPr>
    </w:p>
    <w:p w:rsidR="002D54FF" w:rsidP="002D54FF" w14:paraId="725BCC0C" w14:textId="77777777">
      <w:pPr>
        <w:pStyle w:val="Heading11"/>
        <w:rPr>
          <w:lang w:val="en-GB"/>
        </w:rPr>
      </w:pPr>
    </w:p>
    <w:p w:rsidR="002D54FF" w:rsidP="002D54FF" w14:paraId="6579AE0F" w14:textId="77777777">
      <w:pPr>
        <w:pStyle w:val="Heading11"/>
        <w:rPr>
          <w:lang w:val="en-GB"/>
        </w:rPr>
      </w:pPr>
    </w:p>
    <w:p w:rsidR="002D54FF" w:rsidP="002D54FF" w14:paraId="0243B04F" w14:textId="77777777">
      <w:pPr>
        <w:pStyle w:val="Heading11"/>
        <w:rPr>
          <w:lang w:val="en-GB"/>
        </w:rPr>
      </w:pPr>
    </w:p>
    <w:p w:rsidR="002D54FF" w:rsidP="002D54FF" w14:paraId="2580D9B1" w14:textId="77777777">
      <w:pPr>
        <w:pStyle w:val="Heading11"/>
        <w:rPr>
          <w:lang w:val="en-GB"/>
        </w:rPr>
      </w:pPr>
    </w:p>
    <w:p w:rsidR="002D54FF" w:rsidP="002D54FF" w14:paraId="45A9E9AB" w14:textId="77777777">
      <w:pPr>
        <w:pStyle w:val="Heading11"/>
        <w:rPr>
          <w:lang w:val="en-GB"/>
        </w:rPr>
      </w:pPr>
    </w:p>
    <w:p w:rsidR="002D54FF" w:rsidP="002D54FF" w14:paraId="2B297709" w14:textId="77777777">
      <w:pPr>
        <w:pStyle w:val="Heading11"/>
        <w:rPr>
          <w:lang w:val="en-GB"/>
        </w:rPr>
      </w:pPr>
    </w:p>
    <w:p w:rsidR="002D54FF" w:rsidP="002D54FF" w14:paraId="5496B572" w14:textId="77777777">
      <w:pPr>
        <w:pStyle w:val="Heading11"/>
        <w:rPr>
          <w:lang w:val="en-GB"/>
        </w:rPr>
      </w:pPr>
    </w:p>
    <w:p w:rsidR="002D54FF" w:rsidP="002D54FF" w14:paraId="53D0B037" w14:textId="70C870A7">
      <w:pPr>
        <w:pStyle w:val="Heading11"/>
      </w:pPr>
      <w:r w:rsidRPr="002D54FF">
        <w:rPr>
          <w:lang w:val="en-GB"/>
        </w:rPr>
        <w:t>7. MUUT LIITETIEDOT</w:t>
      </w:r>
    </w:p>
    <w:p w:rsidR="002D54FF" w:rsidP="002D54FF" w14:paraId="0805092C" w14:textId="491F30C5">
      <w:pPr>
        <w:pStyle w:val="Heading12"/>
        <w:rPr>
          <w:b w:val="0"/>
        </w:rPr>
      </w:pPr>
      <w:r>
        <w:rPr>
          <w:noProof/>
        </w:rPr>
        <mc:AlternateContent>
          <mc:Choice Requires="wps">
            <w:drawing>
              <wp:anchor distT="0" distB="0" distL="114300" distR="114300" simplePos="0" relativeHeight="251679744" behindDoc="0" locked="0" layoutInCell="1" allowOverlap="1">
                <wp:simplePos x="0" y="0"/>
                <wp:positionH relativeFrom="column">
                  <wp:posOffset>0</wp:posOffset>
                </wp:positionH>
                <wp:positionV relativeFrom="paragraph">
                  <wp:posOffset>53975</wp:posOffset>
                </wp:positionV>
                <wp:extent cx="4679950" cy="0"/>
                <wp:effectExtent l="19050" t="19050" r="25400" b="19050"/>
                <wp:wrapNone/>
                <wp:docPr id="1935877940" name="Straight Connector 3"/>
                <wp:cNvGraphicFramePr/>
                <a:graphic xmlns:a="http://schemas.openxmlformats.org/drawingml/2006/main">
                  <a:graphicData uri="http://schemas.microsoft.com/office/word/2010/wordprocessingShape">
                    <wps:wsp xmlns:wps="http://schemas.microsoft.com/office/word/2010/wordprocessingShape">
                      <wps:cNvCnPr/>
                      <wps:spPr>
                        <a:xfrm>
                          <a:off x="0" y="0"/>
                          <a:ext cx="4679950" cy="0"/>
                        </a:xfrm>
                        <a:prstGeom prst="line">
                          <a:avLst/>
                        </a:prstGeom>
                        <a:ln w="28575" cap="rnd">
                          <a:solidFill>
                            <a:srgbClr val="99B7C4"/>
                          </a:solidFill>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id="Straight Connector 3" o:spid="_x0000_s1043" style="mso-height-percent:0;mso-height-relative:page;mso-width-percent:0;mso-width-relative:margin;mso-wrap-distance-bottom:0;mso-wrap-distance-left:9pt;mso-wrap-distance-right:9pt;mso-wrap-distance-top:0;position:absolute;v-text-anchor:top;z-index:251678720" from="0,4.25pt" to="368.5pt,4.25pt" fillcolor="this" stroked="t" strokecolor="#99b7c4" strokeweight="2.25pt">
                <v:stroke endcap="round"/>
              </v:line>
            </w:pict>
          </mc:Fallback>
        </mc:AlternateContent>
      </w:r>
    </w:p>
    <w:p w:rsidR="002D54FF" w:rsidP="002D54FF" w14:paraId="443D92A2" w14:textId="4A45BE37">
      <w:pPr>
        <w:pStyle w:val="Heading12"/>
        <w:rPr>
          <w:b w:val="0"/>
          <w:bCs/>
          <w:color w:val="99B7C4"/>
        </w:rPr>
      </w:pPr>
      <w:r>
        <w:rPr>
          <w:b w:val="0"/>
          <w:bCs/>
          <w:color w:val="99B7C4"/>
        </w:rPr>
        <w:t>Osion</w:t>
      </w:r>
      <w:r>
        <w:rPr>
          <w:b w:val="0"/>
          <w:bCs/>
          <w:color w:val="99B7C4"/>
        </w:rPr>
        <w:t xml:space="preserve"> </w:t>
      </w:r>
      <w:r>
        <w:rPr>
          <w:b w:val="0"/>
          <w:bCs/>
          <w:color w:val="99B7C4"/>
        </w:rPr>
        <w:t>sisältö</w:t>
      </w:r>
      <w:r>
        <w:rPr>
          <w:b w:val="0"/>
          <w:bCs/>
          <w:color w:val="99B7C4"/>
        </w:rPr>
        <w:t>:</w:t>
      </w:r>
    </w:p>
    <w:p w:rsidR="002D54FF" w:rsidP="002D54FF" w14:paraId="092F2CCB" w14:textId="77777777">
      <w:pPr>
        <w:pStyle w:val="Heading12"/>
        <w:ind w:left="284"/>
        <w:rPr>
          <w:color w:val="99B7C4"/>
          <w:sz w:val="12"/>
          <w:szCs w:val="12"/>
        </w:rPr>
      </w:pPr>
    </w:p>
    <w:p w:rsidR="002D54FF" w:rsidRPr="002D54FF" w:rsidP="002D54FF" w14:paraId="71D61659" w14:textId="299BB831">
      <w:pPr>
        <w:pStyle w:val="Heading12"/>
        <w:ind w:left="284"/>
        <w:rPr>
          <w:color w:val="99B7C4"/>
          <w:lang w:val="fi-FI"/>
        </w:rPr>
      </w:pPr>
      <w:r w:rsidRPr="002D54FF">
        <w:rPr>
          <w:color w:val="99B7C4"/>
          <w:lang w:val="fi-FI"/>
        </w:rPr>
        <w:t>7.1. ANNETUT VAKUUDET, VASTUUSITOUMUKSET JA MUUT VASTUUT</w:t>
      </w:r>
    </w:p>
    <w:p w:rsidR="002D54FF" w:rsidP="002D54FF" w14:paraId="3D2453C9" w14:textId="5B16B3E8">
      <w:pPr>
        <w:pStyle w:val="Heading12"/>
        <w:ind w:left="284"/>
        <w:rPr>
          <w:color w:val="99B7C4"/>
        </w:rPr>
      </w:pPr>
      <w:r>
        <w:rPr>
          <w:color w:val="99B7C4"/>
        </w:rPr>
        <w:t xml:space="preserve">7.2. </w:t>
      </w:r>
      <w:r>
        <w:rPr>
          <w:color w:val="99B7C4"/>
        </w:rPr>
        <w:t>LÄHIPIIRITAPAHTUMAT</w:t>
      </w:r>
    </w:p>
    <w:p w:rsidR="002D54FF" w:rsidRPr="002D54FF" w:rsidP="002D54FF" w14:paraId="35AF1ECF" w14:textId="16DB20CB">
      <w:pPr>
        <w:pStyle w:val="Heading12"/>
        <w:ind w:left="284"/>
        <w:rPr>
          <w:color w:val="99B7C4"/>
          <w:lang w:val="fi-FI"/>
        </w:rPr>
      </w:pPr>
      <w:r w:rsidRPr="002D54FF">
        <w:rPr>
          <w:color w:val="99B7C4"/>
          <w:lang w:val="fi-FI"/>
        </w:rPr>
        <w:t xml:space="preserve">7.3. </w:t>
      </w:r>
      <w:r w:rsidRPr="002D54FF">
        <w:rPr>
          <w:color w:val="99B7C4"/>
          <w:lang w:val="fi-FI"/>
        </w:rPr>
        <w:t>TILINTARKASTAJIEN PALKKIOT JA PALVELUT</w:t>
      </w:r>
    </w:p>
    <w:p w:rsidR="002D54FF" w:rsidRPr="002D54FF" w:rsidP="002D54FF" w14:paraId="1A3DCE68" w14:textId="7801641D">
      <w:pPr>
        <w:pStyle w:val="Heading12"/>
        <w:ind w:left="284"/>
        <w:rPr>
          <w:color w:val="99B7C4"/>
          <w:lang w:val="fi-FI"/>
        </w:rPr>
      </w:pPr>
      <w:r w:rsidRPr="002D54FF">
        <w:rPr>
          <w:color w:val="99B7C4"/>
          <w:lang w:val="fi-FI"/>
        </w:rPr>
        <w:t xml:space="preserve">7.4. </w:t>
      </w:r>
      <w:r w:rsidRPr="002D54FF">
        <w:rPr>
          <w:color w:val="99B7C4"/>
          <w:lang w:val="fi-FI"/>
        </w:rPr>
        <w:t>TI</w:t>
      </w:r>
      <w:r>
        <w:rPr>
          <w:color w:val="99B7C4"/>
          <w:lang w:val="fi-FI"/>
        </w:rPr>
        <w:t>LINPÄÄTÖSPÄIVÄN JÄLKEISET TAPAHTUMAT</w:t>
      </w:r>
    </w:p>
    <w:p w:rsidR="002D54FF" w:rsidRPr="002D54FF" w:rsidP="002D54FF" w14:paraId="50243223" w14:textId="58DB6074">
      <w:pPr>
        <w:pStyle w:val="Bodytext2"/>
        <w:rPr>
          <w:lang w:val="fi-FI"/>
        </w:rPr>
      </w:pPr>
      <w:r>
        <w:rPr>
          <w:noProof/>
        </w:rPr>
        <mc:AlternateContent>
          <mc:Choice Requires="wps">
            <w:drawing>
              <wp:anchor distT="0" distB="0" distL="114300" distR="114300" simplePos="0" relativeHeight="251698176" behindDoc="0" locked="0" layoutInCell="1" allowOverlap="1">
                <wp:simplePos x="0" y="0"/>
                <wp:positionH relativeFrom="column">
                  <wp:posOffset>0</wp:posOffset>
                </wp:positionH>
                <wp:positionV relativeFrom="paragraph">
                  <wp:posOffset>71755</wp:posOffset>
                </wp:positionV>
                <wp:extent cx="4679950" cy="0"/>
                <wp:effectExtent l="19050" t="19050" r="25400" b="19050"/>
                <wp:wrapNone/>
                <wp:docPr id="120301458" name="Straight Connector 2"/>
                <wp:cNvGraphicFramePr/>
                <a:graphic xmlns:a="http://schemas.openxmlformats.org/drawingml/2006/main">
                  <a:graphicData uri="http://schemas.microsoft.com/office/word/2010/wordprocessingShape">
                    <wps:wsp xmlns:wps="http://schemas.microsoft.com/office/word/2010/wordprocessingShape">
                      <wps:cNvCnPr/>
                      <wps:spPr>
                        <a:xfrm>
                          <a:off x="0" y="0"/>
                          <a:ext cx="4679950" cy="0"/>
                        </a:xfrm>
                        <a:prstGeom prst="line">
                          <a:avLst/>
                        </a:prstGeom>
                        <a:ln w="28575" cap="rnd">
                          <a:solidFill>
                            <a:srgbClr val="99B7C4"/>
                          </a:solidFill>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id="Straight Connector 2" o:spid="_x0000_s1044" style="mso-height-percent:0;mso-height-relative:page;mso-width-percent:0;mso-width-relative:margin;mso-wrap-distance-bottom:0;mso-wrap-distance-left:9pt;mso-wrap-distance-right:9pt;mso-wrap-distance-top:0;position:absolute;v-text-anchor:top;z-index:251697152" from="0,5.65pt" to="368.5pt,5.65pt" fillcolor="this" stroked="t" strokecolor="#99b7c4" strokeweight="2.25pt">
                <v:stroke endcap="round"/>
              </v:line>
            </w:pict>
          </mc:Fallback>
        </mc:AlternateContent>
      </w:r>
    </w:p>
    <w:p w:rsidR="002D54FF" w:rsidRPr="002D54FF" w:rsidP="002D54FF" w14:paraId="17A45810" w14:textId="77777777">
      <w:pPr>
        <w:pStyle w:val="Bodytext2"/>
        <w:rPr>
          <w:lang w:val="fi-FI"/>
        </w:rPr>
      </w:pPr>
    </w:p>
    <w:p w:rsidR="002D54FF" w:rsidRPr="002D54FF" w:rsidP="002D54FF" w14:paraId="16D30E25" w14:textId="77777777">
      <w:pPr>
        <w:pStyle w:val="Bodytext2"/>
        <w:rPr>
          <w:lang w:val="fi-FI"/>
        </w:rPr>
      </w:pPr>
    </w:p>
    <w:p w:rsidR="002D1EB5" w:rsidRPr="002818EE" w:rsidP="002D1EB5" w14:paraId="7A4447C1" w14:textId="5DC33CC1">
      <w:pPr>
        <w:pStyle w:val="Heading12"/>
        <w:rPr>
          <w:lang w:val="fi-FI"/>
        </w:rPr>
      </w:pPr>
      <w:r w:rsidRPr="002818EE">
        <w:rPr>
          <w:lang w:val="fi-FI"/>
        </w:rPr>
        <w:t xml:space="preserve">7.1. </w:t>
      </w:r>
      <w:r w:rsidRPr="002818EE" w:rsidR="002818EE">
        <w:rPr>
          <w:lang w:val="fi-FI"/>
        </w:rPr>
        <w:t>ANNETUT VAKUUDET, VASTUUSITOUMUKSET JA MUUT VA</w:t>
      </w:r>
      <w:r w:rsidR="002818EE">
        <w:rPr>
          <w:lang w:val="fi-FI"/>
        </w:rPr>
        <w:t>STUUT</w:t>
      </w:r>
    </w:p>
    <w:tbl>
      <w:tblPr>
        <w:tblStyle w:val="TableGrid"/>
        <w:tblW w:w="7371" w:type="dxa"/>
        <w:tblLook w:val="04A0"/>
      </w:tblPr>
      <w:tblGrid>
        <w:gridCol w:w="7371"/>
      </w:tblGrid>
      <w:tr w14:paraId="01447C1A" w14:textId="77777777" w:rsidTr="002D1EB5">
        <w:tblPrEx>
          <w:tblW w:w="7371" w:type="dxa"/>
          <w:tblLook w:val="04A0"/>
        </w:tblPrEx>
        <w:tc>
          <w:tcPr>
            <w:tcW w:w="7371" w:type="dxa"/>
            <w:tcBorders>
              <w:top w:val="nil"/>
              <w:left w:val="nil"/>
              <w:bottom w:val="nil"/>
              <w:right w:val="nil"/>
            </w:tcBorders>
            <w:shd w:val="clear" w:color="auto" w:fill="B6C8D1"/>
            <w:hideMark/>
          </w:tcPr>
          <w:p w:rsidR="002D1EB5" w:rsidRPr="002818EE" w14:paraId="2881BFB6" w14:textId="0598247F">
            <w:pPr>
              <w:pStyle w:val="Heading13"/>
              <w:rPr>
                <w:rFonts w:eastAsiaTheme="minorEastAsia" w:cstheme="minorHAnsi"/>
                <w:lang w:val="fi-FI" w:eastAsia="fi-FI"/>
              </w:rPr>
            </w:pPr>
            <w:r w:rsidRPr="002818EE">
              <w:rPr>
                <w:rFonts w:eastAsiaTheme="minorEastAsia"/>
                <w:lang w:val="fi-FI" w:eastAsia="fi-FI"/>
              </w:rPr>
              <w:t>Laadintaperiaatteet</w:t>
            </w:r>
          </w:p>
          <w:p w:rsidR="002818EE" w:rsidRPr="006A17C2" w14:paraId="14A461B1" w14:textId="77F4AE96">
            <w:pPr>
              <w:pStyle w:val="Bodytext2"/>
              <w:rPr>
                <w:rFonts w:eastAsiaTheme="minorEastAsia"/>
                <w:color w:val="0F172B"/>
                <w:szCs w:val="15"/>
                <w:lang w:val="fi-FI" w:eastAsia="fi-FI"/>
              </w:rPr>
            </w:pPr>
            <w:r w:rsidRPr="002818EE">
              <w:rPr>
                <w:rFonts w:eastAsiaTheme="minorEastAsia"/>
                <w:color w:val="0F172B"/>
                <w:szCs w:val="15"/>
                <w:lang w:val="fi-FI" w:eastAsia="fi-FI"/>
              </w:rPr>
              <w:t>Ehdollinen velka on aikaisempien tapahtumien seurauksena syntynyt mahdollinen velvoite, jonka olemassaolo varmistuu vasta konsernin määräysvallan ulkopuolella olevan epävarman tapahtuman realisoituessa. Ehdolliseksi velaksi katsotaan myös sellainen olemass</w:t>
            </w:r>
            <w:r w:rsidRPr="002818EE">
              <w:rPr>
                <w:rFonts w:eastAsiaTheme="minorEastAsia"/>
                <w:color w:val="0F172B"/>
                <w:szCs w:val="15"/>
                <w:lang w:val="fi-FI" w:eastAsia="fi-FI"/>
              </w:rPr>
              <w:t>a oleva velvoite, joka ei todennäköisesti edellytä maksuvelvoitteen täyttämistä, tai jonka suuruutta ei voida määrittää luotettavasti.</w:t>
            </w:r>
          </w:p>
        </w:tc>
      </w:tr>
    </w:tbl>
    <w:p w:rsidR="002D1EB5" w:rsidRPr="006A17C2" w:rsidP="002D1EB5" w14:paraId="3B5998C9" w14:textId="77777777">
      <w:pPr>
        <w:pStyle w:val="Bodytext2"/>
        <w:rPr>
          <w:color w:val="0F172B"/>
          <w:szCs w:val="15"/>
          <w:lang w:val="fi-FI"/>
        </w:rPr>
      </w:pPr>
    </w:p>
    <w:tbl>
      <w:tblPr>
        <w:tblStyle w:val="TableNormal"/>
        <w:tblCaption w:val="table_71_mortgages"/>
        <w:tblW w:w="7350" w:type="dxa"/>
        <w:tblLayout w:type="fixed"/>
        <w:tblLook w:val="0600"/>
      </w:tblPr>
      <w:tblGrid>
        <w:gridCol w:w="3030"/>
        <w:gridCol w:w="1080"/>
        <w:gridCol w:w="1080"/>
        <w:gridCol w:w="1080"/>
        <w:gridCol w:w="1080"/>
      </w:tblGrid>
      <w:tr>
        <w:tblPrEx>
          <w:tblW w:w="7350" w:type="dxa"/>
          <w:tblLayout w:type="fixed"/>
          <w:tblLook w:val="0600"/>
        </w:tblPrEx>
        <w:trPr>
          <w:trHeight w:val="240"/>
        </w:trPr>
        <w:tc>
          <w:tcPr>
            <w:tcW w:w="3030"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nil"/>
              <w:left w:val="nil"/>
              <w:bottom w:val="nil"/>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nil"/>
              <w:left w:val="nil"/>
              <w:bottom w:val="nil"/>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080" w:type="dxa"/>
            <w:tcBorders>
              <w:top w:val="nil"/>
              <w:left w:val="nil"/>
              <w:bottom w:val="nil"/>
              <w:right w:val="nil"/>
              <w:tl2br w:val="nil"/>
              <w:tr2bl w:val="nil"/>
            </w:tcBorders>
            <w:shd w:val="clear" w:color="FFFFFF" w:fill="EFEFE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nil"/>
              <w:left w:val="nil"/>
              <w:bottom w:val="nil"/>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03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08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Taseen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velka-</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määrä</w:t>
            </w:r>
          </w:p>
        </w:tc>
        <w:tc>
          <w:tcPr>
            <w:tcW w:w="108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Kiinnitykset</w:t>
            </w:r>
          </w:p>
        </w:tc>
        <w:tc>
          <w:tcPr>
            <w:tcW w:w="108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Taseen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velka-</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määrä</w:t>
            </w:r>
          </w:p>
        </w:tc>
        <w:tc>
          <w:tcPr>
            <w:tcW w:w="108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Kiinnitykset</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03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Velat ja vastuut, joiden vakuudeksi on annettu kiinteistökiinnityksiä</w:t>
            </w:r>
          </w:p>
        </w:tc>
        <w:tc>
          <w:tcPr>
            <w:tcW w:w="108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nil"/>
              <w:left w:val="nil"/>
              <w:bottom w:val="single" w:sz="8" w:space="0" w:color="0F172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vastuut</w:t>
            </w:r>
          </w:p>
        </w:tc>
        <w:tc>
          <w:tcPr>
            <w:tcW w:w="1080" w:type="dxa"/>
            <w:tcBorders>
              <w:top w:val="nil"/>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c>
          <w:tcPr>
            <w:tcW w:w="1080" w:type="dxa"/>
            <w:tcBorders>
              <w:top w:val="nil"/>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w:t>
            </w:r>
          </w:p>
        </w:tc>
        <w:tc>
          <w:tcPr>
            <w:tcW w:w="1080" w:type="dxa"/>
            <w:tcBorders>
              <w:top w:val="nil"/>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w:t>
            </w:r>
          </w:p>
        </w:tc>
        <w:tc>
          <w:tcPr>
            <w:tcW w:w="1080" w:type="dxa"/>
            <w:tcBorders>
              <w:top w:val="nil"/>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030"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08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c>
          <w:tcPr>
            <w:tcW w:w="108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w:t>
            </w:r>
          </w:p>
        </w:tc>
        <w:tc>
          <w:tcPr>
            <w:tcW w:w="108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w:t>
            </w:r>
          </w:p>
        </w:tc>
        <w:tc>
          <w:tcPr>
            <w:tcW w:w="108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0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Velat ja vastuut ja muut sitoumukset sekä vakuudet, joiden vakuudeksi on annettu yrityskiinnityksiä</w:t>
            </w:r>
          </w:p>
        </w:tc>
        <w:tc>
          <w:tcPr>
            <w:tcW w:w="108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lainat rahoituslaitoksilta</w:t>
            </w:r>
          </w:p>
        </w:tc>
        <w:tc>
          <w:tcPr>
            <w:tcW w:w="108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08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4" w:space="0" w:color="004A6B"/>
              <w:left w:val="nil"/>
              <w:bottom w:val="single" w:sz="8" w:space="0" w:color="0F172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vastuut</w:t>
            </w:r>
          </w:p>
        </w:tc>
        <w:tc>
          <w:tcPr>
            <w:tcW w:w="1080"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108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030"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08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08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108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c>
          <w:tcPr>
            <w:tcW w:w="108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w:t>
            </w:r>
          </w:p>
        </w:tc>
      </w:tr>
    </w:tbl>
    <w:p w:rsidR="002D1EB5" w:rsidP="002D1EB5" w14:paraId="7D7E4F58" w14:textId="77777777">
      <w:pPr>
        <w:pStyle w:val="Bodytext2"/>
        <w:rPr>
          <w:color w:val="0F172B"/>
          <w:szCs w:val="15"/>
          <w:lang w:val="en-GB"/>
        </w:rPr>
      </w:pPr>
    </w:p>
    <w:tbl>
      <w:tblPr>
        <w:tblStyle w:val="TableNormal"/>
        <w:tblCaption w:val="table_71_guarantees"/>
        <w:tblW w:w="7350" w:type="dxa"/>
        <w:tblLayout w:type="fixed"/>
        <w:tblLook w:val="0600"/>
      </w:tblPr>
      <w:tblGrid>
        <w:gridCol w:w="3030"/>
        <w:gridCol w:w="1080"/>
        <w:gridCol w:w="1080"/>
        <w:gridCol w:w="1080"/>
        <w:gridCol w:w="1080"/>
      </w:tblGrid>
      <w:tr>
        <w:tblPrEx>
          <w:tblW w:w="7350" w:type="dxa"/>
          <w:tblLayout w:type="fixed"/>
          <w:tblLook w:val="0600"/>
        </w:tblPrEx>
        <w:trPr>
          <w:trHeight w:val="240"/>
        </w:trPr>
        <w:tc>
          <w:tcPr>
            <w:tcW w:w="303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08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 </w:t>
            </w:r>
          </w:p>
        </w:tc>
        <w:tc>
          <w:tcPr>
            <w:tcW w:w="1080" w:type="dxa"/>
            <w:tcBorders>
              <w:top w:val="nil"/>
              <w:left w:val="nil"/>
              <w:bottom w:val="single" w:sz="8" w:space="0" w:color="0F172B"/>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08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03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Takaukset ja vastuusitoumukset </w:t>
            </w: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030" w:type="dxa"/>
            <w:tcBorders>
              <w:top w:val="single" w:sz="4" w:space="0" w:color="004A6B"/>
              <w:left w:val="nil"/>
              <w:bottom w:val="single" w:sz="8" w:space="0" w:color="0F172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samaan konserniin kuuluvien yritysten puolesta</w:t>
            </w:r>
          </w:p>
        </w:tc>
        <w:tc>
          <w:tcPr>
            <w:tcW w:w="108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1 065</w:t>
            </w:r>
          </w:p>
        </w:tc>
        <w:tc>
          <w:tcPr>
            <w:tcW w:w="108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887</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030" w:type="dxa"/>
            <w:tcBorders>
              <w:top w:val="nil"/>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080" w:type="dxa"/>
            <w:tcBorders>
              <w:top w:val="nil"/>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nil"/>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nil"/>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1 065</w:t>
            </w:r>
          </w:p>
        </w:tc>
        <w:tc>
          <w:tcPr>
            <w:tcW w:w="1080" w:type="dxa"/>
            <w:tcBorders>
              <w:top w:val="nil"/>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887</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0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Vuokrasopimusvelkojen nimellisarvot</w:t>
            </w: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8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5190" w:type="dxa"/>
            <w:gridSpan w:val="3"/>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 xml:space="preserve">Velat vuokrasopimuksista, joissa kohdeomaisuuserän arvo on vähäinen </w:t>
            </w:r>
          </w:p>
        </w:tc>
        <w:tc>
          <w:tcPr>
            <w:tcW w:w="108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w:t>
            </w:r>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5190" w:type="dxa"/>
            <w:gridSpan w:val="3"/>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Velat lyhytaikaisista vuokrasopimuksista</w:t>
            </w:r>
          </w:p>
        </w:tc>
        <w:tc>
          <w:tcPr>
            <w:tcW w:w="108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5190" w:type="dxa"/>
            <w:gridSpan w:val="3"/>
            <w:tcBorders>
              <w:top w:val="single" w:sz="4" w:space="0" w:color="004A6B"/>
              <w:left w:val="nil"/>
              <w:bottom w:val="single" w:sz="4" w:space="0" w:color="004A6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Vielä alkamattomat vuokrasopimukset, joihin Wärtsilä on sitoutunut</w:t>
            </w:r>
          </w:p>
        </w:tc>
        <w:tc>
          <w:tcPr>
            <w:tcW w:w="108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120</w:t>
            </w:r>
          </w:p>
        </w:tc>
        <w:tc>
          <w:tcPr>
            <w:tcW w:w="108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191</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030" w:type="dxa"/>
            <w:tcBorders>
              <w:top w:val="single" w:sz="4" w:space="0" w:color="004A6B"/>
              <w:left w:val="nil"/>
              <w:bottom w:val="single" w:sz="8" w:space="0" w:color="0F172B"/>
              <w:right w:val="nil"/>
              <w:tl2br w:val="nil"/>
              <w:tr2bl w:val="nil"/>
            </w:tcBorders>
            <w:shd w:val="clear" w:color="auto" w:fill="auto"/>
            <w:noWrap w:val="0"/>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Jäännösarvotakuu</w:t>
            </w:r>
          </w:p>
        </w:tc>
        <w:tc>
          <w:tcPr>
            <w:tcW w:w="108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30</w:t>
            </w:r>
          </w:p>
        </w:tc>
        <w:tc>
          <w:tcPr>
            <w:tcW w:w="108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030" w:type="dxa"/>
            <w:tcBorders>
              <w:top w:val="single" w:sz="8" w:space="0" w:color="0F172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080" w:type="dxa"/>
            <w:tcBorders>
              <w:top w:val="single" w:sz="8" w:space="0" w:color="0F172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8" w:space="0" w:color="0F172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166</w:t>
            </w:r>
          </w:p>
        </w:tc>
        <w:tc>
          <w:tcPr>
            <w:tcW w:w="108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201</w:t>
            </w:r>
          </w:p>
        </w:tc>
      </w:tr>
    </w:tbl>
    <w:p w:rsidR="002D1EB5" w:rsidP="002D1EB5" w14:paraId="71B6DF92" w14:textId="77777777">
      <w:pPr>
        <w:pStyle w:val="Bodytext2"/>
        <w:rPr>
          <w:color w:val="0F172B"/>
          <w:szCs w:val="15"/>
          <w:lang w:val="en-GB"/>
        </w:rPr>
      </w:pPr>
      <w:r>
        <w:t xml:space="preserve"> </w:t>
      </w:r>
    </w:p>
    <w:p/>
    <w:p w:rsidR="00C30A26" w:rsidRPr="00AE28F0" w:rsidP="00C30A26" w14:paraId="20D38AB0" w14:textId="414F7A5F">
      <w:pPr>
        <w:pStyle w:val="Heading12"/>
        <w:rPr>
          <w:lang w:val="fi-FI"/>
        </w:rPr>
      </w:pPr>
      <w:bookmarkStart w:id="1497" w:name="RG_MARKER_7436"/>
      <w:r w:rsidRPr="00AE28F0">
        <w:rPr>
          <w:lang w:val="fi-FI"/>
        </w:rPr>
        <w:t>7.2. LÄHIPIIRITAPAHTUMAT</w:t>
      </w:r>
      <w:bookmarkEnd w:id="1497"/>
    </w:p>
    <w:p w:rsidR="00C30A26" w:rsidP="00C30A26" w14:paraId="330233AB" w14:textId="63D075E4">
      <w:pPr>
        <w:pStyle w:val="Bodytext2"/>
        <w:rPr>
          <w:lang w:val="fi-FI"/>
        </w:rPr>
      </w:pPr>
      <w:r w:rsidRPr="00092568">
        <w:rPr>
          <w:lang w:val="fi-FI"/>
        </w:rPr>
        <w:t>Lähipiirin muodostavat emoyhtiö, tytäryhtiöt sekä osakkuus- ja yhteisyritykset. Siihen kuuluvat myös hallituksen jäsenet, toimitusjohtaja, johtokunnan jäsenet</w:t>
      </w:r>
      <w:r w:rsidRPr="00092568" w:rsidR="008E30CD">
        <w:rPr>
          <w:lang w:val="fi-FI"/>
        </w:rPr>
        <w:t xml:space="preserve"> sekä </w:t>
      </w:r>
      <w:r w:rsidRPr="00092568">
        <w:rPr>
          <w:lang w:val="fi-FI"/>
        </w:rPr>
        <w:t xml:space="preserve">heidän perheenjäsenensä </w:t>
      </w:r>
      <w:r w:rsidRPr="00092568" w:rsidR="008E30CD">
        <w:rPr>
          <w:lang w:val="fi-FI"/>
        </w:rPr>
        <w:t>ja</w:t>
      </w:r>
      <w:r w:rsidRPr="00092568">
        <w:rPr>
          <w:lang w:val="fi-FI"/>
        </w:rPr>
        <w:t xml:space="preserve"> suoras</w:t>
      </w:r>
      <w:r w:rsidRPr="00092568" w:rsidR="00AE28F0">
        <w:rPr>
          <w:lang w:val="fi-FI"/>
        </w:rPr>
        <w:t>sa</w:t>
      </w:r>
      <w:r w:rsidRPr="00092568">
        <w:rPr>
          <w:lang w:val="fi-FI"/>
        </w:rPr>
        <w:t xml:space="preserve"> tai e</w:t>
      </w:r>
      <w:r w:rsidRPr="00092568" w:rsidR="00AE28F0">
        <w:rPr>
          <w:lang w:val="fi-FI"/>
        </w:rPr>
        <w:t>p</w:t>
      </w:r>
      <w:r w:rsidRPr="00092568">
        <w:rPr>
          <w:lang w:val="fi-FI"/>
        </w:rPr>
        <w:t>äsuoras</w:t>
      </w:r>
      <w:r w:rsidRPr="00092568" w:rsidR="00AE28F0">
        <w:rPr>
          <w:lang w:val="fi-FI"/>
        </w:rPr>
        <w:t>sa</w:t>
      </w:r>
      <w:r w:rsidRPr="00092568">
        <w:rPr>
          <w:lang w:val="fi-FI"/>
        </w:rPr>
        <w:t xml:space="preserve"> </w:t>
      </w:r>
      <w:r w:rsidRPr="00092568" w:rsidR="00AE28F0">
        <w:rPr>
          <w:lang w:val="fi-FI"/>
        </w:rPr>
        <w:t>määräysvallassaan olevat yhteisöt.</w:t>
      </w:r>
    </w:p>
    <w:p w:rsidR="00486E69" w:rsidRPr="00486E69" w:rsidP="00C30A26" w14:paraId="47C19771" w14:textId="77777777">
      <w:pPr>
        <w:pStyle w:val="Bodytext2"/>
        <w:rPr>
          <w:lang w:val="fi-FI"/>
        </w:rPr>
      </w:pPr>
    </w:p>
    <w:p w:rsidR="00C30A26" w:rsidRPr="00486E69" w:rsidP="00C30A26" w14:paraId="7684F9C4" w14:textId="4E82BEEC">
      <w:pPr>
        <w:pStyle w:val="Heading13"/>
        <w:rPr>
          <w:lang w:val="fi-FI"/>
        </w:rPr>
      </w:pPr>
      <w:r w:rsidRPr="00486E69">
        <w:rPr>
          <w:lang w:val="fi-FI"/>
        </w:rPr>
        <w:t>Johdon palkitseminen</w:t>
      </w:r>
    </w:p>
    <w:p w:rsidR="00C30A26" w:rsidRPr="00486E69" w:rsidP="00C30A26" w14:paraId="666EBB74" w14:textId="77777777">
      <w:pPr>
        <w:pStyle w:val="Bodytext2"/>
        <w:rPr>
          <w:lang w:val="fi-FI"/>
        </w:rPr>
      </w:pPr>
    </w:p>
    <w:tbl>
      <w:tblPr>
        <w:tblStyle w:val="TableNormal"/>
        <w:tblCaption w:val="table_72_benefits"/>
        <w:tblW w:w="7320" w:type="dxa"/>
        <w:tblLayout w:type="fixed"/>
        <w:tblLook w:val="0600"/>
      </w:tblPr>
      <w:tblGrid>
        <w:gridCol w:w="4830"/>
        <w:gridCol w:w="1245"/>
        <w:gridCol w:w="1245"/>
      </w:tblGrid>
      <w:tr>
        <w:tblPrEx>
          <w:tblW w:w="7320" w:type="dxa"/>
          <w:tblLayout w:type="fixed"/>
          <w:tblLook w:val="0600"/>
        </w:tblPrEx>
        <w:trPr>
          <w:trHeight w:val="240"/>
        </w:trPr>
        <w:tc>
          <w:tcPr>
            <w:tcW w:w="4830"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2490" w:type="dxa"/>
            <w:gridSpan w:val="2"/>
            <w:tcBorders>
              <w:top w:val="nil"/>
              <w:left w:val="nil"/>
              <w:bottom w:val="nil"/>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Tuloslaskelmaan kirjatut etuudet</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nil"/>
              <w:left w:val="nil"/>
              <w:bottom w:val="single" w:sz="8" w:space="0" w:color="0F172B"/>
              <w:right w:val="nil"/>
              <w:tl2br w:val="nil"/>
              <w:tr2bl w:val="nil"/>
            </w:tcBorders>
            <w:shd w:val="clear" w:color="FFFFFF" w:fill="EFEFE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TEUR</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Toimitusjohtaja</w:t>
            </w:r>
          </w:p>
        </w:tc>
        <w:tc>
          <w:tcPr>
            <w:tcW w:w="1245" w:type="dxa"/>
            <w:tcBorders>
              <w:top w:val="single" w:sz="8" w:space="0" w:color="0F172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Palkat ja muut lyhytaikaiset työsuhde-etuudet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1 215</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843</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Lyhytaikaiset palkitsemisjärjestelmät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379</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335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nil"/>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Lakisääteisistä eläkkeistä aiheutuneet kustannukset</w:t>
            </w:r>
          </w:p>
        </w:tc>
        <w:tc>
          <w:tcPr>
            <w:tcW w:w="12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249</w:t>
            </w:r>
          </w:p>
        </w:tc>
        <w:tc>
          <w:tcPr>
            <w:tcW w:w="1245"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Vapaaehtoisista eläkkeistä aiheutuneet kustannukset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262</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179</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konsernin johtokunnan jäsenet</w:t>
            </w:r>
          </w:p>
        </w:tc>
        <w:tc>
          <w:tcPr>
            <w:tcW w:w="1245" w:type="dxa"/>
            <w:tcBorders>
              <w:top w:val="nil"/>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nil"/>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Palkat ja muut lyhytaikaiset työsuhde-etuudet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2 623</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2 642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Lyhytaikaiset palkitsemisjärjestelmät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790</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583</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nil"/>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Lakisääteisistä eläkkeistä aiheutuneet kustannukset</w:t>
            </w:r>
          </w:p>
        </w:tc>
        <w:tc>
          <w:tcPr>
            <w:tcW w:w="1245" w:type="dxa"/>
            <w:tcBorders>
              <w:top w:val="nil"/>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346</w:t>
            </w:r>
          </w:p>
        </w:tc>
        <w:tc>
          <w:tcPr>
            <w:tcW w:w="1245" w:type="dxa"/>
            <w:tcBorders>
              <w:top w:val="nil"/>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267</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8" w:space="0" w:color="0F172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Vapaaehtoisista eläkkeistä aiheutuneet kustannukset</w:t>
            </w:r>
          </w:p>
        </w:tc>
        <w:tc>
          <w:tcPr>
            <w:tcW w:w="1245"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401</w:t>
            </w:r>
          </w:p>
        </w:tc>
        <w:tc>
          <w:tcPr>
            <w:tcW w:w="12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247</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2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6 266</w:t>
            </w:r>
          </w:p>
        </w:tc>
        <w:tc>
          <w:tcPr>
            <w:tcW w:w="12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5 279</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Hallituksen jäsenet 31.12.2021</w:t>
            </w: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Tom Johnstone, hallituksen puheenjohtaja</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160</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163</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Risto Murto, hallituksen varapuheenjohtaja</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123</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Maarit Aarni-Sirviö, hallituksen jäsen</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98</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Karen Bomba, hallituksen jäsen</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78</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79</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Karin Falk, hallituksen jäsen</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78</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Johan Forssell, hallituksen jäsen</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83</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Mats Rahmström, hallituksen jäsen</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76</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79</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Tiina Tuomela, hallituksen jäsen</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96</w:t>
            </w: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Hallituksen jäsenet 4.3.2021 asti</w:t>
            </w: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Markus Rauramo, hallituksen varapuheenjohtaja</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135</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Hallituksen jäsenet 5.3.2020 asti</w:t>
            </w: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4" w:space="0" w:color="004A6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Kaj-Gustaf Bergh, hallituksen jäsen</w:t>
            </w:r>
          </w:p>
        </w:tc>
        <w:tc>
          <w:tcPr>
            <w:tcW w:w="1245" w:type="dxa"/>
            <w:tcBorders>
              <w:top w:val="single" w:sz="4" w:space="0" w:color="004A6B"/>
              <w:left w:val="nil"/>
              <w:bottom w:val="single" w:sz="4" w:space="0" w:color="004A6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8" w:space="0" w:color="0F172B"/>
              <w:right w:val="nil"/>
              <w:tl2br w:val="nil"/>
              <w:tr2bl w:val="nil"/>
            </w:tcBorders>
            <w:shd w:val="clear" w:color="auto" w:fill="auto"/>
            <w:noWrap/>
            <w:tcMar>
              <w:left w:w="40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Mikael Lilius, hallituksen jäsen</w:t>
            </w:r>
          </w:p>
        </w:tc>
        <w:tc>
          <w:tcPr>
            <w:tcW w:w="124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2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791</w:t>
            </w:r>
          </w:p>
        </w:tc>
        <w:tc>
          <w:tcPr>
            <w:tcW w:w="12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814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245" w:type="dxa"/>
            <w:tcBorders>
              <w:top w:val="single" w:sz="4" w:space="0" w:color="004A6B"/>
              <w:left w:val="nil"/>
              <w:bottom w:val="single" w:sz="8" w:space="0" w:color="0F172B"/>
              <w:right w:val="nil"/>
              <w:tl2br w:val="nil"/>
              <w:tr2bl w:val="nil"/>
            </w:tcBorders>
            <w:shd w:val="clear" w:color="FFFFFF" w:fill="E7EBED"/>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245" w:type="dxa"/>
            <w:tcBorders>
              <w:top w:val="single" w:sz="4" w:space="0" w:color="004A6B"/>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83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Johdon palkitseminen yhteensä</w:t>
            </w:r>
          </w:p>
        </w:tc>
        <w:tc>
          <w:tcPr>
            <w:tcW w:w="1245" w:type="dxa"/>
            <w:tcBorders>
              <w:top w:val="single" w:sz="8" w:space="0" w:color="0F172B"/>
              <w:left w:val="nil"/>
              <w:bottom w:val="single" w:sz="8" w:space="0" w:color="000000"/>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7 057</w:t>
            </w:r>
          </w:p>
        </w:tc>
        <w:tc>
          <w:tcPr>
            <w:tcW w:w="124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6 093</w:t>
            </w:r>
          </w:p>
        </w:tc>
      </w:tr>
    </w:tbl>
    <w:p w:rsidR="00C30A26" w:rsidRPr="00092568" w:rsidP="00C30A26" w14:paraId="25B01CAF" w14:textId="77777777">
      <w:pPr>
        <w:pStyle w:val="Bodytext2"/>
        <w:rPr>
          <w:lang w:val="fi-FI"/>
        </w:rPr>
      </w:pPr>
    </w:p>
    <w:p w:rsidR="00C30A26" w:rsidP="00C30A26" w14:paraId="059E25AF" w14:textId="3F997C35">
      <w:pPr>
        <w:pStyle w:val="Bodytext2"/>
        <w:rPr>
          <w:lang w:val="fi-FI"/>
        </w:rPr>
      </w:pPr>
      <w:r w:rsidRPr="00C30A26">
        <w:rPr>
          <w:lang w:val="fi-FI"/>
        </w:rPr>
        <w:t xml:space="preserve">Toimitusjohtaja sekä hallituksen ja johtokunnan jäsenet omistivat vuoden lopussa </w:t>
      </w:r>
      <w:r>
        <w:rPr>
          <w:lang w:val="fi-FI"/>
        </w:rPr>
        <w:t>252.627</w:t>
      </w:r>
      <w:r w:rsidRPr="00C30A26">
        <w:rPr>
          <w:lang w:val="fi-FI"/>
        </w:rPr>
        <w:t xml:space="preserve"> (</w:t>
      </w:r>
      <w:r>
        <w:rPr>
          <w:lang w:val="fi-FI"/>
        </w:rPr>
        <w:t>238.875</w:t>
      </w:r>
      <w:r w:rsidRPr="00C30A26">
        <w:rPr>
          <w:lang w:val="fi-FI"/>
        </w:rPr>
        <w:t>) Wärtsilän osaketta.</w:t>
      </w:r>
    </w:p>
    <w:p w:rsidR="00BE3C46" w:rsidP="00C30A26" w14:paraId="7E3ED49F" w14:textId="4B6FC0A9">
      <w:pPr>
        <w:pStyle w:val="Bodytext2"/>
        <w:rPr>
          <w:lang w:val="fi-FI"/>
        </w:rPr>
      </w:pPr>
    </w:p>
    <w:p w:rsidR="00C30A26" w:rsidP="00C30A26" w14:paraId="4037FF81" w14:textId="0E2A46EA">
      <w:pPr>
        <w:pStyle w:val="Bodytext2"/>
        <w:rPr>
          <w:lang w:val="fi-FI"/>
        </w:rPr>
      </w:pPr>
      <w:r w:rsidRPr="00C30A26">
        <w:rPr>
          <w:lang w:val="fi-FI"/>
        </w:rPr>
        <w:t>Toimitusjohtajalla on oikeus jäädä eläkkeelle 63-vuoti</w:t>
      </w:r>
      <w:r w:rsidRPr="00C30A26">
        <w:rPr>
          <w:lang w:val="fi-FI"/>
        </w:rPr>
        <w:t>aana. Johtokunnan jäsenillä on oikeus jäädä eläkkeelle, kun lakisääteinen eläkeikä on saavutettu. Yhdellä johtokunnan jäsenellä on oikeus jäädä eläkkeelle aikaisemmin, 60-vuotiaana. Yhtiöllä ei ole lainasaamisia konsernin johdolta tai hallituksen jäseniltä</w:t>
      </w:r>
      <w:r w:rsidRPr="00C30A26">
        <w:rPr>
          <w:lang w:val="fi-FI"/>
        </w:rPr>
        <w:t>. Johdon tai osakkaiden puolesta ei ole annettu pantteja tai muita vastuita.</w:t>
      </w:r>
    </w:p>
    <w:p w:rsidR="00C30A26" w:rsidRPr="00C30A26" w:rsidP="00C30A26" w14:paraId="06EF46DE" w14:textId="77777777">
      <w:pPr>
        <w:pStyle w:val="Bodytext2"/>
        <w:rPr>
          <w:lang w:val="fi-FI"/>
        </w:rPr>
      </w:pPr>
    </w:p>
    <w:p w:rsidR="00C30A26" w:rsidRPr="00C30A26" w:rsidP="00C30A26" w14:paraId="6A10D8C7" w14:textId="3F51DD51">
      <w:pPr>
        <w:pStyle w:val="Heading13"/>
        <w:rPr>
          <w:lang w:val="fi-FI"/>
        </w:rPr>
      </w:pPr>
      <w:r w:rsidRPr="00C30A26">
        <w:rPr>
          <w:lang w:val="fi-FI"/>
        </w:rPr>
        <w:t>Liiketoimet osakkuus- ja yhteisyritysten kanssa</w:t>
      </w:r>
    </w:p>
    <w:p w:rsidR="00C30A26" w:rsidRPr="00092568" w:rsidP="00C30A26" w14:paraId="32668900" w14:textId="77777777">
      <w:pPr>
        <w:pStyle w:val="Bodytext2"/>
        <w:rPr>
          <w:lang w:val="fi-FI"/>
        </w:rPr>
      </w:pPr>
    </w:p>
    <w:tbl>
      <w:tblPr>
        <w:tblStyle w:val="TableNormal"/>
        <w:tblCaption w:val="table_72_ass_jv"/>
        <w:tblW w:w="7320" w:type="dxa"/>
        <w:tblLayout w:type="fixed"/>
        <w:tblLook w:val="0600"/>
      </w:tblPr>
      <w:tblGrid>
        <w:gridCol w:w="4830"/>
        <w:gridCol w:w="1245"/>
        <w:gridCol w:w="1245"/>
      </w:tblGrid>
      <w:tr>
        <w:tblPrEx>
          <w:tblW w:w="7320" w:type="dxa"/>
          <w:tblLayout w:type="fixed"/>
          <w:tblLook w:val="0600"/>
        </w:tblPrEx>
        <w:trPr>
          <w:trHeight w:hRule="exact" w:val="240"/>
        </w:trPr>
        <w:tc>
          <w:tcPr>
            <w:tcW w:w="48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245"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8" w:space="0" w:color="0F172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Myynnit osakkuus- ja yhteisyrityksille</w:t>
            </w:r>
          </w:p>
        </w:tc>
        <w:tc>
          <w:tcPr>
            <w:tcW w:w="1245"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31</w:t>
            </w:r>
          </w:p>
        </w:tc>
        <w:tc>
          <w:tcPr>
            <w:tcW w:w="124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23</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Ostot osakkuus- ja yhteisyrityksiltä</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69</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67</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Saamiset osakkuus- ja yhteisyrityksiltä</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Osakkuus- ja yhteisyrityksille maksetut ennakot</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r>
      <w:tr>
        <w:tblPrEx>
          <w:tblW w:w="7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830"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Velat osakkuus- ja yhteisyrityksille</w:t>
            </w:r>
          </w:p>
        </w:tc>
        <w:tc>
          <w:tcPr>
            <w:tcW w:w="1245"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124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bl>
    <w:p w:rsidR="00C30A26" w:rsidRPr="00C30A26" w:rsidP="00C30A26" w14:paraId="5363F366" w14:textId="77777777">
      <w:pPr>
        <w:pStyle w:val="Bodytext2"/>
        <w:rPr>
          <w:lang w:val="fi-FI"/>
        </w:rPr>
      </w:pPr>
    </w:p>
    <w:p w:rsidR="004A0DF2" w:rsidRPr="008E30CD" w:rsidP="00C30A26" w14:textId="79374C60">
      <w:pPr>
        <w:pStyle w:val="Bodytext2"/>
        <w:rPr>
          <w:lang w:val="fi-FI"/>
        </w:rPr>
      </w:pPr>
      <w:r w:rsidRPr="00C30A26">
        <w:rPr>
          <w:lang w:val="fi-FI"/>
        </w:rPr>
        <w:t xml:space="preserve">Lisätietoja osakkuus- ja yhteisyrityksistä esitetään liitetiedossa </w:t>
      </w:r>
      <w:r w:rsidR="008E30CD">
        <w:rPr>
          <w:lang w:val="fi-FI"/>
        </w:rPr>
        <w:t>6.4</w:t>
      </w:r>
      <w:r w:rsidRPr="00C30A26">
        <w:rPr>
          <w:lang w:val="fi-FI"/>
        </w:rPr>
        <w:t xml:space="preserve">. </w:t>
      </w:r>
      <w:r w:rsidRPr="008E30CD">
        <w:rPr>
          <w:lang w:val="fi-FI"/>
        </w:rPr>
        <w:t>Sijoitukset osakkuus- ja yhteisyrit</w:t>
      </w:r>
      <w:r w:rsidRPr="008E30CD">
        <w:rPr>
          <w:lang w:val="fi-FI"/>
        </w:rPr>
        <w:t>yksiin.</w:t>
      </w:r>
    </w:p>
    <w:p/>
    <w:p w:rsidR="008A116B" w:rsidP="008A116B" w14:paraId="350049F0" w14:textId="67214637">
      <w:pPr>
        <w:pStyle w:val="Heading12"/>
        <w:rPr>
          <w:lang w:val="fi-FI"/>
        </w:rPr>
      </w:pPr>
      <w:bookmarkStart w:id="1498" w:name="RG_MARKER_7437"/>
      <w:r w:rsidRPr="008A116B">
        <w:rPr>
          <w:lang w:val="fi-FI"/>
        </w:rPr>
        <w:t>7.3. TILINTARKASTAJIEN PALKKIOT JA PALVELUT</w:t>
      </w:r>
      <w:bookmarkEnd w:id="1498"/>
    </w:p>
    <w:p w:rsidR="008A116B" w:rsidP="008A116B" w14:paraId="5A825321" w14:textId="1C02DDB6">
      <w:pPr>
        <w:pStyle w:val="Bodytext2"/>
        <w:rPr>
          <w:lang w:val="fi-FI"/>
        </w:rPr>
      </w:pPr>
      <w:r w:rsidRPr="008A116B">
        <w:rPr>
          <w:lang w:val="fi-FI"/>
        </w:rPr>
        <w:t xml:space="preserve">Seuraavat palkkiot maksettiin tilintarkastajille ja tilintarkastustoimistoille lakisääteisestä tarkastuksesta sekä neuvonantamisesta ja ohjauksesta että riippumattomista </w:t>
      </w:r>
      <w:r w:rsidRPr="008A116B">
        <w:rPr>
          <w:lang w:val="fi-FI"/>
        </w:rPr>
        <w:t>asiantuntijapalveluista.</w:t>
      </w:r>
    </w:p>
    <w:p w:rsidR="008A116B" w:rsidRPr="008A116B" w:rsidP="008A116B" w14:paraId="1B197CF4" w14:textId="77777777">
      <w:pPr>
        <w:pStyle w:val="Bodytext2"/>
        <w:rPr>
          <w:lang w:val="fi-FI"/>
        </w:rPr>
      </w:pPr>
    </w:p>
    <w:p w:rsidR="008A116B" w:rsidP="008A116B" w14:paraId="26135653" w14:textId="5870FC13">
      <w:pPr>
        <w:pStyle w:val="Bodytext2"/>
        <w:rPr>
          <w:lang w:val="fi-FI"/>
        </w:rPr>
      </w:pPr>
      <w:r w:rsidRPr="008A116B">
        <w:rPr>
          <w:lang w:val="fi-FI"/>
        </w:rPr>
        <w:t>Vuonna 20</w:t>
      </w:r>
      <w:r>
        <w:rPr>
          <w:lang w:val="fi-FI"/>
        </w:rPr>
        <w:t>2</w:t>
      </w:r>
      <w:r w:rsidR="004415ED">
        <w:rPr>
          <w:lang w:val="fi-FI"/>
        </w:rPr>
        <w:t>1</w:t>
      </w:r>
      <w:r w:rsidRPr="008A116B">
        <w:rPr>
          <w:lang w:val="fi-FI"/>
        </w:rPr>
        <w:t xml:space="preserve"> yhtiökokous valitsi Wärtsilä Oyj Abp:n tilintarkastajaksi tilintarkastysyhteisön PricewaterhouseCoopers Oy. PricewaterhouseCoopers Oy:n suorittamat muut kuin tilintarkastuspalvelut Wärtsilä-konsernin yhtiöille olivat y</w:t>
      </w:r>
      <w:r w:rsidRPr="008A116B">
        <w:rPr>
          <w:lang w:val="fi-FI"/>
        </w:rPr>
        <w:t xml:space="preserve">hteensä </w:t>
      </w:r>
      <w:r>
        <w:rPr>
          <w:lang w:val="fi-FI"/>
        </w:rPr>
        <w:t>0,</w:t>
      </w:r>
      <w:r w:rsidR="004415ED">
        <w:rPr>
          <w:lang w:val="fi-FI"/>
        </w:rPr>
        <w:t>3</w:t>
      </w:r>
      <w:r>
        <w:rPr>
          <w:lang w:val="fi-FI"/>
        </w:rPr>
        <w:t xml:space="preserve"> miljoonaa</w:t>
      </w:r>
      <w:r w:rsidRPr="008A116B">
        <w:rPr>
          <w:lang w:val="fi-FI"/>
        </w:rPr>
        <w:t xml:space="preserve"> euroa. Palvelut koostuivat veroneuvonnasta (</w:t>
      </w:r>
      <w:r>
        <w:rPr>
          <w:lang w:val="fi-FI"/>
        </w:rPr>
        <w:t>0,</w:t>
      </w:r>
      <w:r w:rsidR="004415ED">
        <w:rPr>
          <w:lang w:val="fi-FI"/>
        </w:rPr>
        <w:t>2</w:t>
      </w:r>
      <w:r>
        <w:rPr>
          <w:lang w:val="fi-FI"/>
        </w:rPr>
        <w:t xml:space="preserve"> miljoonaa</w:t>
      </w:r>
      <w:r>
        <w:rPr>
          <w:lang w:val="fi-FI"/>
        </w:rPr>
        <w:t xml:space="preserve"> </w:t>
      </w:r>
      <w:r w:rsidRPr="008A116B">
        <w:rPr>
          <w:lang w:val="fi-FI"/>
        </w:rPr>
        <w:t xml:space="preserve">euroa) </w:t>
      </w:r>
      <w:r>
        <w:rPr>
          <w:lang w:val="fi-FI"/>
        </w:rPr>
        <w:t>sekä</w:t>
      </w:r>
      <w:r w:rsidR="004415ED">
        <w:rPr>
          <w:lang w:val="fi-FI"/>
        </w:rPr>
        <w:t xml:space="preserve"> pienestä erästä koskien </w:t>
      </w:r>
      <w:r w:rsidRPr="008A116B">
        <w:rPr>
          <w:lang w:val="fi-FI"/>
        </w:rPr>
        <w:t>muita palveluita.</w:t>
      </w:r>
    </w:p>
    <w:p w:rsidR="008A116B" w:rsidRPr="008A116B" w:rsidP="008A116B" w14:paraId="674FC40F" w14:textId="77777777">
      <w:pPr>
        <w:pStyle w:val="Bodytext2"/>
        <w:rPr>
          <w:lang w:val="fi-FI"/>
        </w:rPr>
      </w:pPr>
    </w:p>
    <w:tbl>
      <w:tblPr>
        <w:tblStyle w:val="TableNormal"/>
        <w:tblCaption w:val="table_73"/>
        <w:tblW w:w="7350" w:type="dxa"/>
        <w:tblLayout w:type="fixed"/>
        <w:tblLook w:val="0600"/>
      </w:tblPr>
      <w:tblGrid>
        <w:gridCol w:w="3030"/>
        <w:gridCol w:w="1080"/>
        <w:gridCol w:w="1080"/>
        <w:gridCol w:w="1080"/>
        <w:gridCol w:w="1080"/>
      </w:tblGrid>
      <w:tr>
        <w:tblPrEx>
          <w:tblW w:w="7350" w:type="dxa"/>
          <w:tblLayout w:type="fixed"/>
          <w:tblLook w:val="0600"/>
        </w:tblPrEx>
        <w:trPr>
          <w:trHeight w:hRule="exact" w:val="240"/>
        </w:trPr>
        <w:tc>
          <w:tcPr>
            <w:tcW w:w="3030"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080"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nil"/>
              <w:left w:val="nil"/>
              <w:bottom w:val="nil"/>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080" w:type="dxa"/>
            <w:tcBorders>
              <w:top w:val="nil"/>
              <w:left w:val="nil"/>
              <w:bottom w:val="nil"/>
              <w:right w:val="nil"/>
              <w:tl2br w:val="nil"/>
              <w:tr2bl w:val="nil"/>
            </w:tcBorders>
            <w:shd w:val="clear" w:color="FFFFFF" w:fill="EFEFE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80" w:type="dxa"/>
            <w:tcBorders>
              <w:top w:val="nil"/>
              <w:left w:val="nil"/>
              <w:bottom w:val="nil"/>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08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PwC</w:t>
            </w:r>
          </w:p>
        </w:tc>
        <w:tc>
          <w:tcPr>
            <w:tcW w:w="108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Muut</w:t>
            </w:r>
          </w:p>
        </w:tc>
        <w:tc>
          <w:tcPr>
            <w:tcW w:w="108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PwC</w:t>
            </w:r>
          </w:p>
        </w:tc>
        <w:tc>
          <w:tcPr>
            <w:tcW w:w="1080" w:type="dxa"/>
            <w:tcBorders>
              <w:top w:val="nil"/>
              <w:left w:val="nil"/>
              <w:bottom w:val="single" w:sz="8" w:space="0" w:color="0F172B"/>
              <w:right w:val="nil"/>
              <w:tl2br w:val="nil"/>
              <w:tr2bl w:val="nil"/>
            </w:tcBorders>
            <w:shd w:val="clear" w:color="FFFFFF" w:fill="EFEFE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Muut</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Tilintarkastus</w:t>
            </w:r>
          </w:p>
        </w:tc>
        <w:tc>
          <w:tcPr>
            <w:tcW w:w="108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3,6</w:t>
            </w:r>
          </w:p>
        </w:tc>
        <w:tc>
          <w:tcPr>
            <w:tcW w:w="1080" w:type="dxa"/>
            <w:tcBorders>
              <w:top w:val="single" w:sz="8" w:space="0" w:color="0F172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0,8</w:t>
            </w:r>
          </w:p>
        </w:tc>
        <w:tc>
          <w:tcPr>
            <w:tcW w:w="108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4,2</w:t>
            </w:r>
          </w:p>
        </w:tc>
        <w:tc>
          <w:tcPr>
            <w:tcW w:w="108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0,4</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Veroneuvonta</w:t>
            </w:r>
          </w:p>
        </w:tc>
        <w:tc>
          <w:tcPr>
            <w:tcW w:w="108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0,2</w:t>
            </w:r>
          </w:p>
        </w:tc>
        <w:tc>
          <w:tcPr>
            <w:tcW w:w="1080" w:type="dxa"/>
            <w:tcBorders>
              <w:top w:val="single" w:sz="4" w:space="0" w:color="004A6B"/>
              <w:left w:val="nil"/>
              <w:bottom w:val="single" w:sz="4" w:space="0" w:color="004A6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0,1</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0,3</w:t>
            </w:r>
          </w:p>
        </w:tc>
        <w:tc>
          <w:tcPr>
            <w:tcW w:w="108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0,2</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palvelut</w:t>
            </w:r>
          </w:p>
        </w:tc>
        <w:tc>
          <w:tcPr>
            <w:tcW w:w="108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0,0</w:t>
            </w:r>
          </w:p>
        </w:tc>
        <w:tc>
          <w:tcPr>
            <w:tcW w:w="1080" w:type="dxa"/>
            <w:tcBorders>
              <w:top w:val="single" w:sz="4" w:space="0" w:color="004A6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E7EBED"/>
                <w:sz w:val="13"/>
                <w:u w:val="none"/>
                <w:vertAlign w:val="baseline"/>
              </w:rPr>
            </w:pPr>
            <w:r>
              <w:rPr>
                <w:rFonts w:ascii="Arial" w:eastAsia="Arial" w:hAnsi="Arial" w:cs="Arial"/>
                <w:b/>
                <w:i w:val="0"/>
                <w:strike w:val="0"/>
                <w:color w:val="E7EBED"/>
                <w:sz w:val="13"/>
                <w:u w:val="none"/>
                <w:vertAlign w:val="baseline"/>
              </w:rPr>
              <w:t>0,0</w:t>
            </w:r>
          </w:p>
        </w:tc>
        <w:tc>
          <w:tcPr>
            <w:tcW w:w="108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0,1</w:t>
            </w:r>
          </w:p>
        </w:tc>
        <w:tc>
          <w:tcPr>
            <w:tcW w:w="108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0,1</w:t>
            </w:r>
          </w:p>
        </w:tc>
      </w:tr>
      <w:tr>
        <w:tblPrEx>
          <w:tblW w:w="7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30"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08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3,9</w:t>
            </w:r>
          </w:p>
        </w:tc>
        <w:tc>
          <w:tcPr>
            <w:tcW w:w="1080" w:type="dxa"/>
            <w:tcBorders>
              <w:top w:val="single" w:sz="8" w:space="0" w:color="0F172B"/>
              <w:left w:val="nil"/>
              <w:bottom w:val="single" w:sz="8" w:space="0" w:color="0F172B"/>
              <w:right w:val="nil"/>
              <w:tl2br w:val="nil"/>
              <w:tr2bl w:val="nil"/>
            </w:tcBorders>
            <w:shd w:val="clear" w:color="FFFFFF" w:fill="E7EBED"/>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w:t>
            </w:r>
          </w:p>
        </w:tc>
        <w:tc>
          <w:tcPr>
            <w:tcW w:w="1080"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4,6</w:t>
            </w:r>
          </w:p>
        </w:tc>
        <w:tc>
          <w:tcPr>
            <w:tcW w:w="1080"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0,7</w:t>
            </w:r>
          </w:p>
        </w:tc>
      </w:tr>
    </w:tbl>
    <w:p/>
    <w:p w:rsidR="008A116B" w:rsidP="008A116B" w14:textId="123B88D3">
      <w:pPr>
        <w:pStyle w:val="Heading12"/>
        <w:rPr>
          <w:lang w:val="fi-FI"/>
        </w:rPr>
      </w:pPr>
      <w:bookmarkStart w:id="1499" w:name="RG_MARKER_7519"/>
      <w:r w:rsidRPr="008A116B">
        <w:rPr>
          <w:lang w:val="fi-FI"/>
        </w:rPr>
        <w:t>7.</w:t>
      </w:r>
      <w:bookmarkEnd w:id="1499"/>
      <w:r>
        <w:rPr>
          <w:lang w:val="fi-FI"/>
        </w:rPr>
        <w:t>4</w:t>
      </w:r>
      <w:r w:rsidRPr="008A116B">
        <w:rPr>
          <w:lang w:val="fi-FI"/>
        </w:rPr>
        <w:t>. TILIN</w:t>
      </w:r>
      <w:r>
        <w:rPr>
          <w:lang w:val="fi-FI"/>
        </w:rPr>
        <w:t>PÄÄTÖSPÄIVÄN JÄLKEISET TAPAHTUMAT</w:t>
      </w:r>
    </w:p>
    <w:p w:rsidR="00830D4F" w:rsidP="00830D4F" w14:paraId="1187BABF" w14:textId="591AD750">
      <w:pPr>
        <w:pStyle w:val="Bodytext2"/>
        <w:rPr>
          <w:lang w:val="fi-FI"/>
        </w:rPr>
      </w:pPr>
    </w:p>
    <w:p w:rsidR="00062108" w:rsidRPr="00062108" w:rsidP="00062108" w14:paraId="4F1ACA8C" w14:textId="77777777">
      <w:pPr>
        <w:autoSpaceDE w:val="0"/>
        <w:autoSpaceDN w:val="0"/>
        <w:adjustRightInd w:val="0"/>
        <w:spacing w:after="0" w:line="240" w:lineRule="auto"/>
        <w:rPr>
          <w:rFonts w:ascii="Arial" w:hAnsi="Arial" w:cs="Arial"/>
          <w:color w:val="111111"/>
          <w:sz w:val="15"/>
          <w:szCs w:val="17"/>
          <w:lang w:val="fi-FI"/>
        </w:rPr>
      </w:pPr>
      <w:r w:rsidRPr="00062108">
        <w:rPr>
          <w:rFonts w:ascii="Arial" w:hAnsi="Arial" w:cs="Arial"/>
          <w:color w:val="111111"/>
          <w:sz w:val="15"/>
          <w:szCs w:val="17"/>
          <w:lang w:val="fi-FI"/>
        </w:rPr>
        <w:t>14.1.2022 Wärtsilä on myynyt säiliönohjausjärjestelmät-liiketoimintayksikön tanskalaiselle Svanehøj’lle, joka</w:t>
      </w:r>
    </w:p>
    <w:p w:rsidR="00062108" w:rsidRPr="00062108" w:rsidP="00062108" w14:paraId="75C2FA4A" w14:textId="51D93187">
      <w:pPr>
        <w:pStyle w:val="Bodytext2"/>
        <w:rPr>
          <w:lang w:val="fi-FI"/>
        </w:rPr>
      </w:pPr>
      <w:r w:rsidRPr="00062108">
        <w:rPr>
          <w:lang w:val="fi-FI"/>
        </w:rPr>
        <w:t>suunnittelee ja valmistaa kaasualan erikoispumppuja.</w:t>
      </w:r>
    </w:p>
    <w:p w:rsidR="00062108" w:rsidRPr="00830D4F" w:rsidP="00830D4F" w14:paraId="54C3081B" w14:textId="77777777">
      <w:pPr>
        <w:pStyle w:val="Bodytext2"/>
        <w:rPr>
          <w:lang w:val="fi-FI"/>
        </w:rPr>
      </w:pPr>
    </w:p>
    <w:p w:rsidR="008A116B" w:rsidRPr="00830D4F" w:rsidP="008A116B" w14:textId="39D12117">
      <w:pPr>
        <w:pStyle w:val="Bodytext2"/>
        <w:rPr>
          <w:lang w:val="fi-FI"/>
        </w:rPr>
      </w:pPr>
      <w:r>
        <w:rPr>
          <w:lang w:val="fi-FI"/>
        </w:rPr>
        <w:t>Tapahtuman</w:t>
      </w:r>
      <w:r w:rsidRPr="00830D4F">
        <w:rPr>
          <w:lang w:val="fi-FI"/>
        </w:rPr>
        <w:t xml:space="preserve"> vaikut</w:t>
      </w:r>
      <w:r>
        <w:rPr>
          <w:lang w:val="fi-FI"/>
        </w:rPr>
        <w:t>uksen</w:t>
      </w:r>
      <w:r w:rsidRPr="00830D4F">
        <w:rPr>
          <w:lang w:val="fi-FI"/>
        </w:rPr>
        <w:t xml:space="preserve"> </w:t>
      </w:r>
      <w:r w:rsidRPr="00830D4F">
        <w:rPr>
          <w:lang w:val="fi-FI"/>
        </w:rPr>
        <w:t>ei o</w:t>
      </w:r>
      <w:r>
        <w:rPr>
          <w:lang w:val="fi-FI"/>
        </w:rPr>
        <w:t>do</w:t>
      </w:r>
      <w:r w:rsidRPr="00830D4F">
        <w:rPr>
          <w:lang w:val="fi-FI"/>
        </w:rPr>
        <w:t>teta olevan olennainen</w:t>
      </w:r>
      <w:r w:rsidRPr="00926B8E">
        <w:rPr>
          <w:lang w:val="fi-FI"/>
        </w:rPr>
        <w:t xml:space="preserve"> </w:t>
      </w:r>
      <w:r w:rsidRPr="00830D4F">
        <w:rPr>
          <w:lang w:val="fi-FI"/>
        </w:rPr>
        <w:t>tilikauden 202</w:t>
      </w:r>
      <w:r>
        <w:rPr>
          <w:lang w:val="fi-FI"/>
        </w:rPr>
        <w:t>2</w:t>
      </w:r>
      <w:r w:rsidRPr="00830D4F">
        <w:rPr>
          <w:lang w:val="fi-FI"/>
        </w:rPr>
        <w:t xml:space="preserve"> tulokseen</w:t>
      </w:r>
      <w:r>
        <w:rPr>
          <w:lang w:val="fi-FI"/>
        </w:rPr>
        <w:t>.</w:t>
      </w:r>
      <w:r w:rsidRPr="007552D9">
        <w:rPr>
          <w:lang w:val="fi-FI"/>
        </w:rPr>
        <w:br w:type="page"/>
      </w:r>
    </w:p>
    <w:p w:rsidR="004A0DF2" w:rsidRPr="007552D9" w:rsidP="008A116B" w14:paraId="32F966A5" w14:textId="77777777">
      <w:pPr>
        <w:pStyle w:val="Bodytext2"/>
        <w:rPr>
          <w:sz w:val="2"/>
          <w:szCs w:val="2"/>
          <w:lang w:val="fi-FI"/>
        </w:rPr>
      </w:pPr>
      <w:r>
        <w:t xml:space="preserve"> </w:t>
      </w:r>
    </w:p>
    <w:p w:rsidR="002642EE" w:rsidRPr="00BF7C4A" w:rsidP="002642EE" w14:textId="2F172D03">
      <w:pPr>
        <w:pStyle w:val="Heading10"/>
        <w:rPr>
          <w:lang w:val="fi-FI"/>
        </w:rPr>
      </w:pPr>
      <w:bookmarkStart w:id="1500" w:name="RG_MARKER_7388"/>
      <w:bookmarkStart w:id="1501" w:name="RG_MARKER_7153"/>
      <w:r w:rsidRPr="00BF7C4A">
        <w:rPr>
          <w:lang w:val="fi-FI"/>
        </w:rPr>
        <w:t>EMOYHTIÖN TILINPÄÄTÖS</w:t>
      </w:r>
      <w:bookmarkEnd w:id="1501"/>
      <w:bookmarkEnd w:id="1500"/>
      <w:r>
        <w:rPr>
          <w:lang w:val="fi-FI"/>
        </w:rPr>
        <w:t xml:space="preserve"> (FAS)</w:t>
      </w:r>
    </w:p>
    <w:p w:rsidR="005A7A09" w:rsidRPr="00BF7C4A" w:rsidP="005A7A09" w14:paraId="6C3A2890" w14:textId="2710EAB7">
      <w:pPr>
        <w:pStyle w:val="Heading10"/>
        <w:rPr>
          <w:lang w:val="fi-FI"/>
        </w:rPr>
      </w:pPr>
      <w:r w:rsidRPr="00BF7C4A">
        <w:rPr>
          <w:lang w:val="fi-FI"/>
        </w:rPr>
        <w:t>EMOYHTIÖN TULOSLASKELMA</w:t>
      </w:r>
    </w:p>
    <w:tbl>
      <w:tblPr>
        <w:tblStyle w:val="TableNormal"/>
        <w:tblCaption w:val="parent_IS"/>
        <w:tblDescription w:val="Parent company income statement (FAS)"/>
        <w:tblW w:w="7365" w:type="dxa"/>
        <w:tblLayout w:type="fixed"/>
        <w:tblLook w:val="0600"/>
      </w:tblPr>
      <w:tblGrid>
        <w:gridCol w:w="4185"/>
        <w:gridCol w:w="1365"/>
        <w:gridCol w:w="1365"/>
        <w:gridCol w:w="450"/>
      </w:tblGrid>
      <w:tr>
        <w:tblPrEx>
          <w:tblW w:w="7365" w:type="dxa"/>
          <w:tblLayout w:type="fixed"/>
          <w:tblLook w:val="0600"/>
        </w:tblPrEx>
        <w:trPr>
          <w:trHeight w:hRule="exact" w:val="240"/>
        </w:trPr>
        <w:tc>
          <w:tcPr>
            <w:tcW w:w="4185"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365" w:type="dxa"/>
            <w:tcBorders>
              <w:top w:val="nil"/>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365"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c>
          <w:tcPr>
            <w:tcW w:w="450"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Liite</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8" w:space="0" w:color="0F172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Liiketoiminnan muut tuotot</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109</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93</w:t>
            </w:r>
          </w:p>
        </w:tc>
        <w:tc>
          <w:tcPr>
            <w:tcW w:w="45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Henkilöstökulut</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-45</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-38</w:t>
            </w:r>
          </w:p>
        </w:tc>
        <w:tc>
          <w:tcPr>
            <w:tcW w:w="45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Poistot ja arvonalentumiset</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w:t>
            </w:r>
          </w:p>
        </w:tc>
        <w:tc>
          <w:tcPr>
            <w:tcW w:w="45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Liiketoiminnan muut kulut</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-92</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-89</w:t>
            </w: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Liiketulos</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-33</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-39</w:t>
            </w: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Rahoitustuotot ja -kulut</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226</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305</w:t>
            </w:r>
          </w:p>
        </w:tc>
        <w:tc>
          <w:tcPr>
            <w:tcW w:w="45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Tulos ennen tilinpäätössiirtoja ja veroja</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194</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266</w:t>
            </w: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Tilinpäätössiirrot</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Tulos ennen veroja</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194</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268</w:t>
            </w: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Tuloverot</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c>
          <w:tcPr>
            <w:tcW w:w="45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4" w:space="0" w:color="004A6B"/>
              <w:left w:val="nil"/>
              <w:bottom w:val="single" w:sz="8" w:space="0" w:color="0F172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Tilikauden tulos</w:t>
            </w:r>
          </w:p>
        </w:tc>
        <w:tc>
          <w:tcPr>
            <w:tcW w:w="1365" w:type="dxa"/>
            <w:tcBorders>
              <w:top w:val="single" w:sz="8" w:space="0" w:color="0F172B"/>
              <w:left w:val="nil"/>
              <w:bottom w:val="single" w:sz="8" w:space="0" w:color="000000"/>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188</w:t>
            </w:r>
          </w:p>
        </w:tc>
        <w:tc>
          <w:tcPr>
            <w:tcW w:w="136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265</w:t>
            </w:r>
          </w:p>
        </w:tc>
        <w:tc>
          <w:tcPr>
            <w:tcW w:w="450" w:type="dxa"/>
            <w:tcBorders>
              <w:top w:val="single" w:sz="8" w:space="0" w:color="0F172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bl>
    <w:p w:rsidR="005A7A09" w:rsidRPr="000C56A4" w:rsidP="005A7A09" w14:paraId="2A1A42B5" w14:textId="03ED0E03">
      <w:pPr>
        <w:pStyle w:val="Bodytext2"/>
        <w:rPr>
          <w:sz w:val="2"/>
          <w:szCs w:val="2"/>
          <w:lang w:val="fi-FI"/>
        </w:rPr>
      </w:pPr>
      <w:r w:rsidRPr="000C56A4">
        <w:rPr>
          <w:sz w:val="2"/>
          <w:szCs w:val="2"/>
          <w:lang w:val="fi-FI"/>
        </w:rPr>
        <w:br w:type="column"/>
      </w:r>
    </w:p>
    <w:p w:rsidR="002642EE" w:rsidRPr="003C4448" w:rsidP="002642EE" w14:textId="5AD1FD11">
      <w:pPr>
        <w:pStyle w:val="Heading10"/>
        <w:rPr>
          <w:lang w:val="fi-FI"/>
        </w:rPr>
      </w:pPr>
      <w:bookmarkStart w:id="1502" w:name="RG_MARKER_7389"/>
      <w:r w:rsidRPr="003C4448">
        <w:rPr>
          <w:lang w:val="fi-FI"/>
        </w:rPr>
        <w:t>EMOYHTIÖN TASE</w:t>
      </w:r>
      <w:bookmarkEnd w:id="1502"/>
    </w:p>
    <w:tbl>
      <w:tblPr>
        <w:tblStyle w:val="TableNormal"/>
        <w:tblCaption w:val="parent_BS_1"/>
        <w:tblDescription w:val="Parent company balance sheet (FAS)"/>
        <w:tblW w:w="7365" w:type="dxa"/>
        <w:tblLayout w:type="fixed"/>
        <w:tblLook w:val="0600"/>
      </w:tblPr>
      <w:tblGrid>
        <w:gridCol w:w="4185"/>
        <w:gridCol w:w="1365"/>
        <w:gridCol w:w="1365"/>
        <w:gridCol w:w="450"/>
      </w:tblGrid>
      <w:tr>
        <w:tblPrEx>
          <w:tblW w:w="7365" w:type="dxa"/>
          <w:tblLayout w:type="fixed"/>
          <w:tblLook w:val="0600"/>
        </w:tblPrEx>
        <w:trPr>
          <w:trHeight w:hRule="exact" w:val="240"/>
        </w:trPr>
        <w:tc>
          <w:tcPr>
            <w:tcW w:w="4185"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365" w:type="dxa"/>
            <w:tcBorders>
              <w:top w:val="nil"/>
              <w:left w:val="nil"/>
              <w:bottom w:val="single" w:sz="8" w:space="0" w:color="000000"/>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365"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c>
          <w:tcPr>
            <w:tcW w:w="450"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Liite</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8" w:space="0" w:color="000000"/>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VASTAAVAA</w:t>
            </w: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Pysyvät vastaavat</w:t>
            </w: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Aineettomat hyödykkeet</w:t>
            </w: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pitkävaikutteiset menot</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Aineettomat oikeudet ja keskeneräiset hankinnat</w:t>
            </w:r>
          </w:p>
        </w:tc>
        <w:tc>
          <w:tcPr>
            <w:tcW w:w="1365"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136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450"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c>
          <w:tcPr>
            <w:tcW w:w="136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w:t>
            </w:r>
          </w:p>
        </w:tc>
        <w:tc>
          <w:tcPr>
            <w:tcW w:w="45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Aineelliset hyödykkeet</w:t>
            </w: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Maa- ja vesialueet</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Koneet, kalusto ja muut aineelliset hyödykkeet</w:t>
            </w:r>
          </w:p>
        </w:tc>
        <w:tc>
          <w:tcPr>
            <w:tcW w:w="1365"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136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c>
          <w:tcPr>
            <w:tcW w:w="450"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136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w:t>
            </w:r>
          </w:p>
        </w:tc>
        <w:tc>
          <w:tcPr>
            <w:tcW w:w="45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Sijoitukset</w:t>
            </w: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Osakkeet saman konsernin yrityksissä</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950</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950</w:t>
            </w: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osakkeet ja osuudet</w:t>
            </w:r>
          </w:p>
        </w:tc>
        <w:tc>
          <w:tcPr>
            <w:tcW w:w="1365"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136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450"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952</w:t>
            </w:r>
          </w:p>
        </w:tc>
        <w:tc>
          <w:tcPr>
            <w:tcW w:w="136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951</w:t>
            </w:r>
          </w:p>
        </w:tc>
        <w:tc>
          <w:tcPr>
            <w:tcW w:w="45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Pysyvät vastaavat yhteensä</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968</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969</w:t>
            </w: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Pitkäaikaiset saamiset</w:t>
            </w: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Saamiset saman konsernin yrityksiltä</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90</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90</w:t>
            </w:r>
          </w:p>
        </w:tc>
        <w:tc>
          <w:tcPr>
            <w:tcW w:w="45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Lainasaamiset</w:t>
            </w: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45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00000"/>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pitkäaikaiset saamiset</w:t>
            </w:r>
          </w:p>
        </w:tc>
        <w:tc>
          <w:tcPr>
            <w:tcW w:w="1365"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365" w:type="dxa"/>
            <w:tcBorders>
              <w:top w:val="single" w:sz="4" w:space="0" w:color="004A6B"/>
              <w:left w:val="nil"/>
              <w:bottom w:val="single" w:sz="8" w:space="0" w:color="000000"/>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8" w:space="0" w:color="000000"/>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00000"/>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92</w:t>
            </w:r>
          </w:p>
        </w:tc>
        <w:tc>
          <w:tcPr>
            <w:tcW w:w="1365" w:type="dxa"/>
            <w:tcBorders>
              <w:top w:val="single" w:sz="8" w:space="0" w:color="000000"/>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91</w:t>
            </w:r>
          </w:p>
        </w:tc>
        <w:tc>
          <w:tcPr>
            <w:tcW w:w="450" w:type="dxa"/>
            <w:tcBorders>
              <w:top w:val="single" w:sz="8" w:space="0" w:color="000000"/>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22"/>
                <w:u w:val="none"/>
                <w:vertAlign w:val="baseline"/>
              </w:rPr>
            </w:pPr>
          </w:p>
        </w:tc>
        <w:tc>
          <w:tcPr>
            <w:tcW w:w="1365" w:type="dxa"/>
            <w:tcBorders>
              <w:top w:val="single" w:sz="4" w:space="0" w:color="004A6B"/>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22"/>
                <w:u w:val="none"/>
                <w:vertAlign w:val="baseline"/>
              </w:rPr>
            </w:pPr>
          </w:p>
        </w:tc>
        <w:tc>
          <w:tcPr>
            <w:tcW w:w="1365" w:type="dxa"/>
            <w:tcBorders>
              <w:top w:val="single" w:sz="4" w:space="0" w:color="004A6B"/>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22"/>
                <w:u w:val="none"/>
                <w:vertAlign w:val="baseline"/>
              </w:rPr>
            </w:pPr>
          </w:p>
        </w:tc>
        <w:tc>
          <w:tcPr>
            <w:tcW w:w="450" w:type="dxa"/>
            <w:tcBorders>
              <w:top w:val="single" w:sz="4" w:space="0" w:color="004A6B"/>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22"/>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22"/>
                <w:u w:val="none"/>
                <w:vertAlign w:val="baseline"/>
              </w:rPr>
            </w:pPr>
          </w:p>
        </w:tc>
        <w:tc>
          <w:tcPr>
            <w:tcW w:w="136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22"/>
                <w:u w:val="none"/>
                <w:vertAlign w:val="baseline"/>
              </w:rPr>
            </w:pPr>
          </w:p>
        </w:tc>
        <w:tc>
          <w:tcPr>
            <w:tcW w:w="136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22"/>
                <w:u w:val="none"/>
                <w:vertAlign w:val="baseline"/>
              </w:rPr>
            </w:pPr>
          </w:p>
        </w:tc>
        <w:tc>
          <w:tcPr>
            <w:tcW w:w="450"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22"/>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22"/>
                <w:u w:val="none"/>
                <w:vertAlign w:val="baseline"/>
              </w:rPr>
            </w:pPr>
          </w:p>
        </w:tc>
        <w:tc>
          <w:tcPr>
            <w:tcW w:w="136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22"/>
                <w:u w:val="none"/>
                <w:vertAlign w:val="baseline"/>
              </w:rPr>
            </w:pPr>
          </w:p>
        </w:tc>
        <w:tc>
          <w:tcPr>
            <w:tcW w:w="136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22"/>
                <w:u w:val="none"/>
                <w:vertAlign w:val="baseline"/>
              </w:rPr>
            </w:pPr>
          </w:p>
        </w:tc>
        <w:tc>
          <w:tcPr>
            <w:tcW w:w="450"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22"/>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22"/>
                <w:u w:val="none"/>
                <w:vertAlign w:val="baseline"/>
              </w:rPr>
            </w:pPr>
          </w:p>
        </w:tc>
        <w:tc>
          <w:tcPr>
            <w:tcW w:w="136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22"/>
                <w:u w:val="none"/>
                <w:vertAlign w:val="baseline"/>
              </w:rPr>
            </w:pPr>
          </w:p>
        </w:tc>
        <w:tc>
          <w:tcPr>
            <w:tcW w:w="136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22"/>
                <w:u w:val="none"/>
                <w:vertAlign w:val="baseline"/>
              </w:rPr>
            </w:pPr>
          </w:p>
        </w:tc>
        <w:tc>
          <w:tcPr>
            <w:tcW w:w="450"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22"/>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22"/>
                <w:u w:val="none"/>
                <w:vertAlign w:val="baseline"/>
              </w:rPr>
            </w:pPr>
          </w:p>
        </w:tc>
        <w:tc>
          <w:tcPr>
            <w:tcW w:w="136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22"/>
                <w:u w:val="none"/>
                <w:vertAlign w:val="baseline"/>
              </w:rPr>
            </w:pPr>
          </w:p>
        </w:tc>
        <w:tc>
          <w:tcPr>
            <w:tcW w:w="1365"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22"/>
                <w:u w:val="none"/>
                <w:vertAlign w:val="baseline"/>
              </w:rPr>
            </w:pPr>
          </w:p>
        </w:tc>
        <w:tc>
          <w:tcPr>
            <w:tcW w:w="450"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22"/>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70"/>
        </w:trPr>
        <w:tc>
          <w:tcPr>
            <w:tcW w:w="4185" w:type="dxa"/>
            <w:tcBorders>
              <w:top w:val="nil"/>
              <w:left w:val="nil"/>
              <w:bottom w:val="single" w:sz="4" w:space="0" w:color="000000"/>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Lyhytaikaiset saamiset</w:t>
            </w:r>
          </w:p>
        </w:tc>
        <w:tc>
          <w:tcPr>
            <w:tcW w:w="1365" w:type="dxa"/>
            <w:tcBorders>
              <w:top w:val="nil"/>
              <w:left w:val="nil"/>
              <w:bottom w:val="single" w:sz="4" w:space="0" w:color="000000"/>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nil"/>
              <w:left w:val="nil"/>
              <w:bottom w:val="single" w:sz="4" w:space="0" w:color="000000"/>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nil"/>
              <w:left w:val="nil"/>
              <w:bottom w:val="single" w:sz="4" w:space="0" w:color="000000"/>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70"/>
        </w:trPr>
        <w:tc>
          <w:tcPr>
            <w:tcW w:w="4185" w:type="dxa"/>
            <w:tcBorders>
              <w:top w:val="single" w:sz="4" w:space="0" w:color="000000"/>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Myyntisaamiset</w:t>
            </w:r>
          </w:p>
        </w:tc>
        <w:tc>
          <w:tcPr>
            <w:tcW w:w="1365" w:type="dxa"/>
            <w:tcBorders>
              <w:top w:val="single" w:sz="4" w:space="0" w:color="000000"/>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0000"/>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450" w:type="dxa"/>
            <w:tcBorders>
              <w:top w:val="single" w:sz="4" w:space="0" w:color="000000"/>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Saamiset saman konsernin yrityksiltä</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1 776</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1 846</w:t>
            </w:r>
          </w:p>
        </w:tc>
        <w:tc>
          <w:tcPr>
            <w:tcW w:w="45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saamiset</w:t>
            </w: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Siirtosaamiset</w:t>
            </w:r>
          </w:p>
        </w:tc>
        <w:tc>
          <w:tcPr>
            <w:tcW w:w="1365"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22</w:t>
            </w:r>
          </w:p>
        </w:tc>
        <w:tc>
          <w:tcPr>
            <w:tcW w:w="136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41</w:t>
            </w:r>
          </w:p>
        </w:tc>
        <w:tc>
          <w:tcPr>
            <w:tcW w:w="45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1 798</w:t>
            </w:r>
          </w:p>
        </w:tc>
        <w:tc>
          <w:tcPr>
            <w:tcW w:w="136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1 889</w:t>
            </w:r>
          </w:p>
        </w:tc>
        <w:tc>
          <w:tcPr>
            <w:tcW w:w="45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Rahat ja pankkisaamiset</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685</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699</w:t>
            </w: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Vaihtuvat vastaavat yhteensä</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2 575</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2 680</w:t>
            </w: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8" w:space="0" w:color="0F172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Vastaavaa yhteensä</w:t>
            </w:r>
          </w:p>
        </w:tc>
        <w:tc>
          <w:tcPr>
            <w:tcW w:w="1365"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3 543</w:t>
            </w:r>
          </w:p>
        </w:tc>
        <w:tc>
          <w:tcPr>
            <w:tcW w:w="136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3 649</w:t>
            </w:r>
          </w:p>
        </w:tc>
        <w:tc>
          <w:tcPr>
            <w:tcW w:w="450" w:type="dxa"/>
            <w:tcBorders>
              <w:top w:val="single" w:sz="8" w:space="0" w:color="0F172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bl>
    <w:p w:rsidR="00E804F9" w:rsidRPr="003C4448" w:rsidP="00E804F9" w14:paraId="03AFBCEF" w14:textId="77777777">
      <w:pPr>
        <w:pStyle w:val="Bodytext2"/>
        <w:rPr>
          <w:lang w:val="fi-FI"/>
        </w:rPr>
      </w:pPr>
    </w:p>
    <w:tbl>
      <w:tblPr>
        <w:tblStyle w:val="TableNormal"/>
        <w:tblCaption w:val="parent_BS_2"/>
        <w:tblW w:w="7365" w:type="dxa"/>
        <w:tblLayout w:type="fixed"/>
        <w:tblLook w:val="0600"/>
      </w:tblPr>
      <w:tblGrid>
        <w:gridCol w:w="4185"/>
        <w:gridCol w:w="1365"/>
        <w:gridCol w:w="1365"/>
        <w:gridCol w:w="450"/>
      </w:tblGrid>
      <w:tr>
        <w:tblPrEx>
          <w:tblW w:w="7365" w:type="dxa"/>
          <w:tblLayout w:type="fixed"/>
          <w:tblLook w:val="0600"/>
        </w:tblPrEx>
        <w:trPr>
          <w:trHeight w:hRule="exact" w:val="240"/>
        </w:trPr>
        <w:tc>
          <w:tcPr>
            <w:tcW w:w="4185"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365" w:type="dxa"/>
            <w:tcBorders>
              <w:top w:val="nil"/>
              <w:left w:val="nil"/>
              <w:bottom w:val="single" w:sz="8" w:space="0" w:color="000000"/>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365"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c>
          <w:tcPr>
            <w:tcW w:w="450"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Liite</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8" w:space="0" w:color="000000"/>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VASTATTAVAA</w:t>
            </w: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Oma pääoma</w:t>
            </w: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Osakepääoma</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336</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336</w:t>
            </w: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Ylikurssirahasto</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61</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61</w:t>
            </w: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Omat osakkeet</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w:t>
            </w: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Kertyneet voittovarat</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856</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709</w:t>
            </w: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Tilikauden tulos</w:t>
            </w:r>
          </w:p>
        </w:tc>
        <w:tc>
          <w:tcPr>
            <w:tcW w:w="1365"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188</w:t>
            </w:r>
          </w:p>
        </w:tc>
        <w:tc>
          <w:tcPr>
            <w:tcW w:w="136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265</w:t>
            </w:r>
          </w:p>
        </w:tc>
        <w:tc>
          <w:tcPr>
            <w:tcW w:w="450"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Oma pääoma yhteensä</w:t>
            </w:r>
          </w:p>
        </w:tc>
        <w:tc>
          <w:tcPr>
            <w:tcW w:w="1365"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1 423</w:t>
            </w:r>
          </w:p>
        </w:tc>
        <w:tc>
          <w:tcPr>
            <w:tcW w:w="136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1 371</w:t>
            </w:r>
          </w:p>
        </w:tc>
        <w:tc>
          <w:tcPr>
            <w:tcW w:w="45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Tilinpäätössiirtojen kertymä</w:t>
            </w: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Poistoero</w:t>
            </w: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Pakolliset varaukset</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w:t>
            </w: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Vieras pääoma</w:t>
            </w: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Pitkäaikainen</w:t>
            </w:r>
          </w:p>
        </w:tc>
        <w:tc>
          <w:tcPr>
            <w:tcW w:w="136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Lainat rahoituslaitoksilta</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694</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953</w:t>
            </w: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00000"/>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pitkäaikaiset velat</w:t>
            </w:r>
          </w:p>
        </w:tc>
        <w:tc>
          <w:tcPr>
            <w:tcW w:w="1365" w:type="dxa"/>
            <w:tcBorders>
              <w:top w:val="single" w:sz="4" w:space="0" w:color="004A6B"/>
              <w:left w:val="nil"/>
              <w:bottom w:val="single" w:sz="8" w:space="0" w:color="000000"/>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365" w:type="dxa"/>
            <w:tcBorders>
              <w:top w:val="single" w:sz="4" w:space="0" w:color="004A6B"/>
              <w:left w:val="nil"/>
              <w:bottom w:val="single" w:sz="8" w:space="0" w:color="000000"/>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8" w:space="0" w:color="000000"/>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00000"/>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365" w:type="dxa"/>
            <w:tcBorders>
              <w:top w:val="single" w:sz="8" w:space="0" w:color="000000"/>
              <w:left w:val="nil"/>
              <w:bottom w:val="nil"/>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695</w:t>
            </w:r>
          </w:p>
        </w:tc>
        <w:tc>
          <w:tcPr>
            <w:tcW w:w="1365" w:type="dxa"/>
            <w:tcBorders>
              <w:top w:val="single" w:sz="8" w:space="0" w:color="000000"/>
              <w:left w:val="nil"/>
              <w:bottom w:val="nil"/>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953</w:t>
            </w:r>
          </w:p>
        </w:tc>
        <w:tc>
          <w:tcPr>
            <w:tcW w:w="450" w:type="dxa"/>
            <w:tcBorders>
              <w:top w:val="single" w:sz="8" w:space="0" w:color="000000"/>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nil"/>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Lyhytaikainen</w:t>
            </w:r>
          </w:p>
        </w:tc>
        <w:tc>
          <w:tcPr>
            <w:tcW w:w="1365" w:type="dxa"/>
            <w:tcBorders>
              <w:top w:val="nil"/>
              <w:left w:val="nil"/>
              <w:bottom w:val="single" w:sz="4" w:space="0" w:color="000000"/>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nil"/>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nil"/>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Lainat rahoituslaitoksilta</w:t>
            </w:r>
          </w:p>
        </w:tc>
        <w:tc>
          <w:tcPr>
            <w:tcW w:w="1365" w:type="dxa"/>
            <w:tcBorders>
              <w:top w:val="single" w:sz="4" w:space="0" w:color="000000"/>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70</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130</w:t>
            </w: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Ostovelat</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Velat saman konsernin yrityksille</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1 294</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1 129</w:t>
            </w:r>
          </w:p>
        </w:tc>
        <w:tc>
          <w:tcPr>
            <w:tcW w:w="45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lyhytaikaiset velat</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singl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Siirtovelat</w:t>
            </w:r>
          </w:p>
        </w:tc>
        <w:tc>
          <w:tcPr>
            <w:tcW w:w="1365" w:type="dxa"/>
            <w:tcBorders>
              <w:top w:val="single" w:sz="4" w:space="0" w:color="004A6B"/>
              <w:left w:val="nil"/>
              <w:bottom w:val="single" w:sz="8" w:space="0" w:color="000000"/>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40</w:t>
            </w:r>
          </w:p>
        </w:tc>
        <w:tc>
          <w:tcPr>
            <w:tcW w:w="136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44</w:t>
            </w:r>
          </w:p>
        </w:tc>
        <w:tc>
          <w:tcPr>
            <w:tcW w:w="45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365" w:type="dxa"/>
            <w:tcBorders>
              <w:top w:val="single" w:sz="8" w:space="0" w:color="000000"/>
              <w:left w:val="nil"/>
              <w:bottom w:val="single" w:sz="4" w:space="0" w:color="000000"/>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1 416</w:t>
            </w:r>
          </w:p>
        </w:tc>
        <w:tc>
          <w:tcPr>
            <w:tcW w:w="136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1 310</w:t>
            </w:r>
          </w:p>
        </w:tc>
        <w:tc>
          <w:tcPr>
            <w:tcW w:w="45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365" w:type="dxa"/>
            <w:tcBorders>
              <w:top w:val="single" w:sz="4" w:space="0" w:color="000000"/>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Vieras pääoma yhteensä</w:t>
            </w:r>
          </w:p>
        </w:tc>
        <w:tc>
          <w:tcPr>
            <w:tcW w:w="136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2 111</w:t>
            </w:r>
          </w:p>
        </w:tc>
        <w:tc>
          <w:tcPr>
            <w:tcW w:w="13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2 263</w:t>
            </w:r>
          </w:p>
        </w:tc>
        <w:tc>
          <w:tcPr>
            <w:tcW w:w="4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8" w:space="0" w:color="000000"/>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36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450"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Vastattavaa yhteensä</w:t>
            </w:r>
          </w:p>
        </w:tc>
        <w:tc>
          <w:tcPr>
            <w:tcW w:w="1365" w:type="dxa"/>
            <w:tcBorders>
              <w:top w:val="single" w:sz="8" w:space="0" w:color="000000"/>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3543</w:t>
            </w:r>
          </w:p>
        </w:tc>
        <w:tc>
          <w:tcPr>
            <w:tcW w:w="136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3 649</w:t>
            </w:r>
          </w:p>
        </w:tc>
        <w:tc>
          <w:tcPr>
            <w:tcW w:w="450" w:type="dxa"/>
            <w:tcBorders>
              <w:top w:val="single" w:sz="8" w:space="0" w:color="0F172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bl>
    <w:p w:rsidR="00E804F9" w:rsidRPr="003C4448" w:rsidP="00E804F9" w14:paraId="44E666B1" w14:textId="1505D7EF">
      <w:pPr>
        <w:pStyle w:val="Bodytext2"/>
        <w:rPr>
          <w:sz w:val="2"/>
          <w:szCs w:val="2"/>
        </w:rPr>
      </w:pPr>
      <w:r w:rsidRPr="003C4448">
        <w:rPr>
          <w:sz w:val="2"/>
          <w:szCs w:val="2"/>
        </w:rPr>
        <w:br w:type="column"/>
      </w:r>
    </w:p>
    <w:p w:rsidR="002642EE" w:rsidRPr="00CA3ABF" w:rsidP="002642EE" w14:textId="5C0AB706">
      <w:pPr>
        <w:pStyle w:val="Heading10"/>
        <w:rPr>
          <w:lang w:val="fi-FI"/>
        </w:rPr>
      </w:pPr>
      <w:bookmarkStart w:id="1503" w:name="RG_MARKER_7390"/>
      <w:r w:rsidRPr="00CA3ABF">
        <w:rPr>
          <w:lang w:val="fi-FI"/>
        </w:rPr>
        <w:t>EMOYHTIÖN RA</w:t>
      </w:r>
      <w:bookmarkEnd w:id="1503"/>
      <w:r>
        <w:rPr>
          <w:lang w:val="fi-FI"/>
        </w:rPr>
        <w:t>HAVIRTALASKELMA</w:t>
      </w:r>
    </w:p>
    <w:tbl>
      <w:tblPr>
        <w:tblStyle w:val="TableNormal"/>
        <w:tblCaption w:val="parent_CF"/>
        <w:tblDescription w:val="Parent company cash flow statement (FAS)"/>
        <w:tblW w:w="7365" w:type="dxa"/>
        <w:tblLayout w:type="fixed"/>
        <w:tblLook w:val="0600"/>
      </w:tblPr>
      <w:tblGrid>
        <w:gridCol w:w="4185"/>
        <w:gridCol w:w="1590"/>
        <w:gridCol w:w="1590"/>
      </w:tblGrid>
      <w:tr>
        <w:tblPrEx>
          <w:tblW w:w="7365" w:type="dxa"/>
          <w:tblLayout w:type="fixed"/>
          <w:tblLook w:val="0600"/>
        </w:tblPrEx>
        <w:trPr>
          <w:trHeight w:hRule="exact" w:val="240"/>
        </w:trPr>
        <w:tc>
          <w:tcPr>
            <w:tcW w:w="4185"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590" w:type="dxa"/>
            <w:tcBorders>
              <w:top w:val="nil"/>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590"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590" w:type="dxa"/>
            <w:tcBorders>
              <w:top w:val="single" w:sz="8" w:space="0" w:color="0F172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Liiketoiminnan rahavirta:</w:t>
            </w: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Tulos ennen tilinpäätössiirtoja ja veroja</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194</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266</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Oikaisut:</w:t>
            </w: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Poistot ja arvonalentumiset</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Käyttöomaisuuden myyntivoitot ja -tappiot</w:t>
            </w: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Rahoitustuotot ja -kulut</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-226</w:t>
            </w:r>
          </w:p>
        </w:tc>
        <w:tc>
          <w:tcPr>
            <w:tcW w:w="159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-305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Liiketoiminnan rahavirta ennen käyttöpääoman muutosta</w:t>
            </w:r>
          </w:p>
        </w:tc>
        <w:tc>
          <w:tcPr>
            <w:tcW w:w="1590"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-29</w:t>
            </w:r>
          </w:p>
        </w:tc>
        <w:tc>
          <w:tcPr>
            <w:tcW w:w="159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-36</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Käyttöpääoman muutos:</w:t>
            </w: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Korottomien liikesaamisten lisäys (-) / vähennys (+)</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Korottomien velkojen lisäys (+) / vähennys (-)</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159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590"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w:t>
            </w:r>
          </w:p>
        </w:tc>
        <w:tc>
          <w:tcPr>
            <w:tcW w:w="159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18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Liiketoiminnan rahavirta ennen rahoituseriä ja veroja</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-44</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-47</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Korko- ja rahoituskulut</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-21</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Saadut osingot liiketoiminnasta</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211</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301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Korko- ja rahoitustuotot liiketoiminnasta</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36</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Maksetut verot</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159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590"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221</w:t>
            </w:r>
          </w:p>
        </w:tc>
        <w:tc>
          <w:tcPr>
            <w:tcW w:w="159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301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590" w:type="dxa"/>
            <w:tcBorders>
              <w:top w:val="single" w:sz="4" w:space="0" w:color="004A6B"/>
              <w:left w:val="nil"/>
              <w:bottom w:val="single" w:sz="8" w:space="0" w:color="0F172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Liiketoiminnan rahavirta</w:t>
            </w:r>
          </w:p>
        </w:tc>
        <w:tc>
          <w:tcPr>
            <w:tcW w:w="1590" w:type="dxa"/>
            <w:tcBorders>
              <w:top w:val="single" w:sz="8" w:space="0" w:color="0F172B"/>
              <w:left w:val="nil"/>
              <w:bottom w:val="single" w:sz="8" w:space="0" w:color="000000"/>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177</w:t>
            </w:r>
          </w:p>
        </w:tc>
        <w:tc>
          <w:tcPr>
            <w:tcW w:w="1590"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590" w:type="dxa"/>
            <w:tcBorders>
              <w:top w:val="single" w:sz="8" w:space="0" w:color="000000"/>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Investointien rahavirta:</w:t>
            </w: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Investoinnit aineellisiin ja aineettomiin hyödykkeisiin</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Luovutustulot aineellisista ja aineettomista hyödykkeistä</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59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Investointien rahavirta</w:t>
            </w:r>
          </w:p>
        </w:tc>
        <w:tc>
          <w:tcPr>
            <w:tcW w:w="1590" w:type="dxa"/>
            <w:tcBorders>
              <w:top w:val="single" w:sz="8" w:space="0" w:color="0F172B"/>
              <w:left w:val="nil"/>
              <w:bottom w:val="single" w:sz="8" w:space="0" w:color="000000"/>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1590"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590" w:type="dxa"/>
            <w:tcBorders>
              <w:top w:val="single" w:sz="8" w:space="0" w:color="000000"/>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Rahavirta investointien jälkeen </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176</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257</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Rahoituksen rahavirta:</w:t>
            </w: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Lainasaamisten lisäys (-) / vähennys (+)</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97</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355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Lyhytaikaisten lainojen lisäys (+) / vähennys (-)</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175</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Pitkäaikaisten lainojen nostot</w:t>
            </w: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245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Pitkäaikaisten lainojen takaisinmaksut ja muut muutokset</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-326</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Omien osakkeiden osto</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w:t>
            </w: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Konserniavustukset</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Maksetut osingot</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-118</w:t>
            </w:r>
          </w:p>
        </w:tc>
        <w:tc>
          <w:tcPr>
            <w:tcW w:w="159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-284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Rahoituksen rahavirta</w:t>
            </w:r>
          </w:p>
        </w:tc>
        <w:tc>
          <w:tcPr>
            <w:tcW w:w="1590" w:type="dxa"/>
            <w:tcBorders>
              <w:top w:val="single" w:sz="8" w:space="0" w:color="0F172B"/>
              <w:left w:val="nil"/>
              <w:bottom w:val="single" w:sz="8" w:space="0" w:color="000000"/>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-189</w:t>
            </w:r>
          </w:p>
        </w:tc>
        <w:tc>
          <w:tcPr>
            <w:tcW w:w="1590"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329</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590" w:type="dxa"/>
            <w:tcBorders>
              <w:top w:val="single" w:sz="8" w:space="0" w:color="000000"/>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8" w:space="0" w:color="000000"/>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185" w:type="dxa"/>
            <w:tcBorders>
              <w:top w:val="single" w:sz="8" w:space="0" w:color="0F172B"/>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Rahavarojen muutos, lisäys (+) / vähennys (-)</w:t>
            </w:r>
          </w:p>
        </w:tc>
        <w:tc>
          <w:tcPr>
            <w:tcW w:w="1590" w:type="dxa"/>
            <w:tcBorders>
              <w:top w:val="single" w:sz="8" w:space="0" w:color="0F172B"/>
              <w:left w:val="nil"/>
              <w:bottom w:val="single" w:sz="8" w:space="0" w:color="000000"/>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w:t>
            </w:r>
          </w:p>
        </w:tc>
        <w:tc>
          <w:tcPr>
            <w:tcW w:w="1590"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586</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590" w:type="dxa"/>
            <w:tcBorders>
              <w:top w:val="single" w:sz="8" w:space="0" w:color="000000"/>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Rahat ja pankkisaamiset tilikauden alussa</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699</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Rahat ja pankkisaamiset tilikauden lopussa</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685</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699</w:t>
            </w:r>
          </w:p>
        </w:tc>
      </w:tr>
    </w:tbl>
    <w:p w:rsidR="004A0DF2" w:rsidRPr="00A10E42" w:rsidP="00CA3ABF" w14:textId="2C7F0311">
      <w:pPr>
        <w:pStyle w:val="Bodytext2"/>
        <w:rPr>
          <w:sz w:val="2"/>
          <w:szCs w:val="2"/>
          <w:lang w:val="fi-FI"/>
        </w:rPr>
      </w:pPr>
      <w:r w:rsidRPr="00A10E42">
        <w:rPr>
          <w:sz w:val="2"/>
          <w:szCs w:val="2"/>
          <w:lang w:val="fi-FI"/>
        </w:rPr>
        <w:br w:type="column"/>
      </w:r>
    </w:p>
    <w:p w:rsidR="005A57E4" w:rsidP="005A57E4" w14:paraId="16719F0B" w14:textId="7879FB07">
      <w:pPr>
        <w:pStyle w:val="Heading10"/>
        <w:rPr>
          <w:lang w:val="fi-FI"/>
        </w:rPr>
      </w:pPr>
      <w:bookmarkStart w:id="1504" w:name="RG_MARKER_7391"/>
      <w:r w:rsidRPr="005A57E4">
        <w:rPr>
          <w:lang w:val="fi-FI"/>
        </w:rPr>
        <w:t>E</w:t>
      </w:r>
      <w:bookmarkEnd w:id="1504"/>
      <w:r>
        <w:rPr>
          <w:lang w:val="fi-FI"/>
        </w:rPr>
        <w:t>MOYHTIÖN TILINPÄÄTÖKSEN LAADINTAPERIAATTEET</w:t>
      </w:r>
    </w:p>
    <w:p w:rsidR="005A57E4" w:rsidRPr="005A57E4" w:rsidP="005A57E4" w14:paraId="7CD529C7" w14:textId="77777777">
      <w:pPr>
        <w:pStyle w:val="Bodytext2"/>
        <w:rPr>
          <w:lang w:val="fi-FI"/>
        </w:rPr>
      </w:pPr>
      <w:r w:rsidRPr="005A57E4">
        <w:rPr>
          <w:lang w:val="fi-FI"/>
        </w:rPr>
        <w:t>Wärtsilä Oyj Abp:n tilinpäätös on laadittu Suomen kirjanpitosäännösten mukaisesti (FAS).</w:t>
      </w:r>
    </w:p>
    <w:p w:rsidR="005A57E4" w:rsidRPr="005A57E4" w:rsidP="005A57E4" w14:paraId="18B0BE2B" w14:textId="77777777">
      <w:pPr>
        <w:pStyle w:val="Bodytext2"/>
        <w:rPr>
          <w:lang w:val="fi-FI"/>
        </w:rPr>
      </w:pPr>
    </w:p>
    <w:p w:rsidR="005A57E4" w:rsidP="005A57E4" w14:paraId="4F7C294C" w14:textId="13355E04">
      <w:pPr>
        <w:pStyle w:val="Bodytext2"/>
        <w:rPr>
          <w:lang w:val="fi-FI"/>
        </w:rPr>
      </w:pPr>
      <w:r w:rsidRPr="005A57E4">
        <w:rPr>
          <w:lang w:val="fi-FI"/>
        </w:rPr>
        <w:t xml:space="preserve">Tilinpäätöstä laatiessaan yhtiön johto joutuu voimassa olevien määräysten ja hyvän kirjanpitotavan mukaisesti </w:t>
      </w:r>
      <w:r w:rsidRPr="005A57E4">
        <w:rPr>
          <w:lang w:val="fi-FI"/>
        </w:rPr>
        <w:t>tekemään arvioita ja olettamuksia, jotka vaikuttavat tilinpäätöserien arvostukseen ja jaksotukseen. Toteutuvat luvut voivat poiketa tehdyistä arvioista.</w:t>
      </w:r>
    </w:p>
    <w:p w:rsidR="005A57E4" w:rsidRPr="005A57E4" w:rsidP="005A57E4" w14:paraId="01647C4D" w14:textId="77777777">
      <w:pPr>
        <w:pStyle w:val="Bodytext2"/>
        <w:rPr>
          <w:lang w:val="fi-FI"/>
        </w:rPr>
      </w:pPr>
    </w:p>
    <w:p w:rsidR="005A57E4" w:rsidRPr="005A57E4" w:rsidP="005A57E4" w14:paraId="694932DB" w14:textId="77777777">
      <w:pPr>
        <w:pStyle w:val="Heading12"/>
        <w:rPr>
          <w:lang w:val="fi-FI"/>
        </w:rPr>
      </w:pPr>
      <w:r w:rsidRPr="005A57E4">
        <w:rPr>
          <w:lang w:val="fi-FI"/>
        </w:rPr>
        <w:t>Ulkomaanrahan määräiset tapahtumat ja johdannaissopimukset</w:t>
      </w:r>
    </w:p>
    <w:p w:rsidR="005A57E4" w:rsidRPr="005A57E4" w:rsidP="005A57E4" w14:paraId="47B91639" w14:textId="77777777">
      <w:pPr>
        <w:pStyle w:val="Bodytext2"/>
        <w:rPr>
          <w:lang w:val="fi-FI"/>
        </w:rPr>
      </w:pPr>
      <w:r w:rsidRPr="005A57E4">
        <w:rPr>
          <w:lang w:val="fi-FI"/>
        </w:rPr>
        <w:t>Ulkomaanrahan määräiset liiketapahtumat kir</w:t>
      </w:r>
      <w:r w:rsidRPr="005A57E4">
        <w:rPr>
          <w:lang w:val="fi-FI"/>
        </w:rPr>
        <w:t>jataan tapahtumapäivän kurssiin. Tilinpäätöshetkellä taseessa olevat saatavat ja velat on arvostettu tilinpäätöskursseihin. Varsinaiseen liiketoimintaan liittyvät kurssivoitot ja -tappiot käsitellään liikevaihdon ja liiketoiminnan kulujen oikaisuerinä. Rah</w:t>
      </w:r>
      <w:r w:rsidRPr="005A57E4">
        <w:rPr>
          <w:lang w:val="fi-FI"/>
        </w:rPr>
        <w:t>oituksen kurssivoitot ja -tappiot kirjataan rahoituksen tuottoihin ja kuluihin.</w:t>
      </w:r>
    </w:p>
    <w:p w:rsidR="005A57E4" w:rsidRPr="005A57E4" w:rsidP="005A57E4" w14:paraId="22965C41" w14:textId="77777777">
      <w:pPr>
        <w:pStyle w:val="Bodytext2"/>
        <w:rPr>
          <w:lang w:val="fi-FI"/>
        </w:rPr>
      </w:pPr>
    </w:p>
    <w:p w:rsidR="005A57E4" w:rsidRPr="005A57E4" w:rsidP="005A57E4" w14:paraId="7D5DF164" w14:textId="77777777">
      <w:pPr>
        <w:pStyle w:val="Bodytext2"/>
        <w:rPr>
          <w:lang w:val="fi-FI"/>
        </w:rPr>
      </w:pPr>
      <w:r w:rsidRPr="005A57E4">
        <w:rPr>
          <w:lang w:val="fi-FI"/>
        </w:rPr>
        <w:t>Johdannaissopimukset arvostetaan käypiin arvoihin. Avoinna olevat valuuttamääräisten johdannaiset on arvostettu päivän arvoon korkotekijät huomioon ottaen. Koronvaihtosopimust</w:t>
      </w:r>
      <w:r w:rsidRPr="005A57E4">
        <w:rPr>
          <w:lang w:val="fi-FI"/>
        </w:rPr>
        <w:t>en käypä arvo lasketaan diskonttaamalla niihin liittyvät tulevat rahavirrat tarkasteluhetkeen. Käypien arvojen muutokset johdannaissopimuksista kirjataan välittömästi tulosvaikutteisesti rahoitustuottoihin tai –kuluihin.</w:t>
      </w:r>
    </w:p>
    <w:p w:rsidR="005A57E4" w:rsidP="005A57E4" w14:paraId="10964A51" w14:textId="77777777">
      <w:pPr>
        <w:pStyle w:val="Bodytext2"/>
        <w:rPr>
          <w:lang w:val="fi-FI"/>
        </w:rPr>
      </w:pPr>
    </w:p>
    <w:p w:rsidR="005A57E4" w:rsidRPr="005A57E4" w:rsidP="005A57E4" w14:paraId="180289FC" w14:textId="555A9F18">
      <w:pPr>
        <w:pStyle w:val="Heading12"/>
        <w:rPr>
          <w:lang w:val="fi-FI"/>
        </w:rPr>
      </w:pPr>
      <w:r w:rsidRPr="005A57E4">
        <w:rPr>
          <w:lang w:val="fi-FI"/>
        </w:rPr>
        <w:t>Tutkimus- ja kehitysmenot</w:t>
      </w:r>
    </w:p>
    <w:p w:rsidR="005A57E4" w:rsidRPr="005A57E4" w:rsidP="005A57E4" w14:paraId="697D4BDE" w14:textId="77777777">
      <w:pPr>
        <w:pStyle w:val="Bodytext2"/>
        <w:rPr>
          <w:lang w:val="fi-FI"/>
        </w:rPr>
      </w:pPr>
      <w:r w:rsidRPr="005A57E4">
        <w:rPr>
          <w:lang w:val="fi-FI"/>
        </w:rPr>
        <w:t>Tutkimus</w:t>
      </w:r>
      <w:r w:rsidRPr="005A57E4">
        <w:rPr>
          <w:lang w:val="fi-FI"/>
        </w:rPr>
        <w:t>- ja kehitysmenot kirjataan sen tilikauden kuluiksi, jolloin ne syntyvät.</w:t>
      </w:r>
    </w:p>
    <w:p w:rsidR="005A57E4" w:rsidP="005A57E4" w14:paraId="5430C0DD" w14:textId="77777777">
      <w:pPr>
        <w:pStyle w:val="Bodytext2"/>
        <w:rPr>
          <w:lang w:val="fi-FI"/>
        </w:rPr>
      </w:pPr>
    </w:p>
    <w:p w:rsidR="005A57E4" w:rsidRPr="005A57E4" w:rsidP="005A57E4" w14:paraId="06D4765E" w14:textId="70ADBCCC">
      <w:pPr>
        <w:pStyle w:val="Heading12"/>
        <w:rPr>
          <w:lang w:val="fi-FI"/>
        </w:rPr>
      </w:pPr>
      <w:r w:rsidRPr="005A57E4">
        <w:rPr>
          <w:lang w:val="fi-FI"/>
        </w:rPr>
        <w:t>Saamiset</w:t>
      </w:r>
    </w:p>
    <w:p w:rsidR="005A57E4" w:rsidRPr="005A57E4" w:rsidP="005A57E4" w14:paraId="302B90B8" w14:textId="77777777">
      <w:pPr>
        <w:pStyle w:val="Bodytext2"/>
        <w:rPr>
          <w:lang w:val="fi-FI"/>
        </w:rPr>
      </w:pPr>
      <w:r w:rsidRPr="005A57E4">
        <w:rPr>
          <w:lang w:val="fi-FI"/>
        </w:rPr>
        <w:t>Saamiset arvostetaan hankintamenoon tai sitä alempaan todennäköiseen arvoon.</w:t>
      </w:r>
    </w:p>
    <w:p w:rsidR="005A57E4" w:rsidP="005A57E4" w14:paraId="7D59A750" w14:textId="77777777">
      <w:pPr>
        <w:pStyle w:val="Bodytext2"/>
        <w:rPr>
          <w:lang w:val="fi-FI"/>
        </w:rPr>
      </w:pPr>
    </w:p>
    <w:p w:rsidR="005A57E4" w:rsidRPr="005A57E4" w:rsidP="005A57E4" w14:paraId="125BBA5D" w14:textId="610E5181">
      <w:pPr>
        <w:pStyle w:val="Heading12"/>
        <w:rPr>
          <w:lang w:val="fi-FI"/>
        </w:rPr>
      </w:pPr>
      <w:r w:rsidRPr="005A57E4">
        <w:rPr>
          <w:lang w:val="fi-FI"/>
        </w:rPr>
        <w:t>Pysyvät vastaavat ja poistot</w:t>
      </w:r>
    </w:p>
    <w:p w:rsidR="005A57E4" w:rsidRPr="005A57E4" w:rsidP="005A57E4" w14:paraId="513312AA" w14:textId="77777777">
      <w:pPr>
        <w:pStyle w:val="Bodytext2"/>
        <w:rPr>
          <w:lang w:val="fi-FI"/>
        </w:rPr>
      </w:pPr>
      <w:r w:rsidRPr="005A57E4">
        <w:rPr>
          <w:lang w:val="fi-FI"/>
        </w:rPr>
        <w:t xml:space="preserve">Pysyvät vastaavat merkitään taseeseen välittömään hankintamenoon </w:t>
      </w:r>
      <w:r w:rsidRPr="005A57E4">
        <w:rPr>
          <w:lang w:val="fi-FI"/>
        </w:rPr>
        <w:t>vähennettynä tehdyillä poistoilla ja arvonalennuksilla. Eräiden maa-alueiden tasearvoihin sisältyy arvonkorotuksia.</w:t>
      </w:r>
    </w:p>
    <w:p w:rsidR="005A57E4" w:rsidRPr="005A57E4" w:rsidP="005A57E4" w14:paraId="2F5FECBC" w14:textId="77777777">
      <w:pPr>
        <w:pStyle w:val="Bodytext2"/>
        <w:rPr>
          <w:lang w:val="fi-FI"/>
        </w:rPr>
      </w:pPr>
    </w:p>
    <w:p w:rsidR="005A57E4" w:rsidRPr="005A57E4" w:rsidP="005A57E4" w14:paraId="0E09AE22" w14:textId="77777777">
      <w:pPr>
        <w:pStyle w:val="Bodytext2"/>
        <w:rPr>
          <w:lang w:val="fi-FI"/>
        </w:rPr>
      </w:pPr>
      <w:r w:rsidRPr="005A57E4">
        <w:rPr>
          <w:lang w:val="fi-FI"/>
        </w:rPr>
        <w:t>Poistojen perusteena olevat pysyvien vastaavien pitoajat ovat:</w:t>
      </w:r>
    </w:p>
    <w:p w:rsidR="005A57E4" w:rsidRPr="005A57E4" w:rsidP="005A57E4" w14:paraId="137E608D" w14:textId="0DB00F25">
      <w:pPr>
        <w:pStyle w:val="Bodytext2"/>
        <w:rPr>
          <w:lang w:val="fi-FI"/>
        </w:rPr>
      </w:pPr>
      <w:r w:rsidRPr="005A57E4">
        <w:rPr>
          <w:lang w:val="fi-FI"/>
        </w:rPr>
        <w:t>Muut pitkävaikutteiset menot</w:t>
      </w:r>
      <w:r>
        <w:rPr>
          <w:lang w:val="fi-FI"/>
        </w:rPr>
        <w:tab/>
      </w:r>
      <w:r w:rsidRPr="005A57E4">
        <w:rPr>
          <w:lang w:val="fi-FI"/>
        </w:rPr>
        <w:t>3-10 vuotta</w:t>
      </w:r>
    </w:p>
    <w:p w:rsidR="005A57E4" w:rsidRPr="005A57E4" w:rsidP="005A57E4" w14:paraId="724AB824" w14:textId="2F28D678">
      <w:pPr>
        <w:pStyle w:val="Bodytext2"/>
        <w:rPr>
          <w:lang w:val="fi-FI"/>
        </w:rPr>
      </w:pPr>
      <w:r w:rsidRPr="005A57E4">
        <w:rPr>
          <w:lang w:val="fi-FI"/>
        </w:rPr>
        <w:t>Rakennukset</w:t>
      </w:r>
      <w:r>
        <w:rPr>
          <w:lang w:val="fi-FI"/>
        </w:rPr>
        <w:tab/>
      </w:r>
      <w:r>
        <w:rPr>
          <w:lang w:val="fi-FI"/>
        </w:rPr>
        <w:tab/>
      </w:r>
      <w:r w:rsidRPr="005A57E4">
        <w:rPr>
          <w:lang w:val="fi-FI"/>
        </w:rPr>
        <w:t>20-40 vuotta</w:t>
      </w:r>
    </w:p>
    <w:p w:rsidR="005A57E4" w:rsidRPr="005A57E4" w:rsidP="005A57E4" w14:paraId="378742C0" w14:textId="6E6D2E0F">
      <w:pPr>
        <w:pStyle w:val="Bodytext2"/>
        <w:rPr>
          <w:lang w:val="fi-FI"/>
        </w:rPr>
      </w:pPr>
      <w:r w:rsidRPr="005A57E4">
        <w:rPr>
          <w:lang w:val="fi-FI"/>
        </w:rPr>
        <w:t>Koneet ja</w:t>
      </w:r>
      <w:r w:rsidRPr="005A57E4">
        <w:rPr>
          <w:lang w:val="fi-FI"/>
        </w:rPr>
        <w:t xml:space="preserve"> kalusto</w:t>
      </w:r>
      <w:r>
        <w:rPr>
          <w:lang w:val="fi-FI"/>
        </w:rPr>
        <w:tab/>
      </w:r>
      <w:r>
        <w:rPr>
          <w:lang w:val="fi-FI"/>
        </w:rPr>
        <w:tab/>
      </w:r>
      <w:r w:rsidRPr="005A57E4">
        <w:rPr>
          <w:lang w:val="fi-FI"/>
        </w:rPr>
        <w:t>5-20 vuotta</w:t>
      </w:r>
    </w:p>
    <w:p w:rsidR="005A57E4" w:rsidP="005A57E4" w14:paraId="13937A57" w14:textId="77777777">
      <w:pPr>
        <w:pStyle w:val="Heading12"/>
        <w:rPr>
          <w:lang w:val="fi-FI"/>
        </w:rPr>
      </w:pPr>
    </w:p>
    <w:p w:rsidR="005A57E4" w:rsidP="005A57E4" w14:paraId="50D61ABA" w14:textId="77777777">
      <w:pPr>
        <w:pStyle w:val="Heading12"/>
        <w:rPr>
          <w:lang w:val="fi-FI"/>
        </w:rPr>
      </w:pPr>
    </w:p>
    <w:p w:rsidR="005A57E4" w:rsidRPr="005A57E4" w:rsidP="005A57E4" w14:paraId="5B189B63" w14:textId="6D8CE264">
      <w:pPr>
        <w:pStyle w:val="Heading12"/>
        <w:rPr>
          <w:lang w:val="fi-FI"/>
        </w:rPr>
      </w:pPr>
      <w:r w:rsidRPr="005A57E4">
        <w:rPr>
          <w:lang w:val="fi-FI"/>
        </w:rPr>
        <w:t>Leasing</w:t>
      </w:r>
    </w:p>
    <w:p w:rsidR="005A57E4" w:rsidRPr="005A57E4" w:rsidP="005A57E4" w14:paraId="66CC8CCE" w14:textId="77777777">
      <w:pPr>
        <w:pStyle w:val="Bodytext2"/>
        <w:rPr>
          <w:lang w:val="fi-FI"/>
        </w:rPr>
      </w:pPr>
      <w:r w:rsidRPr="005A57E4">
        <w:rPr>
          <w:lang w:val="fi-FI"/>
        </w:rPr>
        <w:t>Leasingmaksut on käsitelty vuokrakuluina.</w:t>
      </w:r>
    </w:p>
    <w:p w:rsidR="005A57E4" w:rsidP="005A57E4" w14:paraId="5013B65A" w14:textId="77777777">
      <w:pPr>
        <w:pStyle w:val="Bodytext2"/>
        <w:rPr>
          <w:lang w:val="fi-FI"/>
        </w:rPr>
      </w:pPr>
    </w:p>
    <w:p w:rsidR="005A57E4" w:rsidRPr="005A57E4" w:rsidP="005A57E4" w14:paraId="5042B86A" w14:textId="38DB4C87">
      <w:pPr>
        <w:pStyle w:val="Heading12"/>
        <w:rPr>
          <w:lang w:val="fi-FI"/>
        </w:rPr>
      </w:pPr>
      <w:r w:rsidRPr="005A57E4">
        <w:rPr>
          <w:lang w:val="fi-FI"/>
        </w:rPr>
        <w:t>Pakolliset varaukset</w:t>
      </w:r>
    </w:p>
    <w:p w:rsidR="005A57E4" w:rsidRPr="005A57E4" w:rsidP="005A57E4" w14:paraId="49254F8D" w14:textId="77777777">
      <w:pPr>
        <w:pStyle w:val="Bodytext2"/>
        <w:rPr>
          <w:lang w:val="fi-FI"/>
        </w:rPr>
      </w:pPr>
      <w:r w:rsidRPr="005A57E4">
        <w:rPr>
          <w:lang w:val="fi-FI"/>
        </w:rPr>
        <w:t xml:space="preserve">Pakollisina varauksina on taseessa esitetty eriä, jotka ovat joko sopimusperusteisia tai muuten sitovia velvoitteita, mutta jotka eivät vielä ole </w:t>
      </w:r>
      <w:r w:rsidRPr="005A57E4">
        <w:rPr>
          <w:lang w:val="fi-FI"/>
        </w:rPr>
        <w:t>realisoituneet. Pakollisten varausten muutokset sisältyvät tuloslaskelmaan.</w:t>
      </w:r>
    </w:p>
    <w:p w:rsidR="005A57E4" w:rsidP="005A57E4" w14:paraId="1C16FC57" w14:textId="77777777">
      <w:pPr>
        <w:pStyle w:val="Bodytext2"/>
        <w:rPr>
          <w:lang w:val="fi-FI"/>
        </w:rPr>
      </w:pPr>
    </w:p>
    <w:p w:rsidR="005A57E4" w:rsidRPr="005A57E4" w:rsidP="005A57E4" w14:paraId="3769BBB3" w14:textId="077E873E">
      <w:pPr>
        <w:pStyle w:val="Heading12"/>
        <w:rPr>
          <w:lang w:val="fi-FI"/>
        </w:rPr>
      </w:pPr>
      <w:r w:rsidRPr="005A57E4">
        <w:rPr>
          <w:lang w:val="fi-FI"/>
        </w:rPr>
        <w:t>Tuloverot</w:t>
      </w:r>
    </w:p>
    <w:p w:rsidR="005A57E4" w:rsidRPr="005A57E4" w:rsidP="005A57E4" w14:paraId="714F4F89" w14:textId="6899D872">
      <w:pPr>
        <w:pStyle w:val="Bodytext2"/>
        <w:rPr>
          <w:lang w:val="fi-FI"/>
        </w:rPr>
      </w:pPr>
      <w:r w:rsidRPr="005A57E4">
        <w:rPr>
          <w:lang w:val="fi-FI"/>
        </w:rPr>
        <w:t xml:space="preserve">Tuloslaskelmaan on tuloveroina kirjattu tilikauden tuloksesta Suomen verosäännösten perusteella lasketut verot sekä aikaisempien tilikausien verojen oikaisut. </w:t>
      </w:r>
    </w:p>
    <w:p w:rsidR="005A57E4" w:rsidP="005A57E4" w14:paraId="264D889C" w14:textId="77777777">
      <w:pPr>
        <w:pStyle w:val="Bodytext2"/>
        <w:rPr>
          <w:lang w:val="fi-FI"/>
        </w:rPr>
      </w:pPr>
    </w:p>
    <w:p w:rsidR="005A57E4" w:rsidRPr="005A57E4" w:rsidP="005A57E4" w14:paraId="0AAB26E5" w14:textId="0F25557E">
      <w:pPr>
        <w:pStyle w:val="Heading12"/>
        <w:rPr>
          <w:lang w:val="fi-FI"/>
        </w:rPr>
      </w:pPr>
      <w:r w:rsidRPr="005A57E4">
        <w:rPr>
          <w:lang w:val="fi-FI"/>
        </w:rPr>
        <w:t>Osingot</w:t>
      </w:r>
    </w:p>
    <w:p w:rsidR="005A57E4" w:rsidRPr="000B312C" w:rsidP="005A57E4" w14:paraId="7AA04076" w14:textId="40CC29E9">
      <w:pPr>
        <w:pStyle w:val="Bodytext2"/>
        <w:rPr>
          <w:sz w:val="2"/>
          <w:szCs w:val="2"/>
          <w:lang w:val="fi-FI"/>
        </w:rPr>
      </w:pPr>
      <w:r w:rsidRPr="005A57E4">
        <w:rPr>
          <w:lang w:val="fi-FI"/>
        </w:rPr>
        <w:t>Hallituksen yhtiökokoukselle ehdottamasta osingosta ei tilinpäätöksessä ole tehty kirjausta, vaan osingot otetaan huomioon vasta yhtiökokouksen päätöksen perusteella.</w:t>
      </w:r>
      <w:r w:rsidRPr="000B312C">
        <w:rPr>
          <w:sz w:val="2"/>
          <w:szCs w:val="2"/>
          <w:lang w:val="fi-FI"/>
        </w:rPr>
        <w:br w:type="column"/>
      </w:r>
    </w:p>
    <w:p w:rsidR="004A0DF2" w:rsidP="00CB03B3" w14:textId="650214C1">
      <w:pPr>
        <w:pStyle w:val="Heading11"/>
        <w:rPr>
          <w:lang w:val="fi-FI"/>
        </w:rPr>
      </w:pPr>
      <w:bookmarkStart w:id="1505" w:name="RG_MARKER_7392"/>
      <w:bookmarkStart w:id="1506" w:name="RG_MARKER_7299"/>
      <w:r>
        <w:rPr>
          <w:lang w:val="fi-FI"/>
        </w:rPr>
        <w:t>EMOYHTIÖN TILINPÄÄTÖKSEN LIITETIEDOT</w:t>
      </w:r>
      <w:bookmarkEnd w:id="1506"/>
      <w:bookmarkEnd w:id="1505"/>
    </w:p>
    <w:p w:rsidR="00CB03B3" w:rsidRPr="00B10026" w:rsidP="00CB03B3" w14:paraId="1BE31618" w14:textId="455B9A12">
      <w:pPr>
        <w:pStyle w:val="Heading11"/>
        <w:rPr>
          <w:lang w:val="fi-FI"/>
        </w:rPr>
      </w:pPr>
      <w:r w:rsidRPr="00B10026">
        <w:rPr>
          <w:lang w:val="fi-FI"/>
        </w:rPr>
        <w:t>1. LIIKETOIMINNAN MUUT TUOTOT</w:t>
      </w:r>
    </w:p>
    <w:tbl>
      <w:tblPr>
        <w:tblStyle w:val="TableNormal"/>
        <w:tblCaption w:val="parent_1"/>
        <w:tblDescription w:val="1. Other operating income"/>
        <w:tblW w:w="7365" w:type="dxa"/>
        <w:tblLayout w:type="fixed"/>
        <w:tblLook w:val="0600"/>
      </w:tblPr>
      <w:tblGrid>
        <w:gridCol w:w="4185"/>
        <w:gridCol w:w="1590"/>
        <w:gridCol w:w="1590"/>
      </w:tblGrid>
      <w:tr>
        <w:tblPrEx>
          <w:tblW w:w="7365" w:type="dxa"/>
          <w:tblLayout w:type="fixed"/>
          <w:tblLook w:val="0600"/>
        </w:tblPrEx>
        <w:trPr>
          <w:trHeight w:hRule="exact" w:val="240"/>
        </w:trPr>
        <w:tc>
          <w:tcPr>
            <w:tcW w:w="4185"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590" w:type="dxa"/>
            <w:tcBorders>
              <w:top w:val="nil"/>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590"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Vuokratuotot</w:t>
            </w:r>
          </w:p>
        </w:tc>
        <w:tc>
          <w:tcPr>
            <w:tcW w:w="1590"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159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Palvelut konserniyhtiöille</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105</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88</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00000"/>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Pysyvien vastaavien myyntivoitot</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590" w:type="dxa"/>
            <w:tcBorders>
              <w:top w:val="single" w:sz="4" w:space="0" w:color="004A6B"/>
              <w:left w:val="nil"/>
              <w:bottom w:val="single" w:sz="8" w:space="0" w:color="000000"/>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590" w:type="dxa"/>
            <w:tcBorders>
              <w:top w:val="nil"/>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109</w:t>
            </w:r>
          </w:p>
        </w:tc>
        <w:tc>
          <w:tcPr>
            <w:tcW w:w="1590"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93</w:t>
            </w:r>
          </w:p>
        </w:tc>
      </w:tr>
    </w:tbl>
    <w:p/>
    <w:p w:rsidR="009237E1" w:rsidRPr="00545125" w:rsidP="009237E1" w14:paraId="1B089ECF" w14:textId="77777777">
      <w:pPr>
        <w:pStyle w:val="Heading11"/>
        <w:rPr>
          <w:lang w:val="fi-FI"/>
        </w:rPr>
      </w:pPr>
      <w:bookmarkStart w:id="1507" w:name="RG_MARKER_7393"/>
      <w:r w:rsidRPr="00545125">
        <w:rPr>
          <w:lang w:val="fi-FI"/>
        </w:rPr>
        <w:t>2. HENKILÖSTÖKULUT</w:t>
      </w:r>
      <w:bookmarkEnd w:id="1507"/>
    </w:p>
    <w:tbl>
      <w:tblPr>
        <w:tblStyle w:val="TableNormal"/>
        <w:tblCaption w:val="parent_2"/>
        <w:tblDescription w:val="2. Personnel expenses"/>
        <w:tblW w:w="7365" w:type="dxa"/>
        <w:tblLayout w:type="fixed"/>
        <w:tblLook w:val="0600"/>
      </w:tblPr>
      <w:tblGrid>
        <w:gridCol w:w="4185"/>
        <w:gridCol w:w="1590"/>
        <w:gridCol w:w="1590"/>
      </w:tblGrid>
      <w:tr>
        <w:tblPrEx>
          <w:tblW w:w="7365" w:type="dxa"/>
          <w:tblLayout w:type="fixed"/>
          <w:tblLook w:val="0600"/>
        </w:tblPrEx>
        <w:trPr>
          <w:trHeight w:hRule="exact" w:val="240"/>
        </w:trPr>
        <w:tc>
          <w:tcPr>
            <w:tcW w:w="4185"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590" w:type="dxa"/>
            <w:tcBorders>
              <w:top w:val="nil"/>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590"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Palkat ja palkkiot</w:t>
            </w:r>
          </w:p>
        </w:tc>
        <w:tc>
          <w:tcPr>
            <w:tcW w:w="1590"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-38</w:t>
            </w:r>
          </w:p>
        </w:tc>
        <w:tc>
          <w:tcPr>
            <w:tcW w:w="159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Eläkekulut</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pakolliset henkilösivukulut</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59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590" w:type="dxa"/>
            <w:tcBorders>
              <w:top w:val="single" w:sz="8" w:space="0" w:color="0F172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-45</w:t>
            </w:r>
          </w:p>
        </w:tc>
        <w:tc>
          <w:tcPr>
            <w:tcW w:w="1590"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-38</w:t>
            </w:r>
          </w:p>
        </w:tc>
      </w:tr>
    </w:tbl>
    <w:p w:rsidR="009237E1" w:rsidRPr="00545125" w:rsidP="009237E1" w14:paraId="795F322F" w14:textId="54152DC8">
      <w:pPr>
        <w:pStyle w:val="Bodytext2"/>
        <w:rPr>
          <w:lang w:val="fi-FI"/>
        </w:rPr>
      </w:pPr>
    </w:p>
    <w:p w:rsidR="009237E1" w:rsidRPr="009237E1" w:rsidP="009237E1" w14:paraId="41C2AA09" w14:textId="3F5BD39E">
      <w:pPr>
        <w:pStyle w:val="Heading12"/>
        <w:rPr>
          <w:lang w:val="fi-FI"/>
        </w:rPr>
      </w:pPr>
      <w:r w:rsidRPr="009237E1">
        <w:rPr>
          <w:lang w:val="fi-FI"/>
        </w:rPr>
        <w:t>Maksetut palkat ja palkkiot</w:t>
      </w:r>
    </w:p>
    <w:p w:rsidR="009237E1" w:rsidP="009237E1" w14:paraId="4B57FAF6" w14:textId="33CB321B">
      <w:pPr>
        <w:pStyle w:val="Bodytext2"/>
        <w:rPr>
          <w:lang w:val="fi-FI"/>
        </w:rPr>
      </w:pPr>
      <w:r>
        <w:rPr>
          <w:lang w:val="fi-FI"/>
        </w:rPr>
        <w:t>Maksetut palkat ja palkkiot t</w:t>
      </w:r>
      <w:r w:rsidRPr="009237E1">
        <w:rPr>
          <w:lang w:val="fi-FI"/>
        </w:rPr>
        <w:t>oimitusjohtaja</w:t>
      </w:r>
      <w:r>
        <w:rPr>
          <w:lang w:val="fi-FI"/>
        </w:rPr>
        <w:t xml:space="preserve">lle </w:t>
      </w:r>
      <w:r w:rsidRPr="009237E1">
        <w:rPr>
          <w:lang w:val="fi-FI"/>
        </w:rPr>
        <w:t>ja hallituksen jäsen</w:t>
      </w:r>
      <w:r>
        <w:rPr>
          <w:lang w:val="fi-FI"/>
        </w:rPr>
        <w:t>ille oli 2</w:t>
      </w:r>
      <w:r>
        <w:rPr>
          <w:lang w:val="fi-FI"/>
        </w:rPr>
        <w:t xml:space="preserve"> milj. euroa (2)</w:t>
      </w:r>
      <w:r w:rsidRPr="009237E1">
        <w:rPr>
          <w:lang w:val="fi-FI"/>
        </w:rPr>
        <w:t xml:space="preserve">. </w:t>
      </w:r>
    </w:p>
    <w:p w:rsidR="009237E1" w:rsidP="009237E1" w14:paraId="603AA5BD" w14:textId="77777777">
      <w:pPr>
        <w:pStyle w:val="Bodytext2"/>
        <w:rPr>
          <w:lang w:val="fi-FI"/>
        </w:rPr>
      </w:pPr>
    </w:p>
    <w:p w:rsidR="009237E1" w:rsidRPr="009237E1" w:rsidP="009237E1" w14:paraId="3D249118" w14:textId="6ABF6379">
      <w:pPr>
        <w:pStyle w:val="Bodytext2"/>
        <w:rPr>
          <w:lang w:val="fi-FI"/>
        </w:rPr>
      </w:pPr>
      <w:r w:rsidRPr="009237E1">
        <w:rPr>
          <w:lang w:val="fi-FI"/>
        </w:rPr>
        <w:t xml:space="preserve">Emoyhtiön toimitusjohtajan oikeus siirtyä eläkkeelle on sovittu alkavaksi 63 vuoden iässä. </w:t>
      </w:r>
      <w:r w:rsidRPr="009237E1">
        <w:rPr>
          <w:lang w:val="fi-FI"/>
        </w:rPr>
        <w:t>Johtokunnan jäsenillä on oikeus jäädä eläkkeelle paikallisen eläkelainsäädännön mukaisesti. Yhdellä johtokunnan jäsenellä on oikeus jäädä eläkkeelle aiemmin, 60-vuotiaana.</w:t>
      </w:r>
    </w:p>
    <w:p w:rsidR="009237E1" w:rsidP="009237E1" w14:paraId="21DD0A57" w14:textId="77777777">
      <w:pPr>
        <w:pStyle w:val="Bodytext2"/>
        <w:rPr>
          <w:lang w:val="fi-FI"/>
        </w:rPr>
      </w:pPr>
    </w:p>
    <w:p w:rsidR="009237E1" w:rsidRPr="009237E1" w:rsidP="009237E1" w14:paraId="3EDF1691" w14:textId="0A3156D6">
      <w:pPr>
        <w:pStyle w:val="Bodytext2"/>
        <w:rPr>
          <w:lang w:val="fi-FI"/>
        </w:rPr>
      </w:pPr>
      <w:r w:rsidRPr="009237E1">
        <w:rPr>
          <w:lang w:val="fi-FI"/>
        </w:rPr>
        <w:t>Yhtiön hallitus päättää toimitusjohtajan sekä hänen suorien alaistensa palkoista ja</w:t>
      </w:r>
      <w:r w:rsidRPr="009237E1">
        <w:rPr>
          <w:lang w:val="fi-FI"/>
        </w:rPr>
        <w:t xml:space="preserve"> palkkioista.</w:t>
      </w:r>
    </w:p>
    <w:p w:rsidR="009237E1" w:rsidP="009237E1" w14:paraId="48AE168F" w14:textId="77777777">
      <w:pPr>
        <w:pStyle w:val="Bodytext2"/>
        <w:rPr>
          <w:lang w:val="fi-FI"/>
        </w:rPr>
      </w:pPr>
    </w:p>
    <w:p w:rsidR="009237E1" w:rsidRPr="009237E1" w:rsidP="009237E1" w14:paraId="0F719225" w14:textId="11237645">
      <w:pPr>
        <w:pStyle w:val="Bodytext2"/>
        <w:rPr>
          <w:lang w:val="fi-FI"/>
        </w:rPr>
      </w:pPr>
      <w:r w:rsidRPr="009237E1">
        <w:rPr>
          <w:lang w:val="fi-FI"/>
        </w:rPr>
        <w:t>Lisätiet</w:t>
      </w:r>
      <w:r>
        <w:rPr>
          <w:lang w:val="fi-FI"/>
        </w:rPr>
        <w:t>oja</w:t>
      </w:r>
      <w:r w:rsidRPr="009237E1">
        <w:rPr>
          <w:lang w:val="fi-FI"/>
        </w:rPr>
        <w:t xml:space="preserve"> johdon palkitsemista löytyy konsernin</w:t>
      </w:r>
      <w:r>
        <w:rPr>
          <w:lang w:val="fi-FI"/>
        </w:rPr>
        <w:t xml:space="preserve"> </w:t>
      </w:r>
      <w:r w:rsidRPr="009237E1">
        <w:rPr>
          <w:lang w:val="fi-FI"/>
        </w:rPr>
        <w:t>liitetiedos</w:t>
      </w:r>
      <w:r>
        <w:rPr>
          <w:lang w:val="fi-FI"/>
        </w:rPr>
        <w:t>t</w:t>
      </w:r>
      <w:r w:rsidRPr="009237E1">
        <w:rPr>
          <w:lang w:val="fi-FI"/>
        </w:rPr>
        <w:t xml:space="preserve">a </w:t>
      </w:r>
      <w:r>
        <w:rPr>
          <w:lang w:val="fi-FI"/>
        </w:rPr>
        <w:t>7.2</w:t>
      </w:r>
      <w:r w:rsidRPr="009237E1">
        <w:rPr>
          <w:lang w:val="fi-FI"/>
        </w:rPr>
        <w:t>.</w:t>
      </w:r>
      <w:r>
        <w:rPr>
          <w:lang w:val="fi-FI"/>
        </w:rPr>
        <w:t xml:space="preserve"> Lähipiiritapahtumat.</w:t>
      </w:r>
    </w:p>
    <w:p w:rsidR="009237E1" w:rsidRPr="009237E1" w:rsidP="009237E1" w14:paraId="34061E9C" w14:textId="77777777">
      <w:pPr>
        <w:pStyle w:val="Bodytext2"/>
        <w:rPr>
          <w:lang w:val="fi-FI"/>
        </w:rPr>
      </w:pPr>
    </w:p>
    <w:p w:rsidR="009237E1" w:rsidRPr="00545125" w:rsidP="009237E1" w14:paraId="4B8A4379" w14:textId="19CED307">
      <w:pPr>
        <w:pStyle w:val="Bodytext2"/>
        <w:rPr>
          <w:sz w:val="2"/>
          <w:szCs w:val="2"/>
          <w:lang w:val="fi-FI"/>
        </w:rPr>
      </w:pPr>
      <w:r w:rsidRPr="009237E1">
        <w:rPr>
          <w:lang w:val="fi-FI"/>
        </w:rPr>
        <w:t>Henkilöstö keskimäärin tilikauden aikana o</w:t>
      </w:r>
      <w:r>
        <w:rPr>
          <w:lang w:val="fi-FI"/>
        </w:rPr>
        <w:t>li 382 (373).</w:t>
      </w:r>
      <w:r w:rsidRPr="00545125">
        <w:rPr>
          <w:sz w:val="2"/>
          <w:szCs w:val="2"/>
          <w:lang w:val="fi-FI"/>
        </w:rPr>
        <w:br w:type="column"/>
      </w:r>
    </w:p>
    <w:p w:rsidR="006140AB" w:rsidRPr="006140AB" w:rsidP="006140AB" w14:paraId="101B1E22" w14:textId="77777777">
      <w:pPr>
        <w:pStyle w:val="Heading11"/>
        <w:rPr>
          <w:lang w:val="fi-FI"/>
        </w:rPr>
      </w:pPr>
      <w:bookmarkStart w:id="1508" w:name="RG_MARKER_7394"/>
      <w:r w:rsidRPr="006140AB">
        <w:rPr>
          <w:lang w:val="fi-FI"/>
        </w:rPr>
        <w:t>3. POISTOT JA ARVONALENTUMISET</w:t>
      </w:r>
      <w:bookmarkEnd w:id="1508"/>
    </w:p>
    <w:tbl>
      <w:tblPr>
        <w:tblStyle w:val="TableNormal"/>
        <w:tblCaption w:val="parent_3"/>
        <w:tblDescription w:val="3. Depreciation and amortisation"/>
        <w:tblW w:w="7365" w:type="dxa"/>
        <w:tblLayout w:type="fixed"/>
        <w:tblLook w:val="0600"/>
      </w:tblPr>
      <w:tblGrid>
        <w:gridCol w:w="4185"/>
        <w:gridCol w:w="1590"/>
        <w:gridCol w:w="1590"/>
      </w:tblGrid>
      <w:tr>
        <w:tblPrEx>
          <w:tblW w:w="7365" w:type="dxa"/>
          <w:tblLayout w:type="fixed"/>
          <w:tblLook w:val="0600"/>
        </w:tblPrEx>
        <w:trPr>
          <w:trHeight w:hRule="exact" w:val="240"/>
        </w:trPr>
        <w:tc>
          <w:tcPr>
            <w:tcW w:w="4185"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590" w:type="dxa"/>
            <w:tcBorders>
              <w:top w:val="nil"/>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590"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Suunnitelman mukaiset poistot</w:t>
            </w:r>
          </w:p>
        </w:tc>
        <w:tc>
          <w:tcPr>
            <w:tcW w:w="1590" w:type="dxa"/>
            <w:tcBorders>
              <w:top w:val="single" w:sz="8" w:space="0" w:color="0F172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pitkävaikutteiset menot</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Koneet ja kalusto</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159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Suunnitelman mukaiset poistot yhteensä</w:t>
            </w:r>
          </w:p>
        </w:tc>
        <w:tc>
          <w:tcPr>
            <w:tcW w:w="1590"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159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Kirjanpidon poistot yhteensä</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159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Poistoero</w:t>
            </w:r>
          </w:p>
        </w:tc>
        <w:tc>
          <w:tcPr>
            <w:tcW w:w="1590" w:type="dxa"/>
            <w:tcBorders>
              <w:top w:val="single" w:sz="8" w:space="0" w:color="0F172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Kertynyt poistoero tilikauden alussa</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59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Kertynyt poistoero tilikauden lopussa</w:t>
            </w:r>
          </w:p>
        </w:tc>
        <w:tc>
          <w:tcPr>
            <w:tcW w:w="1590" w:type="dxa"/>
            <w:tcBorders>
              <w:top w:val="single" w:sz="8" w:space="0" w:color="0F172B"/>
              <w:left w:val="nil"/>
              <w:bottom w:val="single" w:sz="8" w:space="0" w:color="0F172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bl>
    <w:p/>
    <w:p w:rsidR="00457246" w:rsidRPr="00530887" w:rsidP="00457246" w14:paraId="462BAE5F" w14:textId="22617118">
      <w:pPr>
        <w:pStyle w:val="Heading11"/>
        <w:rPr>
          <w:lang w:val="fi-FI"/>
        </w:rPr>
      </w:pPr>
      <w:bookmarkStart w:id="1509" w:name="RG_MARKER_7395"/>
      <w:r w:rsidRPr="00530887">
        <w:rPr>
          <w:lang w:val="fi-FI"/>
        </w:rPr>
        <w:t>4. RAHOITUSTUOTOT- JA KULUT</w:t>
      </w:r>
      <w:bookmarkEnd w:id="1509"/>
    </w:p>
    <w:tbl>
      <w:tblPr>
        <w:tblStyle w:val="TableNormal"/>
        <w:tblCaption w:val="parent_4"/>
        <w:tblDescription w:val="4. Financial income and expenses"/>
        <w:tblW w:w="7365" w:type="dxa"/>
        <w:tblLayout w:type="fixed"/>
        <w:tblLook w:val="0600"/>
      </w:tblPr>
      <w:tblGrid>
        <w:gridCol w:w="300"/>
        <w:gridCol w:w="3885"/>
        <w:gridCol w:w="1590"/>
        <w:gridCol w:w="1590"/>
      </w:tblGrid>
      <w:tr>
        <w:tblPrEx>
          <w:tblW w:w="7365" w:type="dxa"/>
          <w:tblLayout w:type="fixed"/>
          <w:tblLook w:val="0600"/>
        </w:tblPrEx>
        <w:trPr>
          <w:trHeight w:hRule="exact" w:val="240"/>
        </w:trPr>
        <w:tc>
          <w:tcPr>
            <w:tcW w:w="4185" w:type="dxa"/>
            <w:gridSpan w:val="2"/>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590" w:type="dxa"/>
            <w:tcBorders>
              <w:top w:val="nil"/>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590"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gridSpan w:val="2"/>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Osinkotuotot</w:t>
            </w:r>
          </w:p>
        </w:tc>
        <w:tc>
          <w:tcPr>
            <w:tcW w:w="1590" w:type="dxa"/>
            <w:tcBorders>
              <w:top w:val="single" w:sz="8" w:space="0" w:color="0F172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gridSpan w:val="2"/>
            <w:tcBorders>
              <w:top w:val="single" w:sz="4" w:space="0" w:color="004A6B"/>
              <w:left w:val="nil"/>
              <w:bottom w:val="single" w:sz="8" w:space="0" w:color="0F172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Saman konsernin yrityksiltä</w:t>
            </w:r>
          </w:p>
        </w:tc>
        <w:tc>
          <w:tcPr>
            <w:tcW w:w="1590" w:type="dxa"/>
            <w:tcBorders>
              <w:top w:val="single" w:sz="4" w:space="0" w:color="004A6B"/>
              <w:left w:val="nil"/>
              <w:bottom w:val="single" w:sz="8" w:space="0" w:color="000000"/>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211</w:t>
            </w:r>
          </w:p>
        </w:tc>
        <w:tc>
          <w:tcPr>
            <w:tcW w:w="159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301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gridSpan w:val="2"/>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590" w:type="dxa"/>
            <w:tcBorders>
              <w:top w:val="single" w:sz="8" w:space="0" w:color="000000"/>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211</w:t>
            </w:r>
          </w:p>
        </w:tc>
        <w:tc>
          <w:tcPr>
            <w:tcW w:w="159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301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38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gridSpan w:val="2"/>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korkotuotot</w:t>
            </w: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Saman konsernin yrityksiltä</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gridSpan w:val="2"/>
            <w:tcBorders>
              <w:top w:val="single" w:sz="4" w:space="0" w:color="004A6B"/>
              <w:left w:val="nil"/>
              <w:bottom w:val="single" w:sz="8" w:space="0" w:color="0F172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 xml:space="preserve">Muilta </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59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gridSpan w:val="2"/>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590"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19</w:t>
            </w:r>
          </w:p>
        </w:tc>
        <w:tc>
          <w:tcPr>
            <w:tcW w:w="159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29</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38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gridSpan w:val="2"/>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rahoitustuotot</w:t>
            </w: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Saman konsernin yrityksiltä</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gridSpan w:val="2"/>
            <w:tcBorders>
              <w:top w:val="single" w:sz="4" w:space="0" w:color="004A6B"/>
              <w:left w:val="nil"/>
              <w:bottom w:val="single" w:sz="8" w:space="0" w:color="0F172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 xml:space="preserve">Muilta </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c>
          <w:tcPr>
            <w:tcW w:w="159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gridSpan w:val="2"/>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590"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w:t>
            </w:r>
          </w:p>
        </w:tc>
        <w:tc>
          <w:tcPr>
            <w:tcW w:w="159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38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gridSpan w:val="2"/>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Kurssierot</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38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gridSpan w:val="2"/>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Korkokulut</w:t>
            </w: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Saman konsernin yrityksille</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gridSpan w:val="2"/>
            <w:tcBorders>
              <w:top w:val="single" w:sz="4" w:space="0" w:color="004A6B"/>
              <w:left w:val="nil"/>
              <w:bottom w:val="single" w:sz="8" w:space="0" w:color="0F172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Muille</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-8</w:t>
            </w:r>
          </w:p>
        </w:tc>
        <w:tc>
          <w:tcPr>
            <w:tcW w:w="159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gridSpan w:val="2"/>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590"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w:t>
            </w:r>
          </w:p>
        </w:tc>
        <w:tc>
          <w:tcPr>
            <w:tcW w:w="159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38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gridSpan w:val="2"/>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rahoituskulut</w:t>
            </w: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Saman konsernin yrityksille</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-18</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gridSpan w:val="2"/>
            <w:tcBorders>
              <w:top w:val="single" w:sz="4" w:space="0" w:color="004A6B"/>
              <w:left w:val="nil"/>
              <w:bottom w:val="single" w:sz="8" w:space="0" w:color="0F172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Muille</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159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-28</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gridSpan w:val="2"/>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590"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w:t>
            </w:r>
          </w:p>
        </w:tc>
        <w:tc>
          <w:tcPr>
            <w:tcW w:w="159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-46</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0"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388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8" w:space="0" w:color="0F172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gridSpan w:val="2"/>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Rahoitustuotot ja -kulut yhteensä</w:t>
            </w:r>
          </w:p>
        </w:tc>
        <w:tc>
          <w:tcPr>
            <w:tcW w:w="1590" w:type="dxa"/>
            <w:tcBorders>
              <w:top w:val="single" w:sz="8" w:space="0" w:color="0F172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226</w:t>
            </w:r>
          </w:p>
        </w:tc>
        <w:tc>
          <w:tcPr>
            <w:tcW w:w="1590"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305</w:t>
            </w:r>
          </w:p>
        </w:tc>
      </w:tr>
    </w:tbl>
    <w:p/>
    <w:p w:rsidR="002642EE" w:rsidP="00CF5D17" w14:paraId="39C59665" w14:textId="02AFF6E3">
      <w:pPr>
        <w:pStyle w:val="Heading11"/>
      </w:pPr>
      <w:bookmarkStart w:id="1510" w:name="RG_MARKER_7396"/>
      <w:r>
        <w:t>5. VEROT</w:t>
      </w:r>
      <w:bookmarkEnd w:id="1510"/>
    </w:p>
    <w:tbl>
      <w:tblPr>
        <w:tblStyle w:val="TableNormal"/>
        <w:tblCaption w:val="parent_5"/>
        <w:tblDescription w:val="5. Income taxes"/>
        <w:tblW w:w="7365" w:type="dxa"/>
        <w:tblLayout w:type="fixed"/>
        <w:tblLook w:val="0600"/>
      </w:tblPr>
      <w:tblGrid>
        <w:gridCol w:w="4185"/>
        <w:gridCol w:w="1590"/>
        <w:gridCol w:w="1590"/>
      </w:tblGrid>
      <w:tr>
        <w:tblPrEx>
          <w:tblW w:w="7365" w:type="dxa"/>
          <w:tblLayout w:type="fixed"/>
          <w:tblLook w:val="0600"/>
        </w:tblPrEx>
        <w:trPr>
          <w:trHeight w:hRule="exact" w:val="240"/>
        </w:trPr>
        <w:tc>
          <w:tcPr>
            <w:tcW w:w="4185"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590" w:type="dxa"/>
            <w:tcBorders>
              <w:top w:val="nil"/>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590"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18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Tuloverot</w:t>
            </w:r>
          </w:p>
        </w:tc>
        <w:tc>
          <w:tcPr>
            <w:tcW w:w="1590" w:type="dxa"/>
            <w:tcBorders>
              <w:top w:val="single" w:sz="8" w:space="0" w:color="0F172B"/>
              <w:left w:val="nil"/>
              <w:bottom w:val="single" w:sz="4" w:space="0" w:color="004A6B"/>
              <w:right w:val="nil"/>
              <w:tl2br w:val="nil"/>
              <w:tr2bl w:val="nil"/>
            </w:tcBorders>
            <w:shd w:val="clear" w:color="FFFFFF" w:fill="EBEBEB"/>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Tilikaudelta</w:t>
            </w:r>
          </w:p>
        </w:tc>
        <w:tc>
          <w:tcPr>
            <w:tcW w:w="1590" w:type="dxa"/>
            <w:tcBorders>
              <w:top w:val="single" w:sz="4" w:space="0" w:color="004A6B"/>
              <w:left w:val="nil"/>
              <w:bottom w:val="single" w:sz="8" w:space="0" w:color="000000"/>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159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590" w:type="dxa"/>
            <w:tcBorders>
              <w:top w:val="single" w:sz="8" w:space="0" w:color="000000"/>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159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bl>
    <w:p w:rsidR="004A0DF2" w:rsidRPr="00704D0D" w:rsidP="00CF5D17" w14:textId="07F3BD1C">
      <w:pPr>
        <w:pStyle w:val="Bodytext2"/>
        <w:rPr>
          <w:sz w:val="2"/>
          <w:szCs w:val="2"/>
        </w:rPr>
      </w:pPr>
      <w:r w:rsidRPr="00704D0D">
        <w:rPr>
          <w:sz w:val="2"/>
          <w:szCs w:val="2"/>
        </w:rPr>
        <w:br w:type="column"/>
      </w:r>
    </w:p>
    <w:p w:rsidR="00A84596" w:rsidRPr="00300563" w:rsidP="00A84596" w14:paraId="3BC6E39B" w14:textId="7A5B7F02">
      <w:pPr>
        <w:pStyle w:val="Heading11"/>
        <w:rPr>
          <w:lang w:val="fi-FI"/>
        </w:rPr>
      </w:pPr>
      <w:bookmarkStart w:id="1511" w:name="RG_MARKER_7397"/>
      <w:r w:rsidRPr="00300563">
        <w:rPr>
          <w:lang w:val="fi-FI"/>
        </w:rPr>
        <w:t>6. PYSYVÄT VASTAAVAT</w:t>
      </w:r>
      <w:bookmarkEnd w:id="1511"/>
    </w:p>
    <w:p w:rsidR="00A84596" w:rsidRPr="00300563" w:rsidP="00A84596" w14:paraId="58169676" w14:textId="77B2AF7F">
      <w:pPr>
        <w:pStyle w:val="Heading12"/>
        <w:rPr>
          <w:lang w:val="fi-FI"/>
        </w:rPr>
      </w:pPr>
      <w:r w:rsidRPr="00300563">
        <w:rPr>
          <w:lang w:val="fi-FI"/>
        </w:rPr>
        <w:t>Aineettomat oikeudet</w:t>
      </w:r>
    </w:p>
    <w:tbl>
      <w:tblPr>
        <w:tblStyle w:val="TableNormal"/>
        <w:tblCaption w:val="parent_6_1"/>
        <w:tblDescription w:val="6. Fixed assets "/>
        <w:tblW w:w="7365" w:type="dxa"/>
        <w:tblLayout w:type="fixed"/>
        <w:tblLook w:val="0600"/>
      </w:tblPr>
      <w:tblGrid>
        <w:gridCol w:w="2565"/>
        <w:gridCol w:w="795"/>
        <w:gridCol w:w="795"/>
        <w:gridCol w:w="810"/>
        <w:gridCol w:w="810"/>
        <w:gridCol w:w="795"/>
        <w:gridCol w:w="795"/>
      </w:tblGrid>
      <w:tr>
        <w:tblPrEx>
          <w:tblW w:w="7365" w:type="dxa"/>
          <w:tblLayout w:type="fixed"/>
          <w:tblLook w:val="0600"/>
        </w:tblPrEx>
        <w:trPr>
          <w:trHeight w:val="240"/>
        </w:trPr>
        <w:tc>
          <w:tcPr>
            <w:tcW w:w="2565"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795" w:type="dxa"/>
            <w:tcBorders>
              <w:top w:val="nil"/>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795" w:type="dxa"/>
            <w:tcBorders>
              <w:top w:val="nil"/>
              <w:left w:val="nil"/>
              <w:bottom w:val="single" w:sz="8" w:space="0" w:color="0F172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10" w:type="dxa"/>
            <w:tcBorders>
              <w:top w:val="nil"/>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Pitkä-</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vaikutteiset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menot</w:t>
            </w:r>
          </w:p>
        </w:tc>
        <w:tc>
          <w:tcPr>
            <w:tcW w:w="810" w:type="dxa"/>
            <w:tcBorders>
              <w:top w:val="nil"/>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Aineettomat</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oikeudet ja</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keskeneräi-</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set hankinnat</w:t>
            </w:r>
          </w:p>
        </w:tc>
        <w:tc>
          <w:tcPr>
            <w:tcW w:w="795" w:type="dxa"/>
            <w:tcBorders>
              <w:top w:val="nil"/>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795" w:type="dxa"/>
            <w:tcBorders>
              <w:top w:val="nil"/>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Hankintameno 1.1.</w:t>
            </w:r>
          </w:p>
        </w:tc>
        <w:tc>
          <w:tcPr>
            <w:tcW w:w="795" w:type="dxa"/>
            <w:tcBorders>
              <w:top w:val="single" w:sz="8" w:space="0" w:color="0F172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795" w:type="dxa"/>
            <w:tcBorders>
              <w:top w:val="single" w:sz="8" w:space="0" w:color="0F172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10"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117</w:t>
            </w:r>
          </w:p>
        </w:tc>
        <w:tc>
          <w:tcPr>
            <w:tcW w:w="810"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795" w:type="dxa"/>
            <w:tcBorders>
              <w:top w:val="single" w:sz="8" w:space="0" w:color="0F172B"/>
              <w:left w:val="nil"/>
              <w:bottom w:val="single" w:sz="4" w:space="0" w:color="004A6B"/>
              <w:right w:val="nil"/>
              <w:tl2br w:val="nil"/>
              <w:tr2bl w:val="nil"/>
            </w:tcBorders>
            <w:shd w:val="clear" w:color="FFFFFF" w:fill="EBEBEB"/>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118</w:t>
            </w:r>
          </w:p>
        </w:tc>
        <w:tc>
          <w:tcPr>
            <w:tcW w:w="795"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Lisäykset</w:t>
            </w:r>
          </w:p>
        </w:tc>
        <w:tc>
          <w:tcPr>
            <w:tcW w:w="79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1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1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795" w:type="dxa"/>
            <w:tcBorders>
              <w:top w:val="single" w:sz="4" w:space="0" w:color="004A6B"/>
              <w:left w:val="nil"/>
              <w:bottom w:val="single" w:sz="4" w:space="0" w:color="004A6B"/>
              <w:right w:val="nil"/>
              <w:tl2br w:val="nil"/>
              <w:tr2bl w:val="nil"/>
            </w:tcBorders>
            <w:shd w:val="clear" w:color="FFFFFF" w:fill="EBEBEB"/>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79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Vähennykset</w:t>
            </w:r>
          </w:p>
        </w:tc>
        <w:tc>
          <w:tcPr>
            <w:tcW w:w="795" w:type="dxa"/>
            <w:tcBorders>
              <w:top w:val="single" w:sz="4" w:space="0" w:color="004A6B"/>
              <w:left w:val="nil"/>
              <w:bottom w:val="single" w:sz="8" w:space="0" w:color="0F172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795" w:type="dxa"/>
            <w:tcBorders>
              <w:top w:val="single" w:sz="4" w:space="0" w:color="004A6B"/>
              <w:left w:val="nil"/>
              <w:bottom w:val="single" w:sz="8" w:space="0" w:color="0F172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10" w:type="dxa"/>
            <w:tcBorders>
              <w:top w:val="single" w:sz="4" w:space="0" w:color="004A6B"/>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810" w:type="dxa"/>
            <w:tcBorders>
              <w:top w:val="single" w:sz="4" w:space="0" w:color="004A6B"/>
              <w:left w:val="nil"/>
              <w:bottom w:val="single" w:sz="8" w:space="0" w:color="0F172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795" w:type="dxa"/>
            <w:tcBorders>
              <w:top w:val="single" w:sz="4" w:space="0" w:color="004A6B"/>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Hankintameno 31.12.</w:t>
            </w:r>
          </w:p>
        </w:tc>
        <w:tc>
          <w:tcPr>
            <w:tcW w:w="795" w:type="dxa"/>
            <w:tcBorders>
              <w:top w:val="single" w:sz="8" w:space="0" w:color="0F172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795" w:type="dxa"/>
            <w:tcBorders>
              <w:top w:val="single" w:sz="8" w:space="0" w:color="0F172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10"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113</w:t>
            </w:r>
          </w:p>
        </w:tc>
        <w:tc>
          <w:tcPr>
            <w:tcW w:w="810"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795" w:type="dxa"/>
            <w:tcBorders>
              <w:top w:val="single" w:sz="8" w:space="0" w:color="0F172B"/>
              <w:left w:val="nil"/>
              <w:bottom w:val="single" w:sz="4" w:space="0" w:color="004A6B"/>
              <w:right w:val="nil"/>
              <w:tl2br w:val="nil"/>
              <w:tr2bl w:val="nil"/>
            </w:tcBorders>
            <w:shd w:val="clear" w:color="FFFFFF" w:fill="EBEBEB"/>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116</w:t>
            </w:r>
          </w:p>
        </w:tc>
        <w:tc>
          <w:tcPr>
            <w:tcW w:w="795"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118</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1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1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EBEBEB"/>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Kertyneet poistot 1.1.</w:t>
            </w: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1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-109</w:t>
            </w:r>
          </w:p>
        </w:tc>
        <w:tc>
          <w:tcPr>
            <w:tcW w:w="810"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EBEBEB"/>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-109</w:t>
            </w:r>
          </w:p>
        </w:tc>
        <w:tc>
          <w:tcPr>
            <w:tcW w:w="79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Vähennysten kertyneet poistot ja muut muutokset</w:t>
            </w: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1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810"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EBEBEB"/>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79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Tilikauden poisto</w:t>
            </w:r>
          </w:p>
        </w:tc>
        <w:tc>
          <w:tcPr>
            <w:tcW w:w="795" w:type="dxa"/>
            <w:tcBorders>
              <w:top w:val="single" w:sz="4" w:space="0" w:color="004A6B"/>
              <w:left w:val="nil"/>
              <w:bottom w:val="single" w:sz="8" w:space="0" w:color="0F172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795" w:type="dxa"/>
            <w:tcBorders>
              <w:top w:val="single" w:sz="4" w:space="0" w:color="004A6B"/>
              <w:left w:val="nil"/>
              <w:bottom w:val="single" w:sz="8" w:space="0" w:color="0F172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10" w:type="dxa"/>
            <w:tcBorders>
              <w:top w:val="single" w:sz="4" w:space="0" w:color="004A6B"/>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810" w:type="dxa"/>
            <w:tcBorders>
              <w:top w:val="single" w:sz="4" w:space="0" w:color="004A6B"/>
              <w:left w:val="nil"/>
              <w:bottom w:val="single" w:sz="8" w:space="0" w:color="0F172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795" w:type="dxa"/>
            <w:tcBorders>
              <w:top w:val="single" w:sz="4" w:space="0" w:color="004A6B"/>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Kertyneet poistot 31.12.</w:t>
            </w:r>
          </w:p>
        </w:tc>
        <w:tc>
          <w:tcPr>
            <w:tcW w:w="795" w:type="dxa"/>
            <w:tcBorders>
              <w:top w:val="single" w:sz="8" w:space="0" w:color="0F172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795" w:type="dxa"/>
            <w:tcBorders>
              <w:top w:val="single" w:sz="8" w:space="0" w:color="0F172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10"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-107</w:t>
            </w:r>
          </w:p>
        </w:tc>
        <w:tc>
          <w:tcPr>
            <w:tcW w:w="810" w:type="dxa"/>
            <w:tcBorders>
              <w:top w:val="single" w:sz="8" w:space="0" w:color="0F172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8" w:space="0" w:color="0F172B"/>
              <w:left w:val="nil"/>
              <w:bottom w:val="single" w:sz="4" w:space="0" w:color="004A6B"/>
              <w:right w:val="nil"/>
              <w:tl2br w:val="nil"/>
              <w:tr2bl w:val="nil"/>
            </w:tcBorders>
            <w:shd w:val="clear" w:color="FFFFFF" w:fill="EBEBEB"/>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-107</w:t>
            </w:r>
          </w:p>
        </w:tc>
        <w:tc>
          <w:tcPr>
            <w:tcW w:w="795"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-109</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10"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10"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EBEBEB"/>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Kirjanpitoarvo 31.12.2021</w:t>
            </w: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1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81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795" w:type="dxa"/>
            <w:tcBorders>
              <w:top w:val="single" w:sz="4" w:space="0" w:color="004A6B"/>
              <w:left w:val="nil"/>
              <w:bottom w:val="single" w:sz="4" w:space="0" w:color="004A6B"/>
              <w:right w:val="nil"/>
              <w:tl2br w:val="nil"/>
              <w:tr2bl w:val="nil"/>
            </w:tcBorders>
            <w:shd w:val="clear" w:color="FFFFFF" w:fill="EBEBEB"/>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Kirjanpitoarvo 31.12.2020</w:t>
            </w: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1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c>
          <w:tcPr>
            <w:tcW w:w="81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795" w:type="dxa"/>
            <w:tcBorders>
              <w:top w:val="single" w:sz="4" w:space="0" w:color="004A6B"/>
              <w:left w:val="nil"/>
              <w:bottom w:val="single" w:sz="4" w:space="0" w:color="004A6B"/>
              <w:right w:val="nil"/>
              <w:tl2br w:val="nil"/>
              <w:tr2bl w:val="nil"/>
            </w:tcBorders>
            <w:shd w:val="clear" w:color="FFFFFF" w:fill="EBEBEB"/>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w:t>
            </w:r>
          </w:p>
        </w:tc>
      </w:tr>
    </w:tbl>
    <w:p w:rsidR="00A84596" w:rsidRPr="00300563" w:rsidP="00A84596" w14:paraId="3F255133" w14:textId="77777777">
      <w:pPr>
        <w:pStyle w:val="Bodytext2"/>
        <w:rPr>
          <w:lang w:val="fi-FI"/>
        </w:rPr>
      </w:pPr>
    </w:p>
    <w:p w:rsidR="00A84596" w:rsidRPr="00300563" w:rsidP="00A84596" w14:paraId="15A8F1F7" w14:textId="4BA2C7FC">
      <w:pPr>
        <w:pStyle w:val="Heading12"/>
        <w:rPr>
          <w:lang w:val="fi-FI"/>
        </w:rPr>
      </w:pPr>
      <w:r w:rsidRPr="00300563">
        <w:rPr>
          <w:lang w:val="fi-FI"/>
        </w:rPr>
        <w:t>Aineelliset hyödykkeet</w:t>
      </w:r>
    </w:p>
    <w:tbl>
      <w:tblPr>
        <w:tblStyle w:val="TableNormal"/>
        <w:tblCaption w:val="parent_6_2"/>
        <w:tblW w:w="7365" w:type="dxa"/>
        <w:tblLayout w:type="fixed"/>
        <w:tblLook w:val="0600"/>
      </w:tblPr>
      <w:tblGrid>
        <w:gridCol w:w="2565"/>
        <w:gridCol w:w="795"/>
        <w:gridCol w:w="795"/>
        <w:gridCol w:w="810"/>
        <w:gridCol w:w="810"/>
        <w:gridCol w:w="795"/>
        <w:gridCol w:w="795"/>
      </w:tblGrid>
      <w:tr>
        <w:tblPrEx>
          <w:tblW w:w="7365" w:type="dxa"/>
          <w:tblLayout w:type="fixed"/>
          <w:tblLook w:val="0600"/>
        </w:tblPrEx>
        <w:trPr>
          <w:trHeight w:val="240"/>
        </w:trPr>
        <w:tc>
          <w:tcPr>
            <w:tcW w:w="2565"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795" w:type="dxa"/>
            <w:tcBorders>
              <w:top w:val="nil"/>
              <w:left w:val="nil"/>
              <w:bottom w:val="single" w:sz="8" w:space="0" w:color="0F172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nil"/>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Maa- ja</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vesialueet</w:t>
            </w:r>
          </w:p>
        </w:tc>
        <w:tc>
          <w:tcPr>
            <w:tcW w:w="810" w:type="dxa"/>
            <w:tcBorders>
              <w:top w:val="nil"/>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Rakennuk-</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set ja</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rakennelmat</w:t>
            </w:r>
          </w:p>
        </w:tc>
        <w:tc>
          <w:tcPr>
            <w:tcW w:w="810" w:type="dxa"/>
            <w:tcBorders>
              <w:top w:val="nil"/>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Koneet,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kalusto ja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muut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aineelliset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hyödykkeet</w:t>
            </w:r>
          </w:p>
        </w:tc>
        <w:tc>
          <w:tcPr>
            <w:tcW w:w="795" w:type="dxa"/>
            <w:tcBorders>
              <w:top w:val="nil"/>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795" w:type="dxa"/>
            <w:tcBorders>
              <w:top w:val="nil"/>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Hankintameno 1.1.</w:t>
            </w:r>
          </w:p>
        </w:tc>
        <w:tc>
          <w:tcPr>
            <w:tcW w:w="795" w:type="dxa"/>
            <w:tcBorders>
              <w:top w:val="single" w:sz="8" w:space="0" w:color="0F172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810"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810"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w:t>
            </w:r>
          </w:p>
        </w:tc>
        <w:tc>
          <w:tcPr>
            <w:tcW w:w="795" w:type="dxa"/>
            <w:tcBorders>
              <w:top w:val="single" w:sz="8" w:space="0" w:color="0F172B"/>
              <w:left w:val="nil"/>
              <w:bottom w:val="single" w:sz="4" w:space="0" w:color="004A6B"/>
              <w:right w:val="nil"/>
              <w:tl2br w:val="nil"/>
              <w:tr2bl w:val="nil"/>
            </w:tcBorders>
            <w:shd w:val="clear" w:color="FFFFFF" w:fill="EBEBEB"/>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w:t>
            </w:r>
          </w:p>
        </w:tc>
        <w:tc>
          <w:tcPr>
            <w:tcW w:w="795"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17</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Lisäykset</w:t>
            </w:r>
          </w:p>
        </w:tc>
        <w:tc>
          <w:tcPr>
            <w:tcW w:w="79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1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1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EBEBEB"/>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Vähennykset</w:t>
            </w:r>
          </w:p>
        </w:tc>
        <w:tc>
          <w:tcPr>
            <w:tcW w:w="795" w:type="dxa"/>
            <w:tcBorders>
              <w:top w:val="single" w:sz="4" w:space="0" w:color="004A6B"/>
              <w:left w:val="nil"/>
              <w:bottom w:val="single" w:sz="8" w:space="0" w:color="0F172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8" w:space="0" w:color="0F172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10" w:type="dxa"/>
            <w:tcBorders>
              <w:top w:val="single" w:sz="4" w:space="0" w:color="004A6B"/>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10" w:type="dxa"/>
            <w:tcBorders>
              <w:top w:val="single" w:sz="4" w:space="0" w:color="004A6B"/>
              <w:left w:val="nil"/>
              <w:bottom w:val="single" w:sz="8" w:space="0" w:color="0F172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795" w:type="dxa"/>
            <w:tcBorders>
              <w:top w:val="single" w:sz="4" w:space="0" w:color="004A6B"/>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Hankintameno 31.12.</w:t>
            </w:r>
          </w:p>
        </w:tc>
        <w:tc>
          <w:tcPr>
            <w:tcW w:w="795" w:type="dxa"/>
            <w:tcBorders>
              <w:top w:val="single" w:sz="8" w:space="0" w:color="0F172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810"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10"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w:t>
            </w:r>
          </w:p>
        </w:tc>
        <w:tc>
          <w:tcPr>
            <w:tcW w:w="795" w:type="dxa"/>
            <w:tcBorders>
              <w:top w:val="single" w:sz="8" w:space="0" w:color="0F172B"/>
              <w:left w:val="nil"/>
              <w:bottom w:val="single" w:sz="4" w:space="0" w:color="004A6B"/>
              <w:right w:val="nil"/>
              <w:tl2br w:val="nil"/>
              <w:tr2bl w:val="nil"/>
            </w:tcBorders>
            <w:shd w:val="clear" w:color="FFFFFF" w:fill="EBEBEB"/>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w:t>
            </w:r>
          </w:p>
        </w:tc>
        <w:tc>
          <w:tcPr>
            <w:tcW w:w="795"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1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1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EBEBEB"/>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Kertyneet poistot 1.1.</w:t>
            </w: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1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1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795" w:type="dxa"/>
            <w:tcBorders>
              <w:top w:val="single" w:sz="4" w:space="0" w:color="004A6B"/>
              <w:left w:val="nil"/>
              <w:bottom w:val="single" w:sz="4" w:space="0" w:color="004A6B"/>
              <w:right w:val="nil"/>
              <w:tl2br w:val="nil"/>
              <w:tr2bl w:val="nil"/>
            </w:tcBorders>
            <w:shd w:val="clear" w:color="FFFFFF" w:fill="EBEBEB"/>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79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Tilikauden poisto</w:t>
            </w:r>
          </w:p>
        </w:tc>
        <w:tc>
          <w:tcPr>
            <w:tcW w:w="795" w:type="dxa"/>
            <w:tcBorders>
              <w:top w:val="single" w:sz="4" w:space="0" w:color="004A6B"/>
              <w:left w:val="nil"/>
              <w:bottom w:val="single" w:sz="8" w:space="0" w:color="0F172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795" w:type="dxa"/>
            <w:tcBorders>
              <w:top w:val="single" w:sz="4" w:space="0" w:color="004A6B"/>
              <w:left w:val="nil"/>
              <w:bottom w:val="single" w:sz="8" w:space="0" w:color="0F172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10" w:type="dxa"/>
            <w:tcBorders>
              <w:top w:val="single" w:sz="4" w:space="0" w:color="004A6B"/>
              <w:left w:val="nil"/>
              <w:bottom w:val="single" w:sz="8" w:space="0" w:color="0F172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10" w:type="dxa"/>
            <w:tcBorders>
              <w:top w:val="single" w:sz="4" w:space="0" w:color="004A6B"/>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795"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795" w:type="dxa"/>
            <w:tcBorders>
              <w:top w:val="single" w:sz="4" w:space="0" w:color="004A6B"/>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Kertyneet poistot 31.12.</w:t>
            </w:r>
          </w:p>
        </w:tc>
        <w:tc>
          <w:tcPr>
            <w:tcW w:w="795" w:type="dxa"/>
            <w:tcBorders>
              <w:top w:val="single" w:sz="8" w:space="0" w:color="0F172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8" w:space="0" w:color="0F172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10"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810"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c>
          <w:tcPr>
            <w:tcW w:w="795" w:type="dxa"/>
            <w:tcBorders>
              <w:top w:val="single" w:sz="8" w:space="0" w:color="0F172B"/>
              <w:left w:val="nil"/>
              <w:bottom w:val="single" w:sz="4" w:space="0" w:color="004A6B"/>
              <w:right w:val="nil"/>
              <w:tl2br w:val="nil"/>
              <w:tr2bl w:val="nil"/>
            </w:tcBorders>
            <w:shd w:val="clear" w:color="FFFFFF" w:fill="EBEBEB"/>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795"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10"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10"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EBEBEB"/>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Kirjanpitoarvo 31.12.2021</w:t>
            </w: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810"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1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795" w:type="dxa"/>
            <w:tcBorders>
              <w:top w:val="single" w:sz="4" w:space="0" w:color="004A6B"/>
              <w:left w:val="nil"/>
              <w:bottom w:val="single" w:sz="4" w:space="0" w:color="004A6B"/>
              <w:right w:val="nil"/>
              <w:tl2br w:val="nil"/>
              <w:tr2bl w:val="nil"/>
            </w:tcBorders>
            <w:shd w:val="clear" w:color="FFFFFF" w:fill="EBEBEB"/>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Kirjanpitoarvo 31.12.2020</w:t>
            </w: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c>
          <w:tcPr>
            <w:tcW w:w="810"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81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c>
          <w:tcPr>
            <w:tcW w:w="795" w:type="dxa"/>
            <w:tcBorders>
              <w:top w:val="single" w:sz="4" w:space="0" w:color="004A6B"/>
              <w:left w:val="nil"/>
              <w:bottom w:val="single" w:sz="4" w:space="0" w:color="004A6B"/>
              <w:right w:val="nil"/>
              <w:tl2br w:val="nil"/>
              <w:tr2bl w:val="nil"/>
            </w:tcBorders>
            <w:shd w:val="clear" w:color="FFFFFF" w:fill="EBEBEB"/>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w:t>
            </w:r>
          </w:p>
        </w:tc>
      </w:tr>
    </w:tbl>
    <w:p w:rsidR="00A84596" w:rsidRPr="00300563" w:rsidP="00A84596" w14:paraId="0940C73C" w14:textId="77777777">
      <w:pPr>
        <w:pStyle w:val="Heading12"/>
        <w:rPr>
          <w:lang w:val="fi-FI"/>
        </w:rPr>
      </w:pPr>
    </w:p>
    <w:p w:rsidR="00A84596" w:rsidRPr="00300563" w:rsidP="00A84596" w14:paraId="4310D648" w14:textId="105AA8CA">
      <w:pPr>
        <w:pStyle w:val="Heading12"/>
        <w:rPr>
          <w:lang w:val="fi-FI"/>
        </w:rPr>
      </w:pPr>
      <w:r w:rsidRPr="00300563">
        <w:rPr>
          <w:lang w:val="fi-FI"/>
        </w:rPr>
        <w:t>Sijoitukset</w:t>
      </w:r>
    </w:p>
    <w:tbl>
      <w:tblPr>
        <w:tblStyle w:val="TableNormal"/>
        <w:tblCaption w:val="parent_6_3"/>
        <w:tblW w:w="7365" w:type="dxa"/>
        <w:tblLayout w:type="fixed"/>
        <w:tblLook w:val="0600"/>
      </w:tblPr>
      <w:tblGrid>
        <w:gridCol w:w="2565"/>
        <w:gridCol w:w="795"/>
        <w:gridCol w:w="795"/>
        <w:gridCol w:w="810"/>
        <w:gridCol w:w="810"/>
        <w:gridCol w:w="795"/>
        <w:gridCol w:w="795"/>
      </w:tblGrid>
      <w:tr>
        <w:tblPrEx>
          <w:tblW w:w="7365" w:type="dxa"/>
          <w:tblLayout w:type="fixed"/>
          <w:tblLook w:val="0600"/>
        </w:tblPrEx>
        <w:trPr>
          <w:trHeight w:val="240"/>
        </w:trPr>
        <w:tc>
          <w:tcPr>
            <w:tcW w:w="2565"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795" w:type="dxa"/>
            <w:tcBorders>
              <w:top w:val="nil"/>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795" w:type="dxa"/>
            <w:tcBorders>
              <w:top w:val="nil"/>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810" w:type="dxa"/>
            <w:tcBorders>
              <w:top w:val="nil"/>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Osakkeet</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konsernin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yrityksissä  </w:t>
            </w:r>
          </w:p>
        </w:tc>
        <w:tc>
          <w:tcPr>
            <w:tcW w:w="810" w:type="dxa"/>
            <w:tcBorders>
              <w:top w:val="nil"/>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Osakkeet</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muissa</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yrityksissä </w:t>
            </w:r>
          </w:p>
        </w:tc>
        <w:tc>
          <w:tcPr>
            <w:tcW w:w="795" w:type="dxa"/>
            <w:tcBorders>
              <w:top w:val="nil"/>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795" w:type="dxa"/>
            <w:tcBorders>
              <w:top w:val="nil"/>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Hankintameno 1.1.</w:t>
            </w:r>
          </w:p>
        </w:tc>
        <w:tc>
          <w:tcPr>
            <w:tcW w:w="795" w:type="dxa"/>
            <w:tcBorders>
              <w:top w:val="single" w:sz="8" w:space="0" w:color="0F172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795" w:type="dxa"/>
            <w:tcBorders>
              <w:top w:val="single" w:sz="8" w:space="0" w:color="0F172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10"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950</w:t>
            </w:r>
          </w:p>
        </w:tc>
        <w:tc>
          <w:tcPr>
            <w:tcW w:w="810"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795" w:type="dxa"/>
            <w:tcBorders>
              <w:top w:val="single" w:sz="8" w:space="0" w:color="0F172B"/>
              <w:left w:val="nil"/>
              <w:bottom w:val="single" w:sz="4" w:space="0" w:color="004A6B"/>
              <w:right w:val="nil"/>
              <w:tl2br w:val="nil"/>
              <w:tr2bl w:val="nil"/>
            </w:tcBorders>
            <w:shd w:val="clear" w:color="FFFFFF" w:fill="EBEBEB"/>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951</w:t>
            </w:r>
          </w:p>
        </w:tc>
        <w:tc>
          <w:tcPr>
            <w:tcW w:w="795" w:type="dxa"/>
            <w:tcBorders>
              <w:top w:val="single" w:sz="8" w:space="0" w:color="0F172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951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Hankintameno 31.12.</w:t>
            </w: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1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950</w:t>
            </w:r>
          </w:p>
        </w:tc>
        <w:tc>
          <w:tcPr>
            <w:tcW w:w="81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795" w:type="dxa"/>
            <w:tcBorders>
              <w:top w:val="single" w:sz="4" w:space="0" w:color="004A6B"/>
              <w:left w:val="nil"/>
              <w:bottom w:val="single" w:sz="4" w:space="0" w:color="004A6B"/>
              <w:right w:val="nil"/>
              <w:tl2br w:val="nil"/>
              <w:tr2bl w:val="nil"/>
            </w:tcBorders>
            <w:shd w:val="clear" w:color="FFFFFF" w:fill="EBEBEB"/>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952</w:t>
            </w:r>
          </w:p>
        </w:tc>
        <w:tc>
          <w:tcPr>
            <w:tcW w:w="79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951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256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1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81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Kirjanpitoarvo 31.12.2021</w:t>
            </w: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1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950</w:t>
            </w:r>
          </w:p>
        </w:tc>
        <w:tc>
          <w:tcPr>
            <w:tcW w:w="81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795" w:type="dxa"/>
            <w:tcBorders>
              <w:top w:val="single" w:sz="4" w:space="0" w:color="004A6B"/>
              <w:left w:val="nil"/>
              <w:bottom w:val="single" w:sz="4" w:space="0" w:color="004A6B"/>
              <w:right w:val="nil"/>
              <w:tl2br w:val="nil"/>
              <w:tr2bl w:val="nil"/>
            </w:tcBorders>
            <w:shd w:val="clear" w:color="FFFFFF" w:fill="EBEBEB"/>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952</w:t>
            </w: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256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Kirjanpitoarvo 31.12.2020</w:t>
            </w: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81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950</w:t>
            </w:r>
          </w:p>
        </w:tc>
        <w:tc>
          <w:tcPr>
            <w:tcW w:w="810"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795" w:type="dxa"/>
            <w:tcBorders>
              <w:top w:val="single" w:sz="4" w:space="0" w:color="004A6B"/>
              <w:left w:val="nil"/>
              <w:bottom w:val="single" w:sz="4" w:space="0" w:color="004A6B"/>
              <w:right w:val="nil"/>
              <w:tl2br w:val="nil"/>
              <w:tr2bl w:val="nil"/>
            </w:tcBorders>
            <w:shd w:val="clear" w:color="FFFFFF" w:fill="EBEBEB"/>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795" w:type="dxa"/>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951</w:t>
            </w:r>
          </w:p>
        </w:tc>
      </w:tr>
    </w:tbl>
    <w:p/>
    <w:p w:rsidR="009D0A15" w:rsidP="009D0A15" w14:paraId="1C7F283B" w14:textId="0ED0B116">
      <w:pPr>
        <w:pStyle w:val="Heading11"/>
      </w:pPr>
      <w:bookmarkStart w:id="1512" w:name="RG_MARKER_7398"/>
      <w:r>
        <w:t>7. PITKÄAIKAISET SAAMISET</w:t>
      </w:r>
      <w:bookmarkEnd w:id="1512"/>
    </w:p>
    <w:tbl>
      <w:tblPr>
        <w:tblStyle w:val="TableNormal"/>
        <w:tblCaption w:val="parent_7"/>
        <w:tblDescription w:val="7. Non-current receivables"/>
        <w:tblW w:w="7365" w:type="dxa"/>
        <w:tblLayout w:type="fixed"/>
        <w:tblLook w:val="0600"/>
      </w:tblPr>
      <w:tblGrid>
        <w:gridCol w:w="4185"/>
        <w:gridCol w:w="1590"/>
        <w:gridCol w:w="1590"/>
      </w:tblGrid>
      <w:tr>
        <w:tblPrEx>
          <w:tblW w:w="7365" w:type="dxa"/>
          <w:tblLayout w:type="fixed"/>
          <w:tblLook w:val="0600"/>
        </w:tblPrEx>
        <w:trPr>
          <w:trHeight w:hRule="exact" w:val="240"/>
        </w:trPr>
        <w:tc>
          <w:tcPr>
            <w:tcW w:w="4185"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590" w:type="dxa"/>
            <w:tcBorders>
              <w:top w:val="nil"/>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590"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Saamiset saman konsernin yrityksiltä</w:t>
            </w:r>
          </w:p>
        </w:tc>
        <w:tc>
          <w:tcPr>
            <w:tcW w:w="1590" w:type="dxa"/>
            <w:tcBorders>
              <w:top w:val="single" w:sz="8" w:space="0" w:color="0F172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59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Lainasaamiset</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90</w:t>
            </w:r>
          </w:p>
        </w:tc>
        <w:tc>
          <w:tcPr>
            <w:tcW w:w="159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590" w:type="dxa"/>
            <w:tcBorders>
              <w:top w:val="single" w:sz="8" w:space="0" w:color="0F172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90</w:t>
            </w:r>
          </w:p>
        </w:tc>
        <w:tc>
          <w:tcPr>
            <w:tcW w:w="159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90</w:t>
            </w:r>
          </w:p>
        </w:tc>
      </w:tr>
    </w:tbl>
    <w:p/>
    <w:p w:rsidR="00585940" w:rsidRPr="006A4066" w:rsidP="00585940" w14:paraId="3A1DC94E" w14:textId="54D9AF34">
      <w:pPr>
        <w:pStyle w:val="Heading11"/>
        <w:rPr>
          <w:lang w:val="fi-FI"/>
        </w:rPr>
      </w:pPr>
      <w:bookmarkStart w:id="1513" w:name="RG_MARKER_7399"/>
      <w:r w:rsidRPr="006A4066">
        <w:rPr>
          <w:lang w:val="fi-FI"/>
        </w:rPr>
        <w:t>8. LYHYTAIKAISET SAAMISET KONSERNIN YRITYKSILTÄ</w:t>
      </w:r>
      <w:bookmarkEnd w:id="1513"/>
    </w:p>
    <w:tbl>
      <w:tblPr>
        <w:tblStyle w:val="TableNormal"/>
        <w:tblCaption w:val="parent_8"/>
        <w:tblDescription w:val="8. Current receivables from Group companies"/>
        <w:tblW w:w="7365" w:type="dxa"/>
        <w:tblLayout w:type="fixed"/>
        <w:tblLook w:val="0600"/>
      </w:tblPr>
      <w:tblGrid>
        <w:gridCol w:w="4185"/>
        <w:gridCol w:w="1590"/>
        <w:gridCol w:w="1590"/>
      </w:tblGrid>
      <w:tr>
        <w:tblPrEx>
          <w:tblW w:w="7365" w:type="dxa"/>
          <w:tblLayout w:type="fixed"/>
          <w:tblLook w:val="0600"/>
        </w:tblPrEx>
        <w:trPr>
          <w:trHeight w:hRule="exact" w:val="240"/>
        </w:trPr>
        <w:tc>
          <w:tcPr>
            <w:tcW w:w="4185"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590" w:type="dxa"/>
            <w:tcBorders>
              <w:top w:val="nil"/>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590"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Myyntisaamiset</w:t>
            </w:r>
          </w:p>
        </w:tc>
        <w:tc>
          <w:tcPr>
            <w:tcW w:w="1590"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50</w:t>
            </w:r>
          </w:p>
        </w:tc>
        <w:tc>
          <w:tcPr>
            <w:tcW w:w="159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Lainasaamiset</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1 693</w:t>
            </w:r>
          </w:p>
        </w:tc>
        <w:tc>
          <w:tcPr>
            <w:tcW w:w="15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1 790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Johdannaiset</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29</w:t>
            </w:r>
          </w:p>
        </w:tc>
        <w:tc>
          <w:tcPr>
            <w:tcW w:w="15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saamiset</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15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Siirtosaamiset</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59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590" w:type="dxa"/>
            <w:tcBorders>
              <w:top w:val="single" w:sz="8" w:space="0" w:color="0F172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1 776</w:t>
            </w:r>
          </w:p>
        </w:tc>
        <w:tc>
          <w:tcPr>
            <w:tcW w:w="159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1 846</w:t>
            </w:r>
          </w:p>
        </w:tc>
      </w:tr>
    </w:tbl>
    <w:p w:rsidR="004A0DF2" w:rsidRPr="006A4066" w:rsidP="00585940" w14:textId="3E23467E">
      <w:pPr>
        <w:pStyle w:val="Bodytext2"/>
        <w:rPr>
          <w:sz w:val="2"/>
          <w:szCs w:val="2"/>
          <w:lang w:val="fi-FI"/>
        </w:rPr>
      </w:pPr>
      <w:r w:rsidRPr="006A4066">
        <w:rPr>
          <w:sz w:val="2"/>
          <w:szCs w:val="2"/>
          <w:lang w:val="fi-FI"/>
        </w:rPr>
        <w:br w:type="column"/>
      </w:r>
    </w:p>
    <w:p w:rsidR="001354D2" w:rsidP="001354D2" w14:paraId="58CF918F" w14:textId="3392CBBA">
      <w:pPr>
        <w:pStyle w:val="Heading11"/>
        <w:rPr>
          <w:lang w:val="fi-FI"/>
        </w:rPr>
      </w:pPr>
      <w:bookmarkStart w:id="1514" w:name="RG_MARKER_7400"/>
      <w:r>
        <w:rPr>
          <w:lang w:val="fi-FI"/>
        </w:rPr>
        <w:t>9. SIIRTOSAAMISET</w:t>
      </w:r>
      <w:bookmarkEnd w:id="1514"/>
    </w:p>
    <w:tbl>
      <w:tblPr>
        <w:tblStyle w:val="TableNormal"/>
        <w:tblCaption w:val="parent_9"/>
        <w:tblDescription w:val="9. Prepaid expenses and accrued income"/>
        <w:tblW w:w="7365" w:type="dxa"/>
        <w:tblLayout w:type="fixed"/>
        <w:tblLook w:val="0600"/>
      </w:tblPr>
      <w:tblGrid>
        <w:gridCol w:w="4185"/>
        <w:gridCol w:w="1590"/>
        <w:gridCol w:w="1590"/>
      </w:tblGrid>
      <w:tr>
        <w:tblPrEx>
          <w:tblW w:w="7365" w:type="dxa"/>
          <w:tblLayout w:type="fixed"/>
          <w:tblLook w:val="0600"/>
        </w:tblPrEx>
        <w:trPr>
          <w:trHeight w:hRule="exact" w:val="240"/>
        </w:trPr>
        <w:tc>
          <w:tcPr>
            <w:tcW w:w="4185"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590" w:type="dxa"/>
            <w:tcBorders>
              <w:top w:val="nil"/>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590"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Johdannaiset</w:t>
            </w:r>
          </w:p>
        </w:tc>
        <w:tc>
          <w:tcPr>
            <w:tcW w:w="1590"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w:t>
            </w:r>
          </w:p>
        </w:tc>
        <w:tc>
          <w:tcPr>
            <w:tcW w:w="159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37</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159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590" w:type="dxa"/>
            <w:tcBorders>
              <w:top w:val="single" w:sz="8" w:space="0" w:color="0F172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22</w:t>
            </w:r>
          </w:p>
        </w:tc>
        <w:tc>
          <w:tcPr>
            <w:tcW w:w="159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41</w:t>
            </w:r>
          </w:p>
        </w:tc>
      </w:tr>
    </w:tbl>
    <w:p/>
    <w:p w:rsidR="002642EE" w:rsidRPr="00417C02" w:rsidP="00066ABD" w14:textId="5C64A74C">
      <w:pPr>
        <w:pStyle w:val="Heading11"/>
        <w:rPr>
          <w:lang w:val="fi-FI"/>
        </w:rPr>
      </w:pPr>
      <w:bookmarkStart w:id="1515" w:name="RG_MARKER_7401"/>
      <w:r w:rsidRPr="00417C02">
        <w:rPr>
          <w:lang w:val="fi-FI"/>
        </w:rPr>
        <w:t>10. OMA PÄÄOMA</w:t>
      </w:r>
      <w:bookmarkEnd w:id="1515"/>
    </w:p>
    <w:tbl>
      <w:tblPr>
        <w:tblStyle w:val="TableNormal"/>
        <w:tblCaption w:val="parent_10"/>
        <w:tblDescription w:val="10. Shareholders' equity"/>
        <w:tblW w:w="7365" w:type="dxa"/>
        <w:tblLayout w:type="fixed"/>
        <w:tblLook w:val="0600"/>
      </w:tblPr>
      <w:tblGrid>
        <w:gridCol w:w="4185"/>
        <w:gridCol w:w="1590"/>
        <w:gridCol w:w="1590"/>
      </w:tblGrid>
      <w:tr>
        <w:tblPrEx>
          <w:tblW w:w="7365" w:type="dxa"/>
          <w:tblLayout w:type="fixed"/>
          <w:tblLook w:val="0600"/>
        </w:tblPrEx>
        <w:trPr>
          <w:trHeight w:hRule="exact" w:val="240"/>
        </w:trPr>
        <w:tc>
          <w:tcPr>
            <w:tcW w:w="4185"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590" w:type="dxa"/>
            <w:tcBorders>
              <w:top w:val="nil"/>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590"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Osakepääoma</w:t>
            </w:r>
          </w:p>
        </w:tc>
        <w:tc>
          <w:tcPr>
            <w:tcW w:w="1590" w:type="dxa"/>
            <w:tcBorders>
              <w:top w:val="single" w:sz="8" w:space="0" w:color="0F172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59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Osakepääoma tilikauden alussa</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336</w:t>
            </w:r>
          </w:p>
        </w:tc>
        <w:tc>
          <w:tcPr>
            <w:tcW w:w="159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336</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Osakepääoma tilikauden lopussa</w:t>
            </w:r>
          </w:p>
        </w:tc>
        <w:tc>
          <w:tcPr>
            <w:tcW w:w="1590"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336</w:t>
            </w:r>
          </w:p>
        </w:tc>
        <w:tc>
          <w:tcPr>
            <w:tcW w:w="159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336</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Ylikurssirahasto</w:t>
            </w: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Ylikurssirahasto tilikauden alussa</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61</w:t>
            </w:r>
          </w:p>
        </w:tc>
        <w:tc>
          <w:tcPr>
            <w:tcW w:w="159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Ylikurssirahasto tilikauden lopussa</w:t>
            </w:r>
          </w:p>
        </w:tc>
        <w:tc>
          <w:tcPr>
            <w:tcW w:w="1590"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61</w:t>
            </w:r>
          </w:p>
        </w:tc>
        <w:tc>
          <w:tcPr>
            <w:tcW w:w="159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Omat osakkeet</w:t>
            </w: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00000"/>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Omat osakkeet tilikauden alussa</w:t>
            </w:r>
          </w:p>
        </w:tc>
        <w:tc>
          <w:tcPr>
            <w:tcW w:w="1590" w:type="dxa"/>
            <w:tcBorders>
              <w:top w:val="single" w:sz="4" w:space="0" w:color="004A6B"/>
              <w:left w:val="nil"/>
              <w:bottom w:val="single" w:sz="8" w:space="0" w:color="000000"/>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8" w:space="0" w:color="000000"/>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00000"/>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Omat osakkeet tilikauden lopussa</w:t>
            </w:r>
          </w:p>
        </w:tc>
        <w:tc>
          <w:tcPr>
            <w:tcW w:w="1590" w:type="dxa"/>
            <w:tcBorders>
              <w:top w:val="single" w:sz="8" w:space="0" w:color="000000"/>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w:t>
            </w:r>
          </w:p>
        </w:tc>
        <w:tc>
          <w:tcPr>
            <w:tcW w:w="1590" w:type="dxa"/>
            <w:tcBorders>
              <w:top w:val="single" w:sz="8" w:space="0" w:color="000000"/>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Kertyneet voittovarat</w:t>
            </w: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Kertyneet voittovarat tilikauden alussa</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974</w:t>
            </w:r>
          </w:p>
        </w:tc>
        <w:tc>
          <w:tcPr>
            <w:tcW w:w="15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994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Osingonjako</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-118</w:t>
            </w:r>
          </w:p>
        </w:tc>
        <w:tc>
          <w:tcPr>
            <w:tcW w:w="15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-284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 xml:space="preserve">Tilikauden tulos </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188</w:t>
            </w:r>
          </w:p>
        </w:tc>
        <w:tc>
          <w:tcPr>
            <w:tcW w:w="159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265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Kertyneet voittovarat tilikauden lopussa</w:t>
            </w:r>
          </w:p>
        </w:tc>
        <w:tc>
          <w:tcPr>
            <w:tcW w:w="1590"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1044</w:t>
            </w:r>
          </w:p>
        </w:tc>
        <w:tc>
          <w:tcPr>
            <w:tcW w:w="159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974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Oma pääoma yhteensä</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1423</w:t>
            </w:r>
          </w:p>
        </w:tc>
        <w:tc>
          <w:tcPr>
            <w:tcW w:w="15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1371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Jakokelpoiset varat</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1026</w:t>
            </w:r>
          </w:p>
        </w:tc>
        <w:tc>
          <w:tcPr>
            <w:tcW w:w="159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974</w:t>
            </w:r>
          </w:p>
        </w:tc>
      </w:tr>
    </w:tbl>
    <w:p w:rsidR="00417C02" w:rsidP="00066ABD" w14:paraId="234C19CA" w14:textId="65333640">
      <w:pPr>
        <w:pStyle w:val="Bodytext2"/>
        <w:rPr>
          <w:lang w:val="fi-FI"/>
        </w:rPr>
      </w:pPr>
    </w:p>
    <w:p w:rsidR="004A0DF2" w:rsidRPr="00682771" w:rsidP="00682771" w14:textId="061362FC">
      <w:pPr>
        <w:pStyle w:val="Bodytext2"/>
        <w:spacing w:before="0"/>
        <w:rPr>
          <w:sz w:val="2"/>
          <w:szCs w:val="2"/>
          <w:lang w:val="fi-FI"/>
        </w:rPr>
      </w:pPr>
      <w:r>
        <w:rPr>
          <w:lang w:val="fi-FI"/>
        </w:rPr>
        <w:t>Tilikauden lopussa Wärtsilä Oyj:n omistamien omien osakkeiden lukumäärä oli 1 700 000 (0) ja niiden kirja-arvo 18 miljoonaa euroa (0).</w:t>
      </w:r>
      <w:r>
        <w:rPr>
          <w:lang w:val="fi-FI"/>
        </w:rPr>
        <w:br w:type="column"/>
      </w:r>
      <w:r w:rsidRPr="00682771">
        <w:rPr>
          <w:sz w:val="2"/>
          <w:szCs w:val="2"/>
          <w:lang w:val="fi-FI"/>
        </w:rPr>
        <w:t xml:space="preserve">   </w:t>
      </w:r>
    </w:p>
    <w:p w:rsidR="00424EAE" w:rsidRPr="00D43EE5" w:rsidP="00424EAE" w14:paraId="3D8E5454" w14:textId="6D99D1D8">
      <w:pPr>
        <w:pStyle w:val="Heading11"/>
        <w:rPr>
          <w:lang w:val="fi-FI"/>
        </w:rPr>
      </w:pPr>
      <w:bookmarkStart w:id="1516" w:name="RG_MARKER_7402"/>
      <w:r w:rsidRPr="00D43EE5">
        <w:rPr>
          <w:lang w:val="fi-FI"/>
        </w:rPr>
        <w:t>11. VIERAS PÄÄOMA</w:t>
      </w:r>
      <w:bookmarkEnd w:id="1516"/>
    </w:p>
    <w:tbl>
      <w:tblPr>
        <w:tblStyle w:val="TableNormal"/>
        <w:tblCaption w:val="parent_11_1"/>
        <w:tblDescription w:val="11. Liabilities"/>
        <w:tblW w:w="7365" w:type="dxa"/>
        <w:tblLayout w:type="fixed"/>
        <w:tblLook w:val="0600"/>
      </w:tblPr>
      <w:tblGrid>
        <w:gridCol w:w="4185"/>
        <w:gridCol w:w="1590"/>
        <w:gridCol w:w="1590"/>
      </w:tblGrid>
      <w:tr>
        <w:tblPrEx>
          <w:tblW w:w="7365" w:type="dxa"/>
          <w:tblLayout w:type="fixed"/>
          <w:tblLook w:val="0600"/>
        </w:tblPrEx>
        <w:trPr>
          <w:trHeight w:hRule="exact" w:val="240"/>
        </w:trPr>
        <w:tc>
          <w:tcPr>
            <w:tcW w:w="4185"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590" w:type="dxa"/>
            <w:tcBorders>
              <w:top w:val="nil"/>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590"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Pitkäaikainen</w:t>
            </w:r>
          </w:p>
        </w:tc>
        <w:tc>
          <w:tcPr>
            <w:tcW w:w="1590" w:type="dxa"/>
            <w:tcBorders>
              <w:top w:val="single" w:sz="8" w:space="0" w:color="0F172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59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Korollinen</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694</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953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00000"/>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Koroton</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1590"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00000"/>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590" w:type="dxa"/>
            <w:tcBorders>
              <w:top w:val="single" w:sz="8" w:space="0" w:color="0F172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695</w:t>
            </w:r>
          </w:p>
        </w:tc>
        <w:tc>
          <w:tcPr>
            <w:tcW w:w="1590"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953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590" w:type="dxa"/>
            <w:tcBorders>
              <w:top w:val="single" w:sz="8" w:space="0" w:color="0F172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Lyhytaikainen</w:t>
            </w: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Korollinen</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1 317</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1 202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Koroton</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100</w:t>
            </w:r>
          </w:p>
        </w:tc>
        <w:tc>
          <w:tcPr>
            <w:tcW w:w="159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108</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590" w:type="dxa"/>
            <w:tcBorders>
              <w:top w:val="single" w:sz="8" w:space="0" w:color="0F172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1 416</w:t>
            </w:r>
          </w:p>
        </w:tc>
        <w:tc>
          <w:tcPr>
            <w:tcW w:w="1590"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1 310</w:t>
            </w:r>
          </w:p>
        </w:tc>
      </w:tr>
    </w:tbl>
    <w:p w:rsidR="00424EAE" w:rsidRPr="00D43EE5" w:rsidP="00424EAE" w14:paraId="4B46C090" w14:textId="77777777">
      <w:pPr>
        <w:pStyle w:val="Bodytext2"/>
        <w:rPr>
          <w:lang w:val="fi-FI"/>
        </w:rPr>
      </w:pPr>
    </w:p>
    <w:p w:rsidR="00424EAE" w:rsidRPr="00D43EE5" w:rsidP="00424EAE" w14:paraId="7F63463C" w14:textId="5F06BF3F">
      <w:pPr>
        <w:pStyle w:val="Heading12"/>
        <w:rPr>
          <w:lang w:val="fi-FI"/>
        </w:rPr>
      </w:pPr>
      <w:r w:rsidRPr="00D43EE5">
        <w:rPr>
          <w:lang w:val="fi-FI"/>
        </w:rPr>
        <w:t>Yhtiön lainat ja niiden lyhennysohjelma</w:t>
      </w:r>
    </w:p>
    <w:p w:rsidR="00424EAE" w:rsidRPr="00D43EE5" w:rsidP="00424EAE" w14:paraId="29A29AED" w14:textId="77777777">
      <w:pPr>
        <w:pStyle w:val="Bodytext2"/>
        <w:rPr>
          <w:lang w:val="fi-FI"/>
        </w:rPr>
      </w:pPr>
    </w:p>
    <w:tbl>
      <w:tblPr>
        <w:tblStyle w:val="TableNormal"/>
        <w:tblCaption w:val="parent_11_2"/>
        <w:tblW w:w="7365" w:type="dxa"/>
        <w:tblLayout w:type="fixed"/>
        <w:tblLook w:val="0600"/>
      </w:tblPr>
      <w:tblGrid>
        <w:gridCol w:w="4185"/>
        <w:gridCol w:w="1590"/>
        <w:gridCol w:w="1590"/>
      </w:tblGrid>
      <w:tr>
        <w:tblPrEx>
          <w:tblW w:w="7365" w:type="dxa"/>
          <w:tblLayout w:type="fixed"/>
          <w:tblLook w:val="0600"/>
        </w:tblPrEx>
        <w:trPr>
          <w:trHeight w:val="240"/>
        </w:trPr>
        <w:tc>
          <w:tcPr>
            <w:tcW w:w="4185" w:type="dxa"/>
            <w:tcBorders>
              <w:top w:val="nil"/>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590" w:type="dxa"/>
            <w:tcBorders>
              <w:top w:val="nil"/>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590"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Lainat rahoituslaitoksilta:</w:t>
            </w:r>
          </w:p>
        </w:tc>
        <w:tc>
          <w:tcPr>
            <w:tcW w:w="1590"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763</w:t>
            </w:r>
          </w:p>
        </w:tc>
        <w:tc>
          <w:tcPr>
            <w:tcW w:w="1590"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1 084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Lyhytaikainen</w:t>
            </w: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 xml:space="preserve"> &lt;1 v</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70</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Pitkäaikainen</w:t>
            </w: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1-5 v</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589</w:t>
            </w:r>
          </w:p>
        </w:tc>
        <w:tc>
          <w:tcPr>
            <w:tcW w:w="159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661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&gt;5 v</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104</w:t>
            </w:r>
          </w:p>
        </w:tc>
        <w:tc>
          <w:tcPr>
            <w:tcW w:w="159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292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590" w:type="dxa"/>
            <w:tcBorders>
              <w:top w:val="single" w:sz="8" w:space="0" w:color="0F172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763</w:t>
            </w:r>
          </w:p>
        </w:tc>
        <w:tc>
          <w:tcPr>
            <w:tcW w:w="1590"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1 084</w:t>
            </w:r>
          </w:p>
        </w:tc>
      </w:tr>
    </w:tbl>
    <w:p/>
    <w:p w:rsidR="00473FAF" w:rsidP="00473FAF" w14:paraId="67257575" w14:textId="19F1D348">
      <w:pPr>
        <w:pStyle w:val="Heading11"/>
      </w:pPr>
      <w:bookmarkStart w:id="1517" w:name="RG_MARKER_7403"/>
      <w:r>
        <w:t>12. SIIRTOVELAT</w:t>
      </w:r>
      <w:bookmarkEnd w:id="1517"/>
    </w:p>
    <w:tbl>
      <w:tblPr>
        <w:tblStyle w:val="TableNormal"/>
        <w:tblCaption w:val="parent_12"/>
        <w:tblDescription w:val="12. Accrued expenses and deferred income"/>
        <w:tblW w:w="7365" w:type="dxa"/>
        <w:tblLayout w:type="fixed"/>
        <w:tblLook w:val="0600"/>
      </w:tblPr>
      <w:tblGrid>
        <w:gridCol w:w="4185"/>
        <w:gridCol w:w="1590"/>
        <w:gridCol w:w="1590"/>
      </w:tblGrid>
      <w:tr>
        <w:tblPrEx>
          <w:tblW w:w="7365" w:type="dxa"/>
          <w:tblLayout w:type="fixed"/>
          <w:tblLook w:val="0600"/>
        </w:tblPrEx>
        <w:trPr>
          <w:trHeight w:hRule="exact" w:val="240"/>
        </w:trPr>
        <w:tc>
          <w:tcPr>
            <w:tcW w:w="4185"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590" w:type="dxa"/>
            <w:tcBorders>
              <w:top w:val="nil"/>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590"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Johdannaiset</w:t>
            </w:r>
          </w:p>
        </w:tc>
        <w:tc>
          <w:tcPr>
            <w:tcW w:w="1590"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23</w:t>
            </w:r>
          </w:p>
        </w:tc>
        <w:tc>
          <w:tcPr>
            <w:tcW w:w="159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27</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 xml:space="preserve">Henkilöstökulut </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12</w:t>
            </w:r>
          </w:p>
        </w:tc>
        <w:tc>
          <w:tcPr>
            <w:tcW w:w="15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Korot ja muut rahoituserät</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15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159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590" w:type="dxa"/>
            <w:tcBorders>
              <w:top w:val="single" w:sz="8" w:space="0" w:color="0F172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40</w:t>
            </w:r>
          </w:p>
        </w:tc>
        <w:tc>
          <w:tcPr>
            <w:tcW w:w="159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44</w:t>
            </w:r>
          </w:p>
        </w:tc>
      </w:tr>
    </w:tbl>
    <w:p w:rsidR="004A0DF2" w:rsidRPr="00114613" w:rsidP="00473FAF" w14:textId="50E5FE40">
      <w:pPr>
        <w:pStyle w:val="Bodytext2"/>
        <w:rPr>
          <w:sz w:val="2"/>
          <w:szCs w:val="2"/>
        </w:rPr>
      </w:pPr>
      <w:r w:rsidRPr="00114613">
        <w:rPr>
          <w:sz w:val="2"/>
          <w:szCs w:val="2"/>
        </w:rPr>
        <w:br w:type="column"/>
      </w:r>
    </w:p>
    <w:p w:rsidR="003F635E" w:rsidRPr="0053698E" w:rsidP="003F635E" w14:paraId="69AABC5C" w14:textId="5CF5F330">
      <w:pPr>
        <w:pStyle w:val="Heading11"/>
        <w:rPr>
          <w:lang w:val="fi-FI"/>
        </w:rPr>
      </w:pPr>
      <w:bookmarkStart w:id="1518" w:name="RG_MARKER_7404"/>
      <w:r w:rsidRPr="0053698E">
        <w:rPr>
          <w:lang w:val="fi-FI"/>
        </w:rPr>
        <w:t>13. VELAT KONSERNIN YRITYKSILLE</w:t>
      </w:r>
      <w:bookmarkEnd w:id="1518"/>
    </w:p>
    <w:tbl>
      <w:tblPr>
        <w:tblStyle w:val="TableNormal"/>
        <w:tblCaption w:val="parent_13"/>
        <w:tblDescription w:val="13. Liabilities to Group companies"/>
        <w:tblW w:w="7365" w:type="dxa"/>
        <w:tblLayout w:type="fixed"/>
        <w:tblLook w:val="0600"/>
      </w:tblPr>
      <w:tblGrid>
        <w:gridCol w:w="4185"/>
        <w:gridCol w:w="1590"/>
        <w:gridCol w:w="1590"/>
      </w:tblGrid>
      <w:tr>
        <w:tblPrEx>
          <w:tblW w:w="7365" w:type="dxa"/>
          <w:tblLayout w:type="fixed"/>
          <w:tblLook w:val="0600"/>
        </w:tblPrEx>
        <w:trPr>
          <w:trHeight w:hRule="exact" w:val="240"/>
        </w:trPr>
        <w:tc>
          <w:tcPr>
            <w:tcW w:w="4185"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590" w:type="dxa"/>
            <w:tcBorders>
              <w:top w:val="nil"/>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590"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Ostovelat</w:t>
            </w:r>
          </w:p>
        </w:tc>
        <w:tc>
          <w:tcPr>
            <w:tcW w:w="1590"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22</w:t>
            </w:r>
          </w:p>
        </w:tc>
        <w:tc>
          <w:tcPr>
            <w:tcW w:w="159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lyhytaikaiset velat</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1 247</w:t>
            </w:r>
          </w:p>
        </w:tc>
        <w:tc>
          <w:tcPr>
            <w:tcW w:w="15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1 072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Johdannaiset</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23</w:t>
            </w:r>
          </w:p>
        </w:tc>
        <w:tc>
          <w:tcPr>
            <w:tcW w:w="15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Siirtovelat</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159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590" w:type="dxa"/>
            <w:tcBorders>
              <w:top w:val="single" w:sz="8" w:space="0" w:color="0F172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1 294</w:t>
            </w:r>
          </w:p>
        </w:tc>
        <w:tc>
          <w:tcPr>
            <w:tcW w:w="159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1 129</w:t>
            </w:r>
          </w:p>
        </w:tc>
      </w:tr>
    </w:tbl>
    <w:p/>
    <w:p w:rsidR="009F192A" w:rsidRPr="00ED505B" w:rsidP="009F192A" w14:paraId="57935DA1" w14:textId="7C558A24">
      <w:pPr>
        <w:pStyle w:val="Heading11"/>
        <w:rPr>
          <w:lang w:val="fi-FI"/>
        </w:rPr>
      </w:pPr>
      <w:bookmarkStart w:id="1519" w:name="RG_MARKER_7405"/>
      <w:r w:rsidRPr="00ED505B">
        <w:rPr>
          <w:lang w:val="fi-FI"/>
        </w:rPr>
        <w:t>14. RAHOITUSVARAT JA -VELAT ARVOSTUSRYHMITTÄIN</w:t>
      </w:r>
      <w:bookmarkEnd w:id="1519"/>
    </w:p>
    <w:p w:rsidR="009F192A" w:rsidRPr="00ED505B" w:rsidP="009F192A" w14:paraId="4B7BD4A3" w14:textId="74267450">
      <w:pPr>
        <w:pStyle w:val="Heading12"/>
        <w:rPr>
          <w:lang w:val="fi-FI"/>
        </w:rPr>
      </w:pPr>
      <w:r w:rsidRPr="00ED505B">
        <w:rPr>
          <w:lang w:val="fi-FI"/>
        </w:rPr>
        <w:t>202</w:t>
      </w:r>
      <w:r>
        <w:rPr>
          <w:lang w:val="fi-FI"/>
        </w:rPr>
        <w:t>1</w:t>
      </w:r>
    </w:p>
    <w:tbl>
      <w:tblPr>
        <w:tblStyle w:val="TableNormal"/>
        <w:tblCaption w:val="parent_14_1"/>
        <w:tblDescription w:val="14. Financial assets and liabilities by measurement category"/>
        <w:tblW w:w="7365" w:type="dxa"/>
        <w:tblLayout w:type="fixed"/>
        <w:tblLook w:val="0600"/>
      </w:tblPr>
      <w:tblGrid>
        <w:gridCol w:w="300"/>
        <w:gridCol w:w="3405"/>
        <w:gridCol w:w="915"/>
        <w:gridCol w:w="915"/>
        <w:gridCol w:w="915"/>
        <w:gridCol w:w="915"/>
      </w:tblGrid>
      <w:tr>
        <w:tblPrEx>
          <w:tblW w:w="7365" w:type="dxa"/>
          <w:tblLayout w:type="fixed"/>
          <w:tblLook w:val="0600"/>
        </w:tblPrEx>
        <w:trPr>
          <w:trHeight w:val="240"/>
        </w:trPr>
        <w:tc>
          <w:tcPr>
            <w:tcW w:w="3705" w:type="dxa"/>
            <w:gridSpan w:val="2"/>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915" w:type="dxa"/>
            <w:tcBorders>
              <w:top w:val="nil"/>
              <w:left w:val="nil"/>
              <w:bottom w:val="single" w:sz="8" w:space="0" w:color="0F172B"/>
              <w:right w:val="nil"/>
              <w:tl2br w:val="nil"/>
              <w:tr2bl w:val="nil"/>
            </w:tcBorders>
            <w:shd w:val="clear" w:color="FFFFFF" w:fill="EBEBEB"/>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Jaksotettuun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hankinta-</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menoon</w:t>
            </w:r>
          </w:p>
        </w:tc>
        <w:tc>
          <w:tcPr>
            <w:tcW w:w="915" w:type="dxa"/>
            <w:tcBorders>
              <w:top w:val="nil"/>
              <w:left w:val="nil"/>
              <w:bottom w:val="single" w:sz="8" w:space="0" w:color="0F172B"/>
              <w:right w:val="nil"/>
              <w:tl2br w:val="nil"/>
              <w:tr2bl w:val="nil"/>
            </w:tcBorders>
            <w:shd w:val="clear" w:color="FFFFFF" w:fill="EBEBEB"/>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Käypään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arvoon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tulosvai-</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kutteisesti </w:t>
            </w:r>
          </w:p>
        </w:tc>
        <w:tc>
          <w:tcPr>
            <w:tcW w:w="915" w:type="dxa"/>
            <w:tcBorders>
              <w:top w:val="nil"/>
              <w:left w:val="nil"/>
              <w:bottom w:val="single" w:sz="8" w:space="0" w:color="0F172B"/>
              <w:right w:val="nil"/>
              <w:tl2br w:val="nil"/>
              <w:tr2bl w:val="nil"/>
            </w:tcBorders>
            <w:shd w:val="clear" w:color="FFFFFF" w:fill="EBEBEB"/>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Tase-erien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kirjanpito-</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arvot</w:t>
            </w:r>
          </w:p>
        </w:tc>
        <w:tc>
          <w:tcPr>
            <w:tcW w:w="915" w:type="dxa"/>
            <w:tcBorders>
              <w:top w:val="nil"/>
              <w:left w:val="nil"/>
              <w:bottom w:val="single" w:sz="8" w:space="0" w:color="0F172B"/>
              <w:right w:val="nil"/>
              <w:tl2br w:val="nil"/>
              <w:tr2bl w:val="nil"/>
            </w:tcBorders>
            <w:shd w:val="clear" w:color="FFFFFF" w:fill="EBEBEB"/>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Käypä</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arvo</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Pitkäaikaiset rahoitusvarat</w:t>
            </w:r>
          </w:p>
        </w:tc>
        <w:tc>
          <w:tcPr>
            <w:tcW w:w="915" w:type="dxa"/>
            <w:tcBorders>
              <w:top w:val="single" w:sz="8" w:space="0" w:color="0F172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15" w:type="dxa"/>
            <w:tcBorders>
              <w:top w:val="single" w:sz="8" w:space="0" w:color="0F172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15" w:type="dxa"/>
            <w:tcBorders>
              <w:top w:val="single" w:sz="8" w:space="0" w:color="0F172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15" w:type="dxa"/>
            <w:tcBorders>
              <w:top w:val="single" w:sz="8" w:space="0" w:color="0F172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Korolliset sijoitukset saman konsernin yrityksiltä</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90</w:t>
            </w: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90</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Johdannaiset</w:t>
            </w: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Johdannaiset saman konsernin yrityksiltä</w:t>
            </w: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saamiset</w:t>
            </w: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Lyhytaikaiset rahoitusvarat</w:t>
            </w: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Korolliset saamiset saman konsernin yrityksiltä</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1 693</w:t>
            </w: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1 693</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1 693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 xml:space="preserve">Myyntisaamiset </w:t>
            </w: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Myyntisaamiset saman konsernin yrityksiltä</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50</w:t>
            </w: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50</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Johdannaiset</w:t>
            </w: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16</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Johdannaiset saman konsernin yrityksiltä</w:t>
            </w: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22</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22</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saamiset saman konsernin yrityksiltä</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rahavarat</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276</w:t>
            </w: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276</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276</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8" w:space="0" w:color="0F172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Raha ja pankkisaamiset</w:t>
            </w:r>
          </w:p>
        </w:tc>
        <w:tc>
          <w:tcPr>
            <w:tcW w:w="915"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409</w:t>
            </w:r>
          </w:p>
        </w:tc>
        <w:tc>
          <w:tcPr>
            <w:tcW w:w="915" w:type="dxa"/>
            <w:tcBorders>
              <w:top w:val="single" w:sz="4" w:space="0" w:color="004A6B"/>
              <w:left w:val="nil"/>
              <w:bottom w:val="single" w:sz="8" w:space="0" w:color="0F172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409</w:t>
            </w:r>
          </w:p>
        </w:tc>
        <w:tc>
          <w:tcPr>
            <w:tcW w:w="915"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409</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Kirjanpitoarvo arvostusryhmittäin</w:t>
            </w:r>
          </w:p>
        </w:tc>
        <w:tc>
          <w:tcPr>
            <w:tcW w:w="915" w:type="dxa"/>
            <w:tcBorders>
              <w:top w:val="single" w:sz="8" w:space="0" w:color="0F172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2 519</w:t>
            </w:r>
          </w:p>
        </w:tc>
        <w:tc>
          <w:tcPr>
            <w:tcW w:w="915" w:type="dxa"/>
            <w:tcBorders>
              <w:top w:val="single" w:sz="8" w:space="0" w:color="0F172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45</w:t>
            </w:r>
          </w:p>
        </w:tc>
        <w:tc>
          <w:tcPr>
            <w:tcW w:w="915" w:type="dxa"/>
            <w:tcBorders>
              <w:top w:val="single" w:sz="8" w:space="0" w:color="0F172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2 565</w:t>
            </w:r>
          </w:p>
        </w:tc>
        <w:tc>
          <w:tcPr>
            <w:tcW w:w="915" w:type="dxa"/>
            <w:tcBorders>
              <w:top w:val="single" w:sz="8" w:space="0" w:color="0F172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2 565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340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915" w:type="dxa"/>
            <w:tcBorders>
              <w:top w:val="single" w:sz="8" w:space="0" w:color="0F172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8" w:space="0" w:color="0F172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8" w:space="0" w:color="0F172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8" w:space="0" w:color="0F172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Pitkäaikaiset rahoitusvelat</w:t>
            </w: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Korolliset velat</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694</w:t>
            </w: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694</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694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Johdannaiset</w:t>
            </w: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9</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Johdannaiset saman konsernin yrityksiltä</w:t>
            </w: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Lyhytaikaiset rahoitusvelat</w:t>
            </w: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Korolliset velat</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70</w:t>
            </w: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70</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70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Korolliset velat saman konsernin yrityksille</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1 247</w:t>
            </w: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1 247</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1 247</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Ostovelat</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w:t>
            </w: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Ostovelat saman konsernin yrityksille</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22</w:t>
            </w: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22</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Johdannaiset</w:t>
            </w: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Johdannaiset saman konsernin yrityksille</w:t>
            </w:r>
          </w:p>
        </w:tc>
        <w:tc>
          <w:tcPr>
            <w:tcW w:w="915"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w:t>
            </w:r>
          </w:p>
        </w:tc>
        <w:tc>
          <w:tcPr>
            <w:tcW w:w="915"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8" w:space="0" w:color="0F172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velat</w:t>
            </w:r>
          </w:p>
        </w:tc>
        <w:tc>
          <w:tcPr>
            <w:tcW w:w="915"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915" w:type="dxa"/>
            <w:tcBorders>
              <w:top w:val="single" w:sz="4" w:space="0" w:color="004A6B"/>
              <w:left w:val="nil"/>
              <w:bottom w:val="single" w:sz="8" w:space="0" w:color="0F172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915"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Kirjanpitoarvo arvostusryhmittäin</w:t>
            </w:r>
          </w:p>
        </w:tc>
        <w:tc>
          <w:tcPr>
            <w:tcW w:w="915" w:type="dxa"/>
            <w:tcBorders>
              <w:top w:val="single" w:sz="8" w:space="0" w:color="0F172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2 044</w:t>
            </w:r>
          </w:p>
        </w:tc>
        <w:tc>
          <w:tcPr>
            <w:tcW w:w="915" w:type="dxa"/>
            <w:tcBorders>
              <w:top w:val="single" w:sz="8" w:space="0" w:color="0F172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45</w:t>
            </w:r>
          </w:p>
        </w:tc>
        <w:tc>
          <w:tcPr>
            <w:tcW w:w="915" w:type="dxa"/>
            <w:tcBorders>
              <w:top w:val="single" w:sz="8" w:space="0" w:color="0F172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2 089</w:t>
            </w:r>
          </w:p>
        </w:tc>
        <w:tc>
          <w:tcPr>
            <w:tcW w:w="915" w:type="dxa"/>
            <w:tcBorders>
              <w:top w:val="single" w:sz="8" w:space="0" w:color="0F172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2 089</w:t>
            </w:r>
          </w:p>
        </w:tc>
      </w:tr>
    </w:tbl>
    <w:p w:rsidR="009F192A" w:rsidRPr="00ED505B" w:rsidP="009F192A" w14:paraId="5A6B7A92" w14:textId="77777777">
      <w:pPr>
        <w:pStyle w:val="Bodytext2"/>
        <w:rPr>
          <w:szCs w:val="15"/>
          <w:lang w:val="fi-FI"/>
        </w:rPr>
      </w:pPr>
    </w:p>
    <w:p w:rsidR="009F192A" w:rsidRPr="00ED505B" w:rsidP="009F192A" w14:paraId="684A0B14" w14:textId="36FABA2B">
      <w:pPr>
        <w:pStyle w:val="Heading12"/>
        <w:rPr>
          <w:lang w:val="fi-FI"/>
        </w:rPr>
      </w:pPr>
      <w:r w:rsidRPr="00ED505B">
        <w:rPr>
          <w:lang w:val="fi-FI"/>
        </w:rPr>
        <w:t>20</w:t>
      </w:r>
      <w:r>
        <w:rPr>
          <w:lang w:val="fi-FI"/>
        </w:rPr>
        <w:t>20</w:t>
      </w:r>
    </w:p>
    <w:tbl>
      <w:tblPr>
        <w:tblStyle w:val="TableNormal"/>
        <w:tblCaption w:val="parent_14_2"/>
        <w:tblW w:w="7365" w:type="dxa"/>
        <w:tblLayout w:type="fixed"/>
        <w:tblLook w:val="0600"/>
      </w:tblPr>
      <w:tblGrid>
        <w:gridCol w:w="300"/>
        <w:gridCol w:w="3405"/>
        <w:gridCol w:w="915"/>
        <w:gridCol w:w="915"/>
        <w:gridCol w:w="915"/>
        <w:gridCol w:w="915"/>
      </w:tblGrid>
      <w:tr>
        <w:tblPrEx>
          <w:tblW w:w="7365" w:type="dxa"/>
          <w:tblLayout w:type="fixed"/>
          <w:tblLook w:val="0600"/>
        </w:tblPrEx>
        <w:trPr>
          <w:trHeight w:val="240"/>
        </w:trPr>
        <w:tc>
          <w:tcPr>
            <w:tcW w:w="3705" w:type="dxa"/>
            <w:gridSpan w:val="2"/>
            <w:tcBorders>
              <w:top w:val="nil"/>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915" w:type="dxa"/>
            <w:tcBorders>
              <w:top w:val="nil"/>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Jaksotettuun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hankinta-</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menoon</w:t>
            </w:r>
          </w:p>
        </w:tc>
        <w:tc>
          <w:tcPr>
            <w:tcW w:w="915" w:type="dxa"/>
            <w:tcBorders>
              <w:top w:val="nil"/>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Käypään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arvoon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tulosvai-</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kutteisesti </w:t>
            </w:r>
          </w:p>
        </w:tc>
        <w:tc>
          <w:tcPr>
            <w:tcW w:w="915" w:type="dxa"/>
            <w:tcBorders>
              <w:top w:val="nil"/>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 xml:space="preserve">Tase-erien </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kirjanpito-</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arvot</w:t>
            </w:r>
          </w:p>
        </w:tc>
        <w:tc>
          <w:tcPr>
            <w:tcW w:w="915" w:type="dxa"/>
            <w:tcBorders>
              <w:top w:val="nil"/>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Käypä</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arvo</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Pitkäaikaiset rahoitusvarat</w:t>
            </w:r>
          </w:p>
        </w:tc>
        <w:tc>
          <w:tcPr>
            <w:tcW w:w="91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1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1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1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Korolliset sijoitukset saman konsernin yrityksiltä</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90</w:t>
            </w: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90</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Johdannaiset</w:t>
            </w: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Johdannaiset saman konsernin yrityksiltä</w:t>
            </w: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saamiset</w:t>
            </w: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Lyhytaikaiset rahoitusvarat</w:t>
            </w: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Korolliset saamiset saman konsernin yrityksiltä</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1 790</w:t>
            </w: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1 790</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1 790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Myyntisaamiset saman konsernin yrityksiltä</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Johdannaiset</w:t>
            </w: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37</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37</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37</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Johdannaiset saman konsernin yrityksiltä</w:t>
            </w: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saamiset saman konsernin yrityksiltä</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rahavarat</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332</w:t>
            </w: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332</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332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8" w:space="0" w:color="0F172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Raha ja pankkisaamiset</w:t>
            </w:r>
          </w:p>
        </w:tc>
        <w:tc>
          <w:tcPr>
            <w:tcW w:w="91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367</w:t>
            </w:r>
          </w:p>
        </w:tc>
        <w:tc>
          <w:tcPr>
            <w:tcW w:w="91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367</w:t>
            </w:r>
          </w:p>
        </w:tc>
        <w:tc>
          <w:tcPr>
            <w:tcW w:w="91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367</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3705" w:type="dxa"/>
            <w:gridSpan w:val="2"/>
            <w:tcBorders>
              <w:top w:val="single" w:sz="8" w:space="0" w:color="0F172B"/>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Kirjanpitoarvo arvostusryhmittäin</w:t>
            </w:r>
          </w:p>
        </w:tc>
        <w:tc>
          <w:tcPr>
            <w:tcW w:w="91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2 610</w:t>
            </w:r>
          </w:p>
        </w:tc>
        <w:tc>
          <w:tcPr>
            <w:tcW w:w="91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63</w:t>
            </w:r>
          </w:p>
        </w:tc>
        <w:tc>
          <w:tcPr>
            <w:tcW w:w="91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2 673</w:t>
            </w:r>
          </w:p>
        </w:tc>
        <w:tc>
          <w:tcPr>
            <w:tcW w:w="91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2 673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340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91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Pitkäaikaiset rahoitusvelat</w:t>
            </w: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Korolliset velat</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953</w:t>
            </w: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953</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953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Johdannaiset</w:t>
            </w: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Johdannaiset saman konsernin yrityksille</w:t>
            </w: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Lyhytaikaiset rahoitusvelat</w:t>
            </w: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Korolliset velat</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130</w:t>
            </w: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130</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Korolliset velat saman konsernin yrityksille</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1 072</w:t>
            </w: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1 072</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1 072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Ostovelat</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Ostovelat saman konsernin yrityksille</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w:t>
            </w: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Johdannaiset</w:t>
            </w: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4" w:space="0" w:color="004A6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Johdannaiset saman konsernin yrityksille</w:t>
            </w:r>
          </w:p>
        </w:tc>
        <w:tc>
          <w:tcPr>
            <w:tcW w:w="915"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35</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35</w:t>
            </w:r>
          </w:p>
        </w:tc>
        <w:tc>
          <w:tcPr>
            <w:tcW w:w="915"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4" w:space="0" w:color="004A6B"/>
              <w:left w:val="nil"/>
              <w:bottom w:val="single" w:sz="8" w:space="0" w:color="0F172B"/>
              <w:right w:val="nil"/>
              <w:tl2br w:val="nil"/>
              <w:tr2bl w:val="nil"/>
            </w:tcBorders>
            <w:shd w:val="clear" w:color="FFFFFF" w:fill="FFFFFF"/>
            <w:noWrap/>
            <w:tcMar>
              <w:left w:w="22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velat</w:t>
            </w:r>
          </w:p>
        </w:tc>
        <w:tc>
          <w:tcPr>
            <w:tcW w:w="91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c>
          <w:tcPr>
            <w:tcW w:w="915"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91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c>
          <w:tcPr>
            <w:tcW w:w="91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705" w:type="dxa"/>
            <w:gridSpan w:val="2"/>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Kirjanpitoarvo arvostusryhmittäin</w:t>
            </w:r>
          </w:p>
        </w:tc>
        <w:tc>
          <w:tcPr>
            <w:tcW w:w="91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2 177</w:t>
            </w:r>
          </w:p>
        </w:tc>
        <w:tc>
          <w:tcPr>
            <w:tcW w:w="91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70</w:t>
            </w:r>
          </w:p>
        </w:tc>
        <w:tc>
          <w:tcPr>
            <w:tcW w:w="91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2 247</w:t>
            </w:r>
          </w:p>
        </w:tc>
        <w:tc>
          <w:tcPr>
            <w:tcW w:w="915" w:type="dxa"/>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2 257</w:t>
            </w:r>
          </w:p>
        </w:tc>
      </w:tr>
    </w:tbl>
    <w:p w:rsidR="009F192A" w:rsidRPr="00ED505B" w:rsidP="009F192A" w14:paraId="0DBFD929" w14:textId="77777777">
      <w:pPr>
        <w:pStyle w:val="Bodytext2"/>
        <w:rPr>
          <w:szCs w:val="15"/>
          <w:lang w:val="fi-FI"/>
        </w:rPr>
      </w:pPr>
    </w:p>
    <w:p w:rsidR="009F192A" w:rsidRPr="00ED505B" w:rsidP="009F192A" w14:paraId="65460421" w14:textId="6E8DFE49">
      <w:pPr>
        <w:pStyle w:val="Bodytext2"/>
        <w:rPr>
          <w:sz w:val="2"/>
          <w:szCs w:val="2"/>
          <w:lang w:val="fi-FI"/>
        </w:rPr>
      </w:pPr>
      <w:r w:rsidRPr="009F192A">
        <w:rPr>
          <w:szCs w:val="15"/>
          <w:lang w:val="fi-FI"/>
        </w:rPr>
        <w:t xml:space="preserve">Tietoja käyvän arvon hierarkiasta ja arvostusperiaatteesta löytyy konsernitilinpäätöksen liitetiedosta </w:t>
      </w:r>
      <w:r>
        <w:rPr>
          <w:szCs w:val="15"/>
          <w:lang w:val="fi-FI"/>
        </w:rPr>
        <w:t>5.2. Rahoitusvarat ja -velat arvostusryhmittäin.</w:t>
      </w:r>
      <w:r>
        <w:rPr>
          <w:szCs w:val="15"/>
          <w:lang w:val="fi-FI"/>
        </w:rPr>
        <w:br w:type="column"/>
      </w:r>
    </w:p>
    <w:p w:rsidR="00253764" w:rsidRPr="00CF7C22" w:rsidP="00253764" w14:paraId="22EB6386" w14:textId="59AB5789">
      <w:pPr>
        <w:pStyle w:val="Heading11"/>
        <w:rPr>
          <w:lang w:val="fi-FI"/>
        </w:rPr>
      </w:pPr>
      <w:bookmarkStart w:id="1520" w:name="RG_MARKER_7406"/>
      <w:r w:rsidRPr="00CF7C22">
        <w:rPr>
          <w:lang w:val="fi-FI"/>
        </w:rPr>
        <w:t>15. JOHDANNAISINSTRUMENTIT</w:t>
      </w:r>
      <w:bookmarkEnd w:id="1520"/>
    </w:p>
    <w:p w:rsidR="00253764" w:rsidRPr="00CF7C22" w:rsidP="00253764" w14:paraId="3B55C05B" w14:textId="27147B66">
      <w:pPr>
        <w:pStyle w:val="Heading12"/>
        <w:rPr>
          <w:lang w:val="fi-FI"/>
        </w:rPr>
      </w:pPr>
      <w:r w:rsidRPr="00CF7C22">
        <w:rPr>
          <w:lang w:val="fi-FI"/>
        </w:rPr>
        <w:t>202</w:t>
      </w:r>
      <w:r>
        <w:rPr>
          <w:lang w:val="fi-FI"/>
        </w:rPr>
        <w:t>1</w:t>
      </w:r>
    </w:p>
    <w:tbl>
      <w:tblPr>
        <w:tblStyle w:val="TableNormal"/>
        <w:tblCaption w:val="parent_15_1"/>
        <w:tblDescription w:val="15. Derivative financial instruments"/>
        <w:tblW w:w="7365" w:type="dxa"/>
        <w:tblLayout w:type="fixed"/>
        <w:tblLook w:val="0600"/>
      </w:tblPr>
      <w:tblGrid>
        <w:gridCol w:w="300"/>
        <w:gridCol w:w="3915"/>
        <w:gridCol w:w="1050"/>
        <w:gridCol w:w="1050"/>
        <w:gridCol w:w="1050"/>
      </w:tblGrid>
      <w:tr>
        <w:tblPrEx>
          <w:tblW w:w="7365" w:type="dxa"/>
          <w:tblLayout w:type="fixed"/>
          <w:tblLook w:val="0600"/>
        </w:tblPrEx>
        <w:trPr>
          <w:trHeight w:val="240"/>
        </w:trPr>
        <w:tc>
          <w:tcPr>
            <w:tcW w:w="4215" w:type="dxa"/>
            <w:gridSpan w:val="2"/>
            <w:tcBorders>
              <w:top w:val="nil"/>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050" w:type="dxa"/>
            <w:tcBorders>
              <w:top w:val="nil"/>
              <w:left w:val="nil"/>
              <w:bottom w:val="single" w:sz="8" w:space="0" w:color="0F172B"/>
              <w:right w:val="nil"/>
              <w:tl2br w:val="nil"/>
              <w:tr2bl w:val="nil"/>
            </w:tcBorders>
            <w:shd w:val="clear" w:color="FFFFFF" w:fill="EBEBEB"/>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Ulkoisten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rahoitus-</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laitoisten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kanssa</w:t>
            </w:r>
          </w:p>
        </w:tc>
        <w:tc>
          <w:tcPr>
            <w:tcW w:w="1050" w:type="dxa"/>
            <w:tcBorders>
              <w:top w:val="nil"/>
              <w:left w:val="nil"/>
              <w:bottom w:val="single" w:sz="8" w:space="0" w:color="0F172B"/>
              <w:right w:val="nil"/>
              <w:tl2br w:val="nil"/>
              <w:tr2bl w:val="nil"/>
            </w:tcBorders>
            <w:shd w:val="clear" w:color="FFFFFF" w:fill="EBEBEB"/>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Konsernin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sisäiset</w:t>
            </w:r>
          </w:p>
        </w:tc>
        <w:tc>
          <w:tcPr>
            <w:tcW w:w="1050" w:type="dxa"/>
            <w:tcBorders>
              <w:top w:val="nil"/>
              <w:left w:val="nil"/>
              <w:bottom w:val="single" w:sz="8" w:space="0" w:color="0F172B"/>
              <w:right w:val="nil"/>
              <w:tl2br w:val="nil"/>
              <w:tr2bl w:val="nil"/>
            </w:tcBorders>
            <w:shd w:val="clear" w:color="FFFFFF" w:fill="EBEBEB"/>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215" w:type="dxa"/>
            <w:gridSpan w:val="2"/>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Johdannaisinstrumenttien nimellisarvot</w:t>
            </w:r>
          </w:p>
        </w:tc>
        <w:tc>
          <w:tcPr>
            <w:tcW w:w="1050" w:type="dxa"/>
            <w:tcBorders>
              <w:top w:val="single" w:sz="8" w:space="0" w:color="0F172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50" w:type="dxa"/>
            <w:tcBorders>
              <w:top w:val="single" w:sz="8" w:space="0" w:color="0F172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50" w:type="dxa"/>
            <w:tcBorders>
              <w:top w:val="single" w:sz="8" w:space="0" w:color="0F172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215" w:type="dxa"/>
            <w:gridSpan w:val="2"/>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Valuuttatermiinit, transaktioriski</w:t>
            </w:r>
          </w:p>
        </w:tc>
        <w:tc>
          <w:tcPr>
            <w:tcW w:w="105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2 053</w:t>
            </w:r>
          </w:p>
        </w:tc>
        <w:tc>
          <w:tcPr>
            <w:tcW w:w="105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2 042</w:t>
            </w:r>
          </w:p>
        </w:tc>
        <w:tc>
          <w:tcPr>
            <w:tcW w:w="105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4 095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215" w:type="dxa"/>
            <w:gridSpan w:val="2"/>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Koronvaihtosopimukset</w:t>
            </w:r>
          </w:p>
        </w:tc>
        <w:tc>
          <w:tcPr>
            <w:tcW w:w="105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408</w:t>
            </w:r>
          </w:p>
        </w:tc>
        <w:tc>
          <w:tcPr>
            <w:tcW w:w="105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130</w:t>
            </w:r>
          </w:p>
        </w:tc>
        <w:tc>
          <w:tcPr>
            <w:tcW w:w="105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538</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215" w:type="dxa"/>
            <w:gridSpan w:val="2"/>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Koron- ja valuutanvaihtosopimukset</w:t>
            </w:r>
          </w:p>
        </w:tc>
        <w:tc>
          <w:tcPr>
            <w:tcW w:w="105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153</w:t>
            </w:r>
          </w:p>
        </w:tc>
        <w:tc>
          <w:tcPr>
            <w:tcW w:w="1050" w:type="dxa"/>
            <w:tcBorders>
              <w:top w:val="single" w:sz="4" w:space="0" w:color="004A6B"/>
              <w:left w:val="nil"/>
              <w:bottom w:val="single" w:sz="8" w:space="0" w:color="0F172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5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153</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215" w:type="dxa"/>
            <w:gridSpan w:val="2"/>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050" w:type="dxa"/>
            <w:tcBorders>
              <w:top w:val="single" w:sz="8" w:space="0" w:color="0F172B"/>
              <w:left w:val="nil"/>
              <w:bottom w:val="single" w:sz="8" w:space="0" w:color="0F172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50" w:type="dxa"/>
            <w:tcBorders>
              <w:top w:val="single" w:sz="8" w:space="0" w:color="0F172B"/>
              <w:left w:val="nil"/>
              <w:bottom w:val="single" w:sz="8" w:space="0" w:color="0F172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50" w:type="dxa"/>
            <w:tcBorders>
              <w:top w:val="single" w:sz="8" w:space="0" w:color="0F172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4 787</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391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50" w:type="dxa"/>
            <w:tcBorders>
              <w:top w:val="single" w:sz="8" w:space="0" w:color="0F172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050" w:type="dxa"/>
            <w:tcBorders>
              <w:top w:val="single" w:sz="8" w:space="0" w:color="0F172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050" w:type="dxa"/>
            <w:tcBorders>
              <w:top w:val="single" w:sz="8" w:space="0" w:color="0F172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215" w:type="dxa"/>
            <w:gridSpan w:val="2"/>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Johdannaisinstrumenttien markkina-arvostukset (taso 2)</w:t>
            </w:r>
          </w:p>
        </w:tc>
        <w:tc>
          <w:tcPr>
            <w:tcW w:w="105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05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05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215" w:type="dxa"/>
            <w:gridSpan w:val="2"/>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Valuuttatermiinit, transaktioriski</w:t>
            </w:r>
          </w:p>
        </w:tc>
        <w:tc>
          <w:tcPr>
            <w:tcW w:w="105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105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105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6</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215" w:type="dxa"/>
            <w:gridSpan w:val="2"/>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Koronvaihtosopimukset</w:t>
            </w:r>
          </w:p>
        </w:tc>
        <w:tc>
          <w:tcPr>
            <w:tcW w:w="105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105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c>
          <w:tcPr>
            <w:tcW w:w="105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215" w:type="dxa"/>
            <w:gridSpan w:val="2"/>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Koron- ja valuutanvaihtosopimukset</w:t>
            </w:r>
          </w:p>
        </w:tc>
        <w:tc>
          <w:tcPr>
            <w:tcW w:w="105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c>
          <w:tcPr>
            <w:tcW w:w="1050" w:type="dxa"/>
            <w:tcBorders>
              <w:top w:val="single" w:sz="4" w:space="0" w:color="004A6B"/>
              <w:left w:val="nil"/>
              <w:bottom w:val="single" w:sz="8" w:space="0" w:color="0F172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05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215" w:type="dxa"/>
            <w:gridSpan w:val="2"/>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050" w:type="dxa"/>
            <w:tcBorders>
              <w:top w:val="single" w:sz="8" w:space="0" w:color="0F172B"/>
              <w:left w:val="nil"/>
              <w:bottom w:val="single" w:sz="8" w:space="0" w:color="0F172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050" w:type="dxa"/>
            <w:tcBorders>
              <w:top w:val="single" w:sz="8" w:space="0" w:color="0F172B"/>
              <w:left w:val="nil"/>
              <w:bottom w:val="single" w:sz="8" w:space="0" w:color="0F172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050" w:type="dxa"/>
            <w:tcBorders>
              <w:top w:val="single" w:sz="8" w:space="0" w:color="0F172B"/>
              <w:left w:val="nil"/>
              <w:bottom w:val="single" w:sz="8" w:space="0" w:color="0F172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bl>
    <w:p w:rsidR="00253764" w:rsidRPr="00CF7C22" w:rsidP="00253764" w14:paraId="0586C989" w14:textId="77777777">
      <w:pPr>
        <w:pStyle w:val="Bodytext2"/>
        <w:rPr>
          <w:lang w:val="fi-FI"/>
        </w:rPr>
      </w:pPr>
    </w:p>
    <w:p w:rsidR="00253764" w:rsidRPr="00CF7C22" w:rsidP="00253764" w14:paraId="1EEE3AA1" w14:textId="6C84CF98">
      <w:pPr>
        <w:pStyle w:val="Heading12"/>
        <w:rPr>
          <w:lang w:val="fi-FI"/>
        </w:rPr>
      </w:pPr>
      <w:r w:rsidRPr="00CF7C22">
        <w:rPr>
          <w:lang w:val="fi-FI"/>
        </w:rPr>
        <w:t>20</w:t>
      </w:r>
      <w:r>
        <w:rPr>
          <w:lang w:val="fi-FI"/>
        </w:rPr>
        <w:t>20</w:t>
      </w:r>
    </w:p>
    <w:tbl>
      <w:tblPr>
        <w:tblStyle w:val="TableNormal"/>
        <w:tblCaption w:val="parent_15_2"/>
        <w:tblW w:w="7365" w:type="dxa"/>
        <w:tblLayout w:type="fixed"/>
        <w:tblLook w:val="0600"/>
      </w:tblPr>
      <w:tblGrid>
        <w:gridCol w:w="300"/>
        <w:gridCol w:w="3915"/>
        <w:gridCol w:w="1050"/>
        <w:gridCol w:w="1050"/>
        <w:gridCol w:w="1050"/>
      </w:tblGrid>
      <w:tr>
        <w:tblPrEx>
          <w:tblW w:w="7365" w:type="dxa"/>
          <w:tblLayout w:type="fixed"/>
          <w:tblLook w:val="0600"/>
        </w:tblPrEx>
        <w:trPr>
          <w:trHeight w:val="240"/>
        </w:trPr>
        <w:tc>
          <w:tcPr>
            <w:tcW w:w="4215" w:type="dxa"/>
            <w:gridSpan w:val="2"/>
            <w:tcBorders>
              <w:top w:val="nil"/>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050" w:type="dxa"/>
            <w:tcBorders>
              <w:top w:val="nil"/>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Ulkoisten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rahoitus-</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laitoisten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kanssa</w:t>
            </w:r>
          </w:p>
        </w:tc>
        <w:tc>
          <w:tcPr>
            <w:tcW w:w="1050" w:type="dxa"/>
            <w:tcBorders>
              <w:top w:val="nil"/>
              <w:left w:val="nil"/>
              <w:bottom w:val="single" w:sz="8" w:space="0" w:color="0F172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Konsernin</w:t>
            </w:r>
          </w:p>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sisäiset</w:t>
            </w:r>
          </w:p>
        </w:tc>
        <w:tc>
          <w:tcPr>
            <w:tcW w:w="1050" w:type="dxa"/>
            <w:tcBorders>
              <w:top w:val="nil"/>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215" w:type="dxa"/>
            <w:gridSpan w:val="2"/>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Johdannaisinstrumenttien nimellisarvot</w:t>
            </w:r>
          </w:p>
        </w:tc>
        <w:tc>
          <w:tcPr>
            <w:tcW w:w="105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5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5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215" w:type="dxa"/>
            <w:gridSpan w:val="2"/>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Valuuttatermiinit, transaktioriski</w:t>
            </w:r>
          </w:p>
        </w:tc>
        <w:tc>
          <w:tcPr>
            <w:tcW w:w="105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1 649</w:t>
            </w:r>
          </w:p>
        </w:tc>
        <w:tc>
          <w:tcPr>
            <w:tcW w:w="105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1 861</w:t>
            </w:r>
          </w:p>
        </w:tc>
        <w:tc>
          <w:tcPr>
            <w:tcW w:w="105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3 509</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215" w:type="dxa"/>
            <w:gridSpan w:val="2"/>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Koronvaihtosopimukset</w:t>
            </w:r>
          </w:p>
        </w:tc>
        <w:tc>
          <w:tcPr>
            <w:tcW w:w="105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450</w:t>
            </w:r>
          </w:p>
        </w:tc>
        <w:tc>
          <w:tcPr>
            <w:tcW w:w="105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130</w:t>
            </w:r>
          </w:p>
        </w:tc>
        <w:tc>
          <w:tcPr>
            <w:tcW w:w="105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580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215" w:type="dxa"/>
            <w:gridSpan w:val="2"/>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Koron- ja valuutanvaihtosopimukset</w:t>
            </w:r>
          </w:p>
        </w:tc>
        <w:tc>
          <w:tcPr>
            <w:tcW w:w="105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237</w:t>
            </w:r>
          </w:p>
        </w:tc>
        <w:tc>
          <w:tcPr>
            <w:tcW w:w="1050"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5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237</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215" w:type="dxa"/>
            <w:gridSpan w:val="2"/>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050" w:type="dxa"/>
            <w:tcBorders>
              <w:top w:val="single" w:sz="8" w:space="0" w:color="0F172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50" w:type="dxa"/>
            <w:tcBorders>
              <w:top w:val="single" w:sz="8" w:space="0" w:color="0F172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5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4 327</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30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3915"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5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50" w:type="dxa"/>
            <w:tcBorders>
              <w:top w:val="single" w:sz="8" w:space="0" w:color="0F172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5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215" w:type="dxa"/>
            <w:gridSpan w:val="2"/>
            <w:tcBorders>
              <w:top w:val="single" w:sz="4" w:space="0" w:color="004A6B"/>
              <w:left w:val="nil"/>
              <w:bottom w:val="single" w:sz="4" w:space="0" w:color="004A6B"/>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Johdannaisinstrumenttien markkina-arvostukset (taso 2)</w:t>
            </w:r>
          </w:p>
        </w:tc>
        <w:tc>
          <w:tcPr>
            <w:tcW w:w="10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50" w:type="dxa"/>
            <w:tcBorders>
              <w:top w:val="single" w:sz="4" w:space="0" w:color="004A6B"/>
              <w:left w:val="nil"/>
              <w:bottom w:val="single" w:sz="4" w:space="0" w:color="004A6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5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215" w:type="dxa"/>
            <w:gridSpan w:val="2"/>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Valuuttatermiinit, transaktioriski</w:t>
            </w:r>
          </w:p>
        </w:tc>
        <w:tc>
          <w:tcPr>
            <w:tcW w:w="105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34</w:t>
            </w:r>
          </w:p>
        </w:tc>
        <w:tc>
          <w:tcPr>
            <w:tcW w:w="105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-23</w:t>
            </w:r>
          </w:p>
        </w:tc>
        <w:tc>
          <w:tcPr>
            <w:tcW w:w="105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215" w:type="dxa"/>
            <w:gridSpan w:val="2"/>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Koronvaihtosopimukset</w:t>
            </w:r>
          </w:p>
        </w:tc>
        <w:tc>
          <w:tcPr>
            <w:tcW w:w="105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c>
          <w:tcPr>
            <w:tcW w:w="1050" w:type="dxa"/>
            <w:tcBorders>
              <w:top w:val="single" w:sz="4" w:space="0" w:color="004A6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c>
          <w:tcPr>
            <w:tcW w:w="105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-6</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215" w:type="dxa"/>
            <w:gridSpan w:val="2"/>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Koron- ja valuutanvaihtosopimukset</w:t>
            </w:r>
          </w:p>
        </w:tc>
        <w:tc>
          <w:tcPr>
            <w:tcW w:w="1050"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c>
          <w:tcPr>
            <w:tcW w:w="1050" w:type="dxa"/>
            <w:tcBorders>
              <w:top w:val="single" w:sz="4" w:space="0" w:color="004A6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5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-12</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215" w:type="dxa"/>
            <w:gridSpan w:val="2"/>
            <w:tcBorders>
              <w:top w:val="single" w:sz="8" w:space="0" w:color="0F172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050" w:type="dxa"/>
            <w:tcBorders>
              <w:top w:val="single" w:sz="8" w:space="0" w:color="0F172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050" w:type="dxa"/>
            <w:tcBorders>
              <w:top w:val="single" w:sz="8" w:space="0" w:color="0F172B"/>
              <w:left w:val="nil"/>
              <w:bottom w:val="single" w:sz="8" w:space="0" w:color="0F172B"/>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p>
        </w:tc>
        <w:tc>
          <w:tcPr>
            <w:tcW w:w="105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w:t>
            </w:r>
          </w:p>
        </w:tc>
      </w:tr>
    </w:tbl>
    <w:p w:rsidR="00253764" w:rsidRPr="00CF7C22" w:rsidP="00253764" w14:paraId="5FB37B8A" w14:textId="77777777">
      <w:pPr>
        <w:pStyle w:val="Bodytext2"/>
        <w:rPr>
          <w:lang w:val="fi-FI"/>
        </w:rPr>
      </w:pPr>
    </w:p>
    <w:p w:rsidR="00253764" w:rsidRPr="00253764" w:rsidP="00253764" w14:paraId="2BF20A4F" w14:textId="5AA61E78">
      <w:pPr>
        <w:pStyle w:val="Bodytext2"/>
        <w:rPr>
          <w:lang w:val="fi-FI"/>
        </w:rPr>
      </w:pPr>
      <w:r w:rsidRPr="00253764">
        <w:rPr>
          <w:lang w:val="fi-FI"/>
        </w:rPr>
        <w:t xml:space="preserve">Valuuttatermiinit on tehty transaktioriskien suojaamiseksi ja ne on kohdistettu suojattuihin kassavirtoihin. Koronvaihtosopimukset ovat euromääräisiä ja keskimääräinen juoksuaika ulkopuolisille sopimuksille on </w:t>
      </w:r>
      <w:r>
        <w:rPr>
          <w:lang w:val="fi-FI"/>
        </w:rPr>
        <w:t>52</w:t>
      </w:r>
      <w:r w:rsidRPr="00253764">
        <w:rPr>
          <w:lang w:val="fi-FI"/>
        </w:rPr>
        <w:t xml:space="preserve"> (</w:t>
      </w:r>
      <w:r>
        <w:rPr>
          <w:lang w:val="fi-FI"/>
        </w:rPr>
        <w:t>59</w:t>
      </w:r>
      <w:r w:rsidRPr="00253764">
        <w:rPr>
          <w:lang w:val="fi-FI"/>
        </w:rPr>
        <w:t xml:space="preserve">) kuukautta ja </w:t>
      </w:r>
      <w:r>
        <w:rPr>
          <w:lang w:val="fi-FI"/>
        </w:rPr>
        <w:t>113 (125)</w:t>
      </w:r>
      <w:r w:rsidRPr="00253764">
        <w:rPr>
          <w:lang w:val="fi-FI"/>
        </w:rPr>
        <w:t xml:space="preserve"> kuukautta</w:t>
      </w:r>
      <w:r w:rsidRPr="00253764">
        <w:rPr>
          <w:lang w:val="fi-FI"/>
        </w:rPr>
        <w:t xml:space="preserve"> sisäi</w:t>
      </w:r>
      <w:r w:rsidRPr="00253764">
        <w:rPr>
          <w:lang w:val="fi-FI"/>
        </w:rPr>
        <w:t xml:space="preserve">sille sopimuksille. Koron- ja valuutanvaihtosopimusten keskimääräinen juoksuaika on </w:t>
      </w:r>
      <w:r>
        <w:rPr>
          <w:lang w:val="fi-FI"/>
        </w:rPr>
        <w:t>31</w:t>
      </w:r>
      <w:r w:rsidRPr="00253764">
        <w:rPr>
          <w:lang w:val="fi-FI"/>
        </w:rPr>
        <w:t xml:space="preserve"> (</w:t>
      </w:r>
      <w:r>
        <w:rPr>
          <w:lang w:val="fi-FI"/>
        </w:rPr>
        <w:t>30</w:t>
      </w:r>
      <w:r w:rsidRPr="00253764">
        <w:rPr>
          <w:lang w:val="fi-FI"/>
        </w:rPr>
        <w:t>) kuukautta.</w:t>
      </w:r>
    </w:p>
    <w:p w:rsidR="004A0DF2" w:rsidP="00040FD4" w14:textId="49B4F85E">
      <w:pPr>
        <w:pStyle w:val="Heading11"/>
        <w:rPr>
          <w:lang w:val="fi-FI"/>
        </w:rPr>
      </w:pPr>
      <w:bookmarkStart w:id="1521" w:name="RG_MARKER_7407"/>
      <w:r>
        <w:rPr>
          <w:lang w:val="fi-FI"/>
        </w:rPr>
        <w:t>16. RAHOITUSRISKIT</w:t>
      </w:r>
      <w:bookmarkEnd w:id="1521"/>
    </w:p>
    <w:p w:rsidR="00040FD4" w:rsidRPr="00040FD4" w:rsidP="00040FD4" w14:paraId="70E4BDCD" w14:textId="77777777">
      <w:pPr>
        <w:pStyle w:val="Heading12"/>
        <w:rPr>
          <w:lang w:val="fi-FI"/>
        </w:rPr>
      </w:pPr>
      <w:r w:rsidRPr="00040FD4">
        <w:rPr>
          <w:lang w:val="fi-FI"/>
        </w:rPr>
        <w:t>Yleistä</w:t>
      </w:r>
    </w:p>
    <w:p w:rsidR="00040FD4" w:rsidRPr="00040FD4" w:rsidP="00040FD4" w14:paraId="125264FA" w14:textId="77777777">
      <w:pPr>
        <w:pStyle w:val="Bodytext2"/>
        <w:rPr>
          <w:lang w:val="fi-FI"/>
        </w:rPr>
      </w:pPr>
      <w:r w:rsidRPr="00040FD4">
        <w:rPr>
          <w:lang w:val="fi-FI"/>
        </w:rPr>
        <w:t>Konsernin keskitetyllä rahoitustoiminnolla on kaksi päätehtävää: hankkia riittävästi rahoitusta konsernin tarpeisiin kilpailukykyisellä hinnalla, ja tunnistaa ja arvioida konsernin rahoitusriskit sekä tehdä konserniyhtiöiden tarvitsemat suojaukset. Konsern</w:t>
      </w:r>
      <w:r w:rsidRPr="00040FD4">
        <w:rPr>
          <w:lang w:val="fi-FI"/>
        </w:rPr>
        <w:t>irahoitus on osa emoyhtiön organisaatiota.</w:t>
      </w:r>
    </w:p>
    <w:p w:rsidR="00040FD4" w:rsidRPr="00040FD4" w:rsidP="00040FD4" w14:paraId="7DF875E7" w14:textId="6A0ED989">
      <w:pPr>
        <w:pStyle w:val="Bodytext2"/>
        <w:rPr>
          <w:lang w:val="fi-FI"/>
        </w:rPr>
      </w:pPr>
      <w:r w:rsidRPr="00040FD4">
        <w:rPr>
          <w:lang w:val="fi-FI"/>
        </w:rPr>
        <w:t xml:space="preserve">Rahoitusriskien hallinta on kuvattu yksityiskohtaisesti konsernitilinpäätöksen liitetiedossa </w:t>
      </w:r>
      <w:r>
        <w:rPr>
          <w:lang w:val="fi-FI"/>
        </w:rPr>
        <w:t>5.8</w:t>
      </w:r>
      <w:r w:rsidRPr="00040FD4">
        <w:rPr>
          <w:lang w:val="fi-FI"/>
        </w:rPr>
        <w:t>. Konsernin maksuvalmius- ja korkoriskejä hallitaan emoyhtiön tasolla, ja siten ne soveltuvat myös emoyhtiöön.</w:t>
      </w:r>
    </w:p>
    <w:p w:rsidR="00040FD4" w:rsidP="00040FD4" w14:paraId="78B29932" w14:textId="77777777">
      <w:pPr>
        <w:pStyle w:val="Bodytext2"/>
        <w:rPr>
          <w:lang w:val="fi-FI"/>
        </w:rPr>
      </w:pPr>
    </w:p>
    <w:p w:rsidR="00040FD4" w:rsidRPr="00040FD4" w:rsidP="00040FD4" w14:paraId="3FD009C4" w14:textId="25F9BC1E">
      <w:pPr>
        <w:pStyle w:val="Heading12"/>
        <w:rPr>
          <w:lang w:val="fi-FI"/>
        </w:rPr>
      </w:pPr>
      <w:r w:rsidRPr="00040FD4">
        <w:rPr>
          <w:lang w:val="fi-FI"/>
        </w:rPr>
        <w:t>Valuu</w:t>
      </w:r>
      <w:r w:rsidRPr="00040FD4">
        <w:rPr>
          <w:lang w:val="fi-FI"/>
        </w:rPr>
        <w:t>ttariski</w:t>
      </w:r>
    </w:p>
    <w:p w:rsidR="00040FD4" w:rsidRPr="00040FD4" w:rsidP="00040FD4" w14:paraId="402781ED" w14:textId="78D5E6B0">
      <w:pPr>
        <w:pStyle w:val="Bodytext2"/>
        <w:rPr>
          <w:lang w:val="fi-FI"/>
        </w:rPr>
      </w:pPr>
      <w:r w:rsidRPr="00040FD4">
        <w:rPr>
          <w:lang w:val="fi-FI"/>
        </w:rPr>
        <w:t>Operatiivisia valuuttariskejä seurataan ja ne suojataan tytäryritystasolla. Konsernirahoitus toimii vastapuolena näissä suojauksissa, mikäli paikalliset säännökset sallivat sen. Jotta konsernin sisäiset valuuttavirrat voitaisiin netottaa sekä vähe</w:t>
      </w:r>
      <w:r w:rsidRPr="00040FD4">
        <w:rPr>
          <w:lang w:val="fi-FI"/>
        </w:rPr>
        <w:t>ntää ulkoisten liiketoimien määrää, konsernirahoituksella on sallittu olevan vähäisiä avoimia valu</w:t>
      </w:r>
      <w:r>
        <w:rPr>
          <w:lang w:val="fi-FI"/>
        </w:rPr>
        <w:t>u</w:t>
      </w:r>
      <w:r w:rsidRPr="00040FD4">
        <w:rPr>
          <w:lang w:val="fi-FI"/>
        </w:rPr>
        <w:t>ttariskejä</w:t>
      </w:r>
      <w:r w:rsidRPr="00040FD4">
        <w:rPr>
          <w:lang w:val="fi-FI"/>
        </w:rPr>
        <w:t>. Konsernirahoituksen kaikki voitot / tappiot kirjataan suoraan rahoituseriin, emmekä odota merkittäviä valuuttakurssivoittoja tai -tappioita konser</w:t>
      </w:r>
      <w:r w:rsidRPr="00040FD4">
        <w:rPr>
          <w:lang w:val="fi-FI"/>
        </w:rPr>
        <w:t>nin rahoitustoiminnasta.</w:t>
      </w:r>
    </w:p>
    <w:p/>
    <w:p w:rsidR="00F931E6" w:rsidRPr="00F931E6" w:rsidP="00F931E6" w14:paraId="0A1CD72B" w14:textId="16DAD78A">
      <w:pPr>
        <w:pStyle w:val="Heading11"/>
        <w:rPr>
          <w:lang w:val="fi-FI"/>
        </w:rPr>
      </w:pPr>
      <w:bookmarkStart w:id="1522" w:name="RG_MARKER_7408"/>
      <w:r w:rsidRPr="00F931E6">
        <w:rPr>
          <w:lang w:val="fi-FI"/>
        </w:rPr>
        <w:t>17. ANNETUT VAKUUDET, VASTUUSITOUMUKSET JA MUUT VAST</w:t>
      </w:r>
      <w:bookmarkEnd w:id="1522"/>
      <w:r>
        <w:rPr>
          <w:lang w:val="fi-FI"/>
        </w:rPr>
        <w:t>UUT</w:t>
      </w:r>
    </w:p>
    <w:tbl>
      <w:tblPr>
        <w:tblStyle w:val="TableNormal"/>
        <w:tblCaption w:val="parent_17"/>
        <w:tblDescription w:val="17. Collateral, contingent liabilities and other commitments"/>
        <w:tblW w:w="7365" w:type="dxa"/>
        <w:tblLayout w:type="fixed"/>
        <w:tblLook w:val="0600"/>
      </w:tblPr>
      <w:tblGrid>
        <w:gridCol w:w="4185"/>
        <w:gridCol w:w="1590"/>
        <w:gridCol w:w="1590"/>
      </w:tblGrid>
      <w:tr>
        <w:tblPrEx>
          <w:tblW w:w="7365" w:type="dxa"/>
          <w:tblLayout w:type="fixed"/>
          <w:tblLook w:val="0600"/>
        </w:tblPrEx>
        <w:trPr>
          <w:trHeight w:val="240"/>
        </w:trPr>
        <w:tc>
          <w:tcPr>
            <w:tcW w:w="4185" w:type="dxa"/>
            <w:tcBorders>
              <w:top w:val="nil"/>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MEUR</w:t>
            </w:r>
          </w:p>
        </w:tc>
        <w:tc>
          <w:tcPr>
            <w:tcW w:w="1590" w:type="dxa"/>
            <w:tcBorders>
              <w:top w:val="nil"/>
              <w:left w:val="nil"/>
              <w:bottom w:val="single" w:sz="8" w:space="0" w:color="0F172B"/>
              <w:right w:val="nil"/>
              <w:tl2br w:val="nil"/>
              <w:tr2bl w:val="nil"/>
            </w:tcBorders>
            <w:shd w:val="clear" w:color="FFFFFF" w:fill="EBEBEB"/>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590" w:type="dxa"/>
            <w:tcBorders>
              <w:top w:val="nil"/>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Takaukset ja vastuusitoumukset</w:t>
            </w:r>
          </w:p>
        </w:tc>
        <w:tc>
          <w:tcPr>
            <w:tcW w:w="1590" w:type="dxa"/>
            <w:tcBorders>
              <w:top w:val="single" w:sz="8" w:space="0" w:color="0F172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p>
        </w:tc>
        <w:tc>
          <w:tcPr>
            <w:tcW w:w="159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Samaan konserniin kuuluvien yritysten puolesta</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4 162</w:t>
            </w:r>
          </w:p>
        </w:tc>
        <w:tc>
          <w:tcPr>
            <w:tcW w:w="159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2 889</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590" w:type="dxa"/>
            <w:tcBorders>
              <w:top w:val="single" w:sz="8" w:space="0" w:color="0F172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4 162</w:t>
            </w:r>
          </w:p>
        </w:tc>
        <w:tc>
          <w:tcPr>
            <w:tcW w:w="159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2 889</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p>
        </w:tc>
        <w:tc>
          <w:tcPr>
            <w:tcW w:w="1590" w:type="dxa"/>
            <w:tcBorders>
              <w:top w:val="single" w:sz="8" w:space="0" w:color="0F172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590" w:type="dxa"/>
            <w:tcBorders>
              <w:top w:val="single" w:sz="8" w:space="0" w:color="0F172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185" w:type="dxa"/>
            <w:tcBorders>
              <w:top w:val="single" w:sz="4" w:space="0" w:color="004A6B"/>
              <w:left w:val="nil"/>
              <w:bottom w:val="single" w:sz="4" w:space="0" w:color="004A6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Leasingvuokrasopimusten mukaisten vuokrien nimellisarvot</w:t>
            </w:r>
          </w:p>
        </w:tc>
        <w:tc>
          <w:tcPr>
            <w:tcW w:w="1590" w:type="dxa"/>
            <w:tcBorders>
              <w:top w:val="single" w:sz="4" w:space="0" w:color="004A6B"/>
              <w:left w:val="nil"/>
              <w:bottom w:val="single" w:sz="4" w:space="0" w:color="004A6B"/>
              <w:right w:val="nil"/>
              <w:tl2br w:val="nil"/>
              <w:tr2bl w:val="nil"/>
            </w:tcBorders>
            <w:shd w:val="clear" w:color="FFFFFF" w:fill="EBEBEB"/>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c>
          <w:tcPr>
            <w:tcW w:w="1590" w:type="dxa"/>
            <w:tcBorders>
              <w:top w:val="single" w:sz="4" w:space="0" w:color="004A6B"/>
              <w:left w:val="nil"/>
              <w:bottom w:val="single" w:sz="4" w:space="0" w:color="004A6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Seuraavan vuoden aikana maksettavat</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4</w:t>
            </w:r>
          </w:p>
        </w:tc>
        <w:tc>
          <w:tcPr>
            <w:tcW w:w="15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Myöhemmin maksettavat</w:t>
            </w:r>
          </w:p>
        </w:tc>
        <w:tc>
          <w:tcPr>
            <w:tcW w:w="1590" w:type="dxa"/>
            <w:tcBorders>
              <w:top w:val="single" w:sz="4" w:space="0" w:color="004A6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23</w:t>
            </w:r>
          </w:p>
        </w:tc>
        <w:tc>
          <w:tcPr>
            <w:tcW w:w="159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26</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590" w:type="dxa"/>
            <w:tcBorders>
              <w:top w:val="single" w:sz="8" w:space="0" w:color="0F172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27</w:t>
            </w:r>
          </w:p>
        </w:tc>
        <w:tc>
          <w:tcPr>
            <w:tcW w:w="159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30</w:t>
            </w:r>
          </w:p>
        </w:tc>
      </w:tr>
    </w:tbl>
    <w:p w:rsidR="004A0DF2" w:rsidRPr="00C47245" w:rsidP="00F931E6" w14:textId="659721A8">
      <w:pPr>
        <w:pStyle w:val="Bodytext2"/>
        <w:rPr>
          <w:sz w:val="2"/>
          <w:szCs w:val="2"/>
          <w:lang w:val="fi-FI"/>
        </w:rPr>
      </w:pPr>
      <w:r w:rsidRPr="00C47245">
        <w:rPr>
          <w:sz w:val="2"/>
          <w:szCs w:val="2"/>
          <w:lang w:val="fi-FI"/>
        </w:rPr>
        <w:br w:type="column"/>
      </w:r>
    </w:p>
    <w:p w:rsidR="004A0DF2" w:rsidP="004C619D" w14:textId="72A2A722">
      <w:pPr>
        <w:pStyle w:val="Heading11"/>
        <w:rPr>
          <w:lang w:val="fi-FI"/>
        </w:rPr>
      </w:pPr>
      <w:bookmarkStart w:id="1523" w:name="RG_MARKER_7409"/>
      <w:r>
        <w:rPr>
          <w:lang w:val="fi-FI"/>
        </w:rPr>
        <w:t>18. LÄHIPIIRILAINAT JA MUUT SITOUMUKSET</w:t>
      </w:r>
      <w:bookmarkEnd w:id="1523"/>
    </w:p>
    <w:p w:rsidR="004C619D" w:rsidRPr="004C619D" w:rsidP="002642EE" w14:paraId="64F2AFEC" w14:textId="766B01B2">
      <w:pPr>
        <w:pStyle w:val="Bodytext2"/>
        <w:rPr>
          <w:lang w:val="fi-FI"/>
        </w:rPr>
      </w:pPr>
      <w:r w:rsidRPr="004C619D">
        <w:rPr>
          <w:lang w:val="fi-FI"/>
        </w:rPr>
        <w:t xml:space="preserve">Konsernin johdolta ja hallituksen jäseniltä ei ole lainasaamisia. Johdon ja osakkaiden puolesta ei ole annettu pantteja tai muita vastuita. Konserniliitetiedossa </w:t>
      </w:r>
      <w:r>
        <w:rPr>
          <w:lang w:val="fi-FI"/>
        </w:rPr>
        <w:t>7.2.</w:t>
      </w:r>
      <w:r w:rsidRPr="004C619D">
        <w:rPr>
          <w:lang w:val="fi-FI"/>
        </w:rPr>
        <w:t xml:space="preserve"> on eritelty lähipiiritapahtumat. Lähipiiriin kuuluvat hallituksen jäsenet, toimitusjohtaj</w:t>
      </w:r>
      <w:r w:rsidRPr="004C619D">
        <w:rPr>
          <w:lang w:val="fi-FI"/>
        </w:rPr>
        <w:t>a ja johtokunnan jäsenet sekä osakkuus- ja yhteisyritykset. Emoyhtiön liitetiedoissa 8. ja 13. on eritelty tytäryhtiöiden saamiset ja lainat.</w:t>
      </w:r>
    </w:p>
    <w:p/>
    <w:p w:rsidR="00DB28E9" w:rsidRPr="00DB28E9" w:rsidP="00DB28E9" w14:paraId="5B9FFE68" w14:textId="1151DFD3">
      <w:pPr>
        <w:pStyle w:val="Heading11"/>
        <w:rPr>
          <w:rFonts w:eastAsiaTheme="minorEastAsia" w:cstheme="minorHAnsi"/>
          <w:lang w:val="fi-FI" w:eastAsia="fi-FI"/>
        </w:rPr>
      </w:pPr>
      <w:bookmarkStart w:id="1524" w:name="RG_MARKER_7410"/>
      <w:r w:rsidRPr="00DB28E9">
        <w:rPr>
          <w:lang w:val="fi-FI"/>
        </w:rPr>
        <w:t>19. TILINTARKASTAJIEN PALKKIOT</w:t>
      </w:r>
      <w:bookmarkEnd w:id="1524"/>
    </w:p>
    <w:p w:rsidR="00DB28E9" w:rsidRPr="00DB28E9" w:rsidP="00DB28E9" w14:paraId="118C0970" w14:textId="77777777">
      <w:pPr>
        <w:pStyle w:val="Bodytext2"/>
        <w:rPr>
          <w:lang w:val="fi-FI"/>
        </w:rPr>
      </w:pPr>
      <w:r w:rsidRPr="00DB28E9">
        <w:rPr>
          <w:lang w:val="fi-FI"/>
        </w:rPr>
        <w:t>Seuraavat palkkiot maksettiin tilintarkastajille ja tilintarkastustoimistolle lakisääteisistä tarkastuksista sekä palveluista.</w:t>
      </w:r>
    </w:p>
    <w:p w:rsidR="00DB28E9" w:rsidP="00DB28E9" w14:paraId="590EE0B7" w14:textId="77777777">
      <w:pPr>
        <w:pStyle w:val="Bodytext2"/>
        <w:rPr>
          <w:lang w:val="fi-FI"/>
        </w:rPr>
      </w:pPr>
    </w:p>
    <w:p w:rsidR="00DB28E9" w:rsidRPr="00DB28E9" w:rsidP="00DB28E9" w14:paraId="395E30AD" w14:textId="3EF6DC9E">
      <w:pPr>
        <w:pStyle w:val="Bodytext2"/>
        <w:rPr>
          <w:lang w:val="fi-FI"/>
        </w:rPr>
      </w:pPr>
      <w:r w:rsidRPr="00DB28E9">
        <w:rPr>
          <w:lang w:val="fi-FI"/>
        </w:rPr>
        <w:t>Vuonna 20</w:t>
      </w:r>
      <w:r>
        <w:rPr>
          <w:lang w:val="fi-FI"/>
        </w:rPr>
        <w:t>21</w:t>
      </w:r>
      <w:r w:rsidRPr="00DB28E9">
        <w:rPr>
          <w:lang w:val="fi-FI"/>
        </w:rPr>
        <w:t xml:space="preserve"> yhtiökokous valitsi Wärtsilä Oyj Abp:n</w:t>
      </w:r>
      <w:r w:rsidRPr="00DB28E9">
        <w:rPr>
          <w:lang w:val="fi-FI"/>
        </w:rPr>
        <w:t xml:space="preserve"> tilintarkastajaksi tilintarkastusyhteisön PricewaterhouseCoopers Oy.</w:t>
      </w:r>
    </w:p>
    <w:p w:rsidR="00DB28E9" w:rsidRPr="007C7ADA" w:rsidP="00DB28E9" w14:paraId="0E7EF6F2" w14:textId="77777777">
      <w:pPr>
        <w:pStyle w:val="Bodytext2"/>
        <w:rPr>
          <w:lang w:val="fi-FI"/>
        </w:rPr>
      </w:pPr>
    </w:p>
    <w:p w:rsidR="00DB28E9" w:rsidP="00DB28E9" w14:paraId="7D422220" w14:textId="4FDAB43D">
      <w:pPr>
        <w:pStyle w:val="Heading12"/>
      </w:pPr>
      <w:r>
        <w:t>Tilintarkastajien palkkiot</w:t>
      </w:r>
    </w:p>
    <w:p w:rsidR="00B6179A" w:rsidP="00DB28E9" w14:paraId="02D8AF72" w14:textId="77777777">
      <w:pPr>
        <w:pStyle w:val="Bodytext2"/>
      </w:pPr>
    </w:p>
    <w:tbl>
      <w:tblPr>
        <w:tblStyle w:val="TableNormal"/>
        <w:tblCaption w:val="parent_19"/>
        <w:tblDescription w:val="19. Auditors' fees and services"/>
        <w:tblW w:w="7365" w:type="dxa"/>
        <w:tblLayout w:type="fixed"/>
        <w:tblLook w:val="0600"/>
      </w:tblPr>
      <w:tblGrid>
        <w:gridCol w:w="4185"/>
        <w:gridCol w:w="1590"/>
        <w:gridCol w:w="1590"/>
      </w:tblGrid>
      <w:tr>
        <w:tblPrEx>
          <w:tblW w:w="7365" w:type="dxa"/>
          <w:tblLayout w:type="fixed"/>
          <w:tblLook w:val="0600"/>
        </w:tblPrEx>
        <w:trPr>
          <w:trHeight w:val="240"/>
        </w:trPr>
        <w:tc>
          <w:tcPr>
            <w:tcW w:w="4185" w:type="dxa"/>
            <w:tcBorders>
              <w:top w:val="nil"/>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TEUR</w:t>
            </w:r>
          </w:p>
        </w:tc>
        <w:tc>
          <w:tcPr>
            <w:tcW w:w="1590" w:type="dxa"/>
            <w:tcBorders>
              <w:top w:val="nil"/>
              <w:left w:val="nil"/>
              <w:bottom w:val="single" w:sz="8" w:space="0" w:color="0F172B"/>
              <w:right w:val="nil"/>
              <w:tl2br w:val="nil"/>
              <w:tr2bl w:val="nil"/>
            </w:tcBorders>
            <w:shd w:val="clear" w:color="FFFFFF" w:fill="EBEBEB"/>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2021</w:t>
            </w:r>
          </w:p>
        </w:tc>
        <w:tc>
          <w:tcPr>
            <w:tcW w:w="1590" w:type="dxa"/>
            <w:tcBorders>
              <w:top w:val="nil"/>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2020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Tilintarkastus</w:t>
            </w:r>
          </w:p>
        </w:tc>
        <w:tc>
          <w:tcPr>
            <w:tcW w:w="1590" w:type="dxa"/>
            <w:tcBorders>
              <w:top w:val="single" w:sz="8" w:space="0" w:color="0F172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340</w:t>
            </w:r>
          </w:p>
        </w:tc>
        <w:tc>
          <w:tcPr>
            <w:tcW w:w="159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341</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Veroneuvonta</w:t>
            </w:r>
          </w:p>
        </w:tc>
        <w:tc>
          <w:tcPr>
            <w:tcW w:w="1590" w:type="dxa"/>
            <w:tcBorders>
              <w:top w:val="single" w:sz="4" w:space="0" w:color="004A6B"/>
              <w:left w:val="nil"/>
              <w:bottom w:val="single" w:sz="4" w:space="0" w:color="004A6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3</w:t>
            </w:r>
          </w:p>
        </w:tc>
        <w:tc>
          <w:tcPr>
            <w:tcW w:w="1590" w:type="dxa"/>
            <w:tcBorders>
              <w:top w:val="single" w:sz="4" w:space="0" w:color="004A6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4185"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Muut palvelut</w:t>
            </w:r>
          </w:p>
        </w:tc>
        <w:tc>
          <w:tcPr>
            <w:tcW w:w="1590" w:type="dxa"/>
            <w:tcBorders>
              <w:top w:val="single" w:sz="4" w:space="0" w:color="004A6B"/>
              <w:left w:val="nil"/>
              <w:bottom w:val="single" w:sz="8" w:space="0" w:color="0F172B"/>
              <w:right w:val="nil"/>
              <w:tl2br w:val="nil"/>
              <w:tr2bl w:val="nil"/>
            </w:tcBorders>
            <w:shd w:val="clear" w:color="FFFFFF" w:fill="EBEBEB"/>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201</w:t>
            </w:r>
          </w:p>
        </w:tc>
        <w:tc>
          <w:tcPr>
            <w:tcW w:w="1590" w:type="dxa"/>
            <w:tcBorders>
              <w:top w:val="single" w:sz="4" w:space="0" w:color="004A6B"/>
              <w:left w:val="nil"/>
              <w:bottom w:val="single" w:sz="8" w:space="0" w:color="0F172B"/>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4185"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Yhteensä</w:t>
            </w:r>
          </w:p>
        </w:tc>
        <w:tc>
          <w:tcPr>
            <w:tcW w:w="1590" w:type="dxa"/>
            <w:tcBorders>
              <w:top w:val="single" w:sz="8" w:space="0" w:color="0F172B"/>
              <w:left w:val="nil"/>
              <w:bottom w:val="single" w:sz="8" w:space="0" w:color="0F172B"/>
              <w:right w:val="nil"/>
              <w:tl2br w:val="nil"/>
              <w:tr2bl w:val="nil"/>
            </w:tcBorders>
            <w:shd w:val="clear" w:color="FFFFFF" w:fill="EBEBEB"/>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544</w:t>
            </w:r>
          </w:p>
        </w:tc>
        <w:tc>
          <w:tcPr>
            <w:tcW w:w="1590" w:type="dxa"/>
            <w:tcBorders>
              <w:top w:val="single" w:sz="8" w:space="0" w:color="0F172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355</w:t>
            </w:r>
          </w:p>
        </w:tc>
      </w:tr>
    </w:tbl>
    <w:p w:rsidR="007F6214" w:rsidRPr="007F6214" w:rsidP="007F6214" w14:paraId="4848B543" w14:textId="77777777">
      <w:pPr>
        <w:pStyle w:val="Heading10"/>
        <w:pageBreakBefore/>
        <w:rPr>
          <w:lang w:val="fi-FI"/>
        </w:rPr>
      </w:pPr>
      <w:bookmarkStart w:id="1525" w:name="RG_MARKER_7411"/>
      <w:r w:rsidRPr="007F6214">
        <w:rPr>
          <w:lang w:val="fi-FI"/>
        </w:rPr>
        <w:t>HALLITUKSEN EHDOTUS</w:t>
      </w:r>
      <w:bookmarkEnd w:id="1525"/>
    </w:p>
    <w:p w:rsidR="007F6214" w:rsidRPr="00F15C4F" w:rsidP="007F6214" w14:paraId="285EB36B" w14:textId="50A4C77C">
      <w:pPr>
        <w:pStyle w:val="Bodytext2"/>
        <w:rPr>
          <w:lang w:val="fi-FI"/>
        </w:rPr>
      </w:pPr>
      <w:r w:rsidRPr="00F15C4F">
        <w:rPr>
          <w:lang w:val="fi-FI"/>
        </w:rPr>
        <w:t xml:space="preserve">Emoyhtiön voitonjakokelpoiset varat ovat </w:t>
      </w:r>
      <w:r w:rsidR="00AE25C3">
        <w:rPr>
          <w:lang w:val="fi-FI"/>
        </w:rPr>
        <w:t>1.025</w:t>
      </w:r>
      <w:r w:rsidRPr="00F15C4F">
        <w:rPr>
          <w:lang w:val="fi-FI"/>
        </w:rPr>
        <w:t>.</w:t>
      </w:r>
      <w:r w:rsidR="00AE25C3">
        <w:rPr>
          <w:lang w:val="fi-FI"/>
        </w:rPr>
        <w:t>711.618</w:t>
      </w:r>
      <w:r w:rsidRPr="00F15C4F">
        <w:rPr>
          <w:lang w:val="fi-FI"/>
        </w:rPr>
        <w:t>,</w:t>
      </w:r>
      <w:r w:rsidR="00AE25C3">
        <w:rPr>
          <w:lang w:val="fi-FI"/>
        </w:rPr>
        <w:t>25</w:t>
      </w:r>
      <w:r w:rsidRPr="00F15C4F">
        <w:rPr>
          <w:lang w:val="fi-FI"/>
        </w:rPr>
        <w:t xml:space="preserve"> euroa, josta tilikauden voitto on </w:t>
      </w:r>
      <w:r w:rsidR="00AE25C3">
        <w:rPr>
          <w:lang w:val="fi-FI"/>
        </w:rPr>
        <w:t>188</w:t>
      </w:r>
      <w:r w:rsidRPr="00F15C4F">
        <w:rPr>
          <w:lang w:val="fi-FI"/>
        </w:rPr>
        <w:t>.</w:t>
      </w:r>
      <w:r w:rsidR="00AE25C3">
        <w:rPr>
          <w:lang w:val="fi-FI"/>
        </w:rPr>
        <w:t>242</w:t>
      </w:r>
      <w:r w:rsidRPr="00F15C4F">
        <w:rPr>
          <w:lang w:val="fi-FI"/>
        </w:rPr>
        <w:t>.</w:t>
      </w:r>
      <w:r w:rsidR="00AE25C3">
        <w:rPr>
          <w:lang w:val="fi-FI"/>
        </w:rPr>
        <w:t>150</w:t>
      </w:r>
      <w:r w:rsidRPr="00F15C4F">
        <w:rPr>
          <w:lang w:val="fi-FI"/>
        </w:rPr>
        <w:t>,</w:t>
      </w:r>
      <w:r w:rsidR="00AE25C3">
        <w:rPr>
          <w:lang w:val="fi-FI"/>
        </w:rPr>
        <w:t>86</w:t>
      </w:r>
      <w:r w:rsidRPr="00F15C4F">
        <w:rPr>
          <w:lang w:val="fi-FI"/>
        </w:rPr>
        <w:t xml:space="preserve"> euroa. Osinkoon oikeuttavia osakkeita on 59</w:t>
      </w:r>
      <w:r>
        <w:rPr>
          <w:lang w:val="fi-FI"/>
        </w:rPr>
        <w:t>0</w:t>
      </w:r>
      <w:r w:rsidRPr="00F15C4F">
        <w:rPr>
          <w:lang w:val="fi-FI"/>
        </w:rPr>
        <w:t>.</w:t>
      </w:r>
      <w:r>
        <w:rPr>
          <w:lang w:val="fi-FI"/>
        </w:rPr>
        <w:t>023</w:t>
      </w:r>
      <w:r w:rsidRPr="00F15C4F">
        <w:rPr>
          <w:lang w:val="fi-FI"/>
        </w:rPr>
        <w:t>.390 kappaletta.</w:t>
      </w:r>
    </w:p>
    <w:p w:rsidR="007F6214" w:rsidRPr="00F15C4F" w:rsidP="007F6214" w14:paraId="5415CECF" w14:textId="77777777">
      <w:pPr>
        <w:pStyle w:val="Bodytext2"/>
        <w:rPr>
          <w:lang w:val="fi-FI"/>
        </w:rPr>
      </w:pPr>
    </w:p>
    <w:p w:rsidR="007F6214" w:rsidRPr="00F15C4F" w:rsidP="007F6214" w14:paraId="63ABCB37" w14:textId="77777777">
      <w:pPr>
        <w:pStyle w:val="Bodytext2"/>
        <w:rPr>
          <w:lang w:val="fi-FI"/>
        </w:rPr>
      </w:pPr>
      <w:r w:rsidRPr="00F15C4F">
        <w:rPr>
          <w:lang w:val="fi-FI"/>
        </w:rPr>
        <w:t xml:space="preserve">Hallitus ehdottaa yhtiökokoukselle, että </w:t>
      </w:r>
      <w:r w:rsidRPr="00F15C4F">
        <w:rPr>
          <w:lang w:val="fi-FI"/>
        </w:rPr>
        <w:t>voitonjakokelpoiset varat käytetään seuraavasti:</w:t>
      </w:r>
    </w:p>
    <w:p w:rsidR="007F6214" w:rsidP="007F6214" w14:paraId="509FEC06" w14:textId="4BD118C4">
      <w:pPr>
        <w:pStyle w:val="Bodytext2"/>
        <w:rPr>
          <w:lang w:val="fi-FI"/>
        </w:rPr>
      </w:pPr>
    </w:p>
    <w:tbl>
      <w:tblPr>
        <w:tblStyle w:val="TableNormal"/>
        <w:tblCaption w:val="Hallituksen_ehdotus"/>
        <w:tblW w:w="7365" w:type="dxa"/>
        <w:tblLayout w:type="fixed"/>
        <w:tblLook w:val="0600"/>
      </w:tblPr>
      <w:tblGrid>
        <w:gridCol w:w="5775"/>
        <w:gridCol w:w="1590"/>
      </w:tblGrid>
      <w:tr>
        <w:tblPrEx>
          <w:tblW w:w="7365" w:type="dxa"/>
          <w:tblLayout w:type="fixed"/>
          <w:tblLook w:val="0600"/>
        </w:tblPrEx>
        <w:trPr>
          <w:trHeight w:hRule="exact" w:val="315"/>
        </w:trPr>
        <w:tc>
          <w:tcPr>
            <w:tcW w:w="5775" w:type="dxa"/>
            <w:tcBorders>
              <w:top w:val="nil"/>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i w:val="0"/>
                <w:strike w:val="0"/>
                <w:color w:val="000000"/>
                <w:sz w:val="13"/>
                <w:u w:val="none"/>
                <w:vertAlign w:val="baseline"/>
              </w:rPr>
            </w:pPr>
            <w:r>
              <w:rPr>
                <w:rFonts w:ascii="Arial" w:eastAsia="Arial" w:hAnsi="Arial" w:cs="Arial"/>
                <w:b/>
                <w:i w:val="0"/>
                <w:strike w:val="0"/>
                <w:color w:val="000000"/>
                <w:sz w:val="13"/>
                <w:u w:val="none"/>
                <w:vertAlign w:val="baseline"/>
              </w:rPr>
              <w:t>EUR</w:t>
            </w:r>
          </w:p>
        </w:tc>
        <w:tc>
          <w:tcPr>
            <w:tcW w:w="1590" w:type="dxa"/>
            <w:tcBorders>
              <w:top w:val="nil"/>
              <w:left w:val="nil"/>
              <w:bottom w:val="single" w:sz="8" w:space="0" w:color="0F172B"/>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w:eastAsia="Arial" w:hAnsi="Arial" w:cs="Arial"/>
                <w:b/>
                <w:i w:val="0"/>
                <w:strike w:val="0"/>
                <w:color w:val="000000"/>
                <w:sz w:val="16"/>
                <w:u w:val="none"/>
                <w:vertAlign w:val="baseline"/>
              </w:rPr>
            </w:pP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300"/>
        </w:trPr>
        <w:tc>
          <w:tcPr>
            <w:tcW w:w="5775" w:type="dxa"/>
            <w:tcBorders>
              <w:top w:val="single" w:sz="8" w:space="0" w:color="0F172B"/>
              <w:left w:val="nil"/>
              <w:bottom w:val="single" w:sz="4" w:space="0" w:color="004A6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Osinkona jaetaan 0,24 euroa/osake eli yhteensä</w:t>
            </w:r>
          </w:p>
        </w:tc>
        <w:tc>
          <w:tcPr>
            <w:tcW w:w="1590" w:type="dxa"/>
            <w:tcBorders>
              <w:top w:val="single" w:sz="8" w:space="0" w:color="0F172B"/>
              <w:left w:val="nil"/>
              <w:bottom w:val="single" w:sz="4" w:space="0" w:color="004A6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141 605 613,60</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315"/>
        </w:trPr>
        <w:tc>
          <w:tcPr>
            <w:tcW w:w="5775" w:type="dxa"/>
            <w:tcBorders>
              <w:top w:val="single" w:sz="4" w:space="0" w:color="004A6B"/>
              <w:left w:val="nil"/>
              <w:bottom w:val="single" w:sz="8" w:space="0" w:color="0F172B"/>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Jätetään omaan pääomaan</w:t>
            </w:r>
          </w:p>
        </w:tc>
        <w:tc>
          <w:tcPr>
            <w:tcW w:w="1590" w:type="dxa"/>
            <w:tcBorders>
              <w:top w:val="single" w:sz="4" w:space="0" w:color="004A6B"/>
              <w:left w:val="nil"/>
              <w:bottom w:val="single" w:sz="8" w:space="0" w:color="0F172B"/>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884 106 004,65</w:t>
            </w:r>
          </w:p>
        </w:tc>
      </w:tr>
      <w:tr>
        <w:tblPrEx>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300"/>
        </w:trPr>
        <w:tc>
          <w:tcPr>
            <w:tcW w:w="5775" w:type="dxa"/>
            <w:tcBorders>
              <w:top w:val="single" w:sz="8" w:space="0" w:color="0F172B"/>
              <w:left w:val="nil"/>
              <w:bottom w:val="nil"/>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Yhteensä</w:t>
            </w:r>
          </w:p>
        </w:tc>
        <w:tc>
          <w:tcPr>
            <w:tcW w:w="1590" w:type="dxa"/>
            <w:tcBorders>
              <w:top w:val="single" w:sz="8" w:space="0" w:color="0F172B"/>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w:eastAsia="Arial" w:hAnsi="Arial" w:cs="Arial"/>
                <w:b w:val="0"/>
                <w:i w:val="0"/>
                <w:strike w:val="0"/>
                <w:color w:val="000000"/>
                <w:sz w:val="13"/>
                <w:u w:val="none"/>
                <w:vertAlign w:val="baseline"/>
              </w:rPr>
            </w:pPr>
            <w:r>
              <w:rPr>
                <w:rFonts w:ascii="Arial" w:eastAsia="Arial" w:hAnsi="Arial" w:cs="Arial"/>
                <w:b w:val="0"/>
                <w:i w:val="0"/>
                <w:strike w:val="0"/>
                <w:color w:val="000000"/>
                <w:sz w:val="13"/>
                <w:u w:val="none"/>
                <w:vertAlign w:val="baseline"/>
              </w:rPr>
              <w:t>1 025 711 618,25</w:t>
            </w:r>
          </w:p>
        </w:tc>
      </w:tr>
    </w:tbl>
    <w:p w:rsidR="007F6214" w:rsidRPr="00F15C4F" w:rsidP="007F6214" w14:paraId="6D7250D0" w14:textId="77777777">
      <w:pPr>
        <w:pStyle w:val="Bodytext2"/>
        <w:rPr>
          <w:lang w:val="fi-FI"/>
        </w:rPr>
      </w:pPr>
    </w:p>
    <w:p w:rsidR="00042899" w:rsidRPr="00042899" w:rsidP="00042899" w14:paraId="356C96F7" w14:textId="65CDFE54">
      <w:pPr>
        <w:pStyle w:val="Bodytext2"/>
        <w:rPr>
          <w:lang w:val="fi-FI"/>
        </w:rPr>
      </w:pPr>
      <w:r w:rsidRPr="00042899">
        <w:rPr>
          <w:lang w:val="fi-FI"/>
        </w:rPr>
        <w:t xml:space="preserve">Osinko maksetaan kahdessa erässä. Ensimmäinen erä </w:t>
      </w:r>
      <w:r>
        <w:rPr>
          <w:lang w:val="fi-FI"/>
        </w:rPr>
        <w:t>0</w:t>
      </w:r>
      <w:r w:rsidR="00AE25C3">
        <w:rPr>
          <w:lang w:val="fi-FI"/>
        </w:rPr>
        <w:t>,</w:t>
      </w:r>
      <w:r>
        <w:rPr>
          <w:lang w:val="fi-FI"/>
        </w:rPr>
        <w:t>12</w:t>
      </w:r>
      <w:r w:rsidRPr="00042899">
        <w:rPr>
          <w:lang w:val="fi-FI"/>
        </w:rPr>
        <w:t xml:space="preserve"> euroa/osake maksetaan osakkeenomistajalle, joka on osingonmaksun täsmäytyspäivänä </w:t>
      </w:r>
      <w:r>
        <w:rPr>
          <w:lang w:val="fi-FI"/>
        </w:rPr>
        <w:t>7</w:t>
      </w:r>
      <w:r w:rsidRPr="00042899">
        <w:rPr>
          <w:lang w:val="fi-FI"/>
        </w:rPr>
        <w:t>.3.202</w:t>
      </w:r>
      <w:r w:rsidR="00AE25C3">
        <w:rPr>
          <w:lang w:val="fi-FI"/>
        </w:rPr>
        <w:t>2</w:t>
      </w:r>
      <w:r>
        <w:rPr>
          <w:lang w:val="fi-FI"/>
        </w:rPr>
        <w:t xml:space="preserve"> </w:t>
      </w:r>
      <w:r w:rsidRPr="00042899">
        <w:rPr>
          <w:lang w:val="fi-FI"/>
        </w:rPr>
        <w:t>merkitty Euroclear Finland Oy:n pi</w:t>
      </w:r>
      <w:r w:rsidRPr="00042899">
        <w:rPr>
          <w:lang w:val="fi-FI"/>
        </w:rPr>
        <w:t xml:space="preserve">tämään osakasluetteloon. Hallitus esittää, että tämän erän osinko maksetaan </w:t>
      </w:r>
      <w:r>
        <w:rPr>
          <w:lang w:val="fi-FI"/>
        </w:rPr>
        <w:t>14</w:t>
      </w:r>
      <w:r w:rsidRPr="00042899">
        <w:rPr>
          <w:lang w:val="fi-FI"/>
        </w:rPr>
        <w:t>.3.202</w:t>
      </w:r>
      <w:r w:rsidR="00AE25C3">
        <w:rPr>
          <w:lang w:val="fi-FI"/>
        </w:rPr>
        <w:t>2</w:t>
      </w:r>
      <w:r w:rsidRPr="00042899">
        <w:rPr>
          <w:lang w:val="fi-FI"/>
        </w:rPr>
        <w:t>.</w:t>
      </w:r>
    </w:p>
    <w:p w:rsidR="007F6214" w:rsidRPr="00F15C4F" w:rsidP="007F6214" w14:paraId="55932715" w14:textId="1D63BA31">
      <w:pPr>
        <w:pStyle w:val="Bodytext2"/>
        <w:rPr>
          <w:lang w:val="fi-FI"/>
        </w:rPr>
      </w:pPr>
    </w:p>
    <w:p w:rsidR="00042899" w:rsidRPr="00042899" w:rsidP="00042899" w14:paraId="736BBF83" w14:textId="3ADF74B5">
      <w:pPr>
        <w:pStyle w:val="Bodytext2"/>
        <w:rPr>
          <w:lang w:val="fi-FI"/>
        </w:rPr>
      </w:pPr>
      <w:r w:rsidRPr="00042899">
        <w:rPr>
          <w:lang w:val="fi-FI"/>
        </w:rPr>
        <w:t xml:space="preserve">Osingon toinen erä </w:t>
      </w:r>
      <w:r>
        <w:rPr>
          <w:lang w:val="fi-FI"/>
        </w:rPr>
        <w:t>0</w:t>
      </w:r>
      <w:r w:rsidRPr="00042899">
        <w:rPr>
          <w:lang w:val="fi-FI"/>
        </w:rPr>
        <w:t>,</w:t>
      </w:r>
      <w:r>
        <w:rPr>
          <w:lang w:val="fi-FI"/>
        </w:rPr>
        <w:t>12</w:t>
      </w:r>
      <w:r w:rsidRPr="00042899">
        <w:rPr>
          <w:lang w:val="fi-FI"/>
        </w:rPr>
        <w:t xml:space="preserve"> euroa/osake maksetaan </w:t>
      </w:r>
      <w:r>
        <w:rPr>
          <w:lang w:val="fi-FI"/>
        </w:rPr>
        <w:t>lokakuussa</w:t>
      </w:r>
      <w:r w:rsidRPr="00042899">
        <w:rPr>
          <w:lang w:val="fi-FI"/>
        </w:rPr>
        <w:t xml:space="preserve"> 202</w:t>
      </w:r>
      <w:r w:rsidR="00AE25C3">
        <w:rPr>
          <w:lang w:val="fi-FI"/>
        </w:rPr>
        <w:t>2</w:t>
      </w:r>
      <w:r w:rsidRPr="00042899">
        <w:rPr>
          <w:lang w:val="fi-FI"/>
        </w:rPr>
        <w:t>. Osingon toinen erä maksetaan osakkeenomistajalle, joka on osingonmaksun täsmäytyspäivänä merkitty Eurocle</w:t>
      </w:r>
      <w:r w:rsidRPr="00042899">
        <w:rPr>
          <w:lang w:val="fi-FI"/>
        </w:rPr>
        <w:t xml:space="preserve">ar Finland Oy:n pitämään osakasluetteloon. Hallitus päättää </w:t>
      </w:r>
      <w:r>
        <w:rPr>
          <w:lang w:val="fi-FI"/>
        </w:rPr>
        <w:t>27</w:t>
      </w:r>
      <w:r w:rsidRPr="00042899">
        <w:rPr>
          <w:lang w:val="fi-FI"/>
        </w:rPr>
        <w:t>.</w:t>
      </w:r>
      <w:r>
        <w:rPr>
          <w:lang w:val="fi-FI"/>
        </w:rPr>
        <w:t>9</w:t>
      </w:r>
      <w:r w:rsidRPr="00042899">
        <w:rPr>
          <w:lang w:val="fi-FI"/>
        </w:rPr>
        <w:t>.202</w:t>
      </w:r>
      <w:r w:rsidR="00AE25C3">
        <w:rPr>
          <w:lang w:val="fi-FI"/>
        </w:rPr>
        <w:t>2</w:t>
      </w:r>
      <w:r w:rsidRPr="00042899">
        <w:rPr>
          <w:lang w:val="fi-FI"/>
        </w:rPr>
        <w:t xml:space="preserve"> pidettäväksi sovitussa kokouksessaan toisen osinkoerän osingonmaksun täsmäytyspäivän ja osingonmaksupäivän. Suomalaisen arvo-osuusjärjestelmän nykyisten sääntöjen mukaisesti osingon täsm</w:t>
      </w:r>
      <w:r w:rsidRPr="00042899">
        <w:rPr>
          <w:lang w:val="fi-FI"/>
        </w:rPr>
        <w:t xml:space="preserve">äytyspäivä olisi silloin </w:t>
      </w:r>
      <w:r>
        <w:rPr>
          <w:lang w:val="fi-FI"/>
        </w:rPr>
        <w:t>29</w:t>
      </w:r>
      <w:r w:rsidRPr="00042899">
        <w:rPr>
          <w:lang w:val="fi-FI"/>
        </w:rPr>
        <w:t>.9.202</w:t>
      </w:r>
      <w:r w:rsidR="00AE25C3">
        <w:rPr>
          <w:lang w:val="fi-FI"/>
        </w:rPr>
        <w:t>2</w:t>
      </w:r>
      <w:r w:rsidRPr="00042899">
        <w:rPr>
          <w:lang w:val="fi-FI"/>
        </w:rPr>
        <w:t xml:space="preserve"> ja osingon maksupäivä </w:t>
      </w:r>
      <w:r>
        <w:rPr>
          <w:lang w:val="fi-FI"/>
        </w:rPr>
        <w:t>6</w:t>
      </w:r>
      <w:r w:rsidRPr="00042899">
        <w:rPr>
          <w:lang w:val="fi-FI"/>
        </w:rPr>
        <w:t>.</w:t>
      </w:r>
      <w:r>
        <w:rPr>
          <w:lang w:val="fi-FI"/>
        </w:rPr>
        <w:t>10</w:t>
      </w:r>
      <w:r w:rsidRPr="00042899">
        <w:rPr>
          <w:lang w:val="fi-FI"/>
        </w:rPr>
        <w:t>.202</w:t>
      </w:r>
      <w:r w:rsidR="00AE25C3">
        <w:rPr>
          <w:lang w:val="fi-FI"/>
        </w:rPr>
        <w:t>2</w:t>
      </w:r>
      <w:r w:rsidRPr="00042899">
        <w:rPr>
          <w:lang w:val="fi-FI"/>
        </w:rPr>
        <w:t>.</w:t>
      </w:r>
    </w:p>
    <w:p w:rsidR="007F6214" w:rsidRPr="00F15C4F" w:rsidP="007F6214" w14:paraId="5B4A785B" w14:textId="77777777">
      <w:pPr>
        <w:pStyle w:val="Bodytext2"/>
        <w:rPr>
          <w:lang w:val="fi-FI"/>
        </w:rPr>
      </w:pPr>
    </w:p>
    <w:p w:rsidR="00024588" w:rsidP="007F6214" w14:paraId="3D1C500A" w14:textId="77777777">
      <w:pPr>
        <w:pStyle w:val="Bodytext2"/>
        <w:rPr>
          <w:lang w:val="fi-FI"/>
        </w:rPr>
      </w:pPr>
      <w:r w:rsidRPr="00F15C4F">
        <w:rPr>
          <w:lang w:val="fi-FI"/>
        </w:rPr>
        <w:t xml:space="preserve">Yhtiön taloudellisessa asemassa ei tilikauden päättymisen jälkeen ole tapahtunut olennaisia muutoksia. Yhtiön maksuvalmius on hyvä, eikä ehdotettu voitonjako vaaranna </w:t>
      </w:r>
      <w:r w:rsidRPr="00F15C4F">
        <w:rPr>
          <w:lang w:val="fi-FI"/>
        </w:rPr>
        <w:t>hallituksen näkemyksen mukaan yhtiön maksukykyä.</w:t>
      </w:r>
      <w:r>
        <w:rPr>
          <w:lang w:val="fi-FI"/>
        </w:rPr>
        <w:br w:type="column"/>
      </w:r>
    </w:p>
    <w:p w:rsidR="00024588" w:rsidP="007F6214" w14:paraId="24BBE2C6" w14:textId="77777777">
      <w:pPr>
        <w:pStyle w:val="Bodytext2"/>
        <w:rPr>
          <w:lang w:val="fi-FI"/>
        </w:rPr>
      </w:pPr>
    </w:p>
    <w:p w:rsidR="00024588" w:rsidRPr="00024588" w:rsidP="007F6214" w14:paraId="2E0A0383" w14:textId="77777777">
      <w:pPr>
        <w:pStyle w:val="Bodytext2"/>
        <w:rPr>
          <w:sz w:val="20"/>
          <w:szCs w:val="22"/>
          <w:lang w:val="fi-FI"/>
        </w:rPr>
      </w:pPr>
    </w:p>
    <w:p w:rsidR="007F6214" w:rsidP="007F6214" w14:paraId="7A9E36A9" w14:textId="41075AEC">
      <w:pPr>
        <w:pStyle w:val="Bodytext2"/>
        <w:rPr>
          <w:lang w:val="fi-FI"/>
        </w:rPr>
      </w:pPr>
      <w:r>
        <w:rPr>
          <w:lang w:val="fi-FI"/>
        </w:rPr>
        <w:t>H</w:t>
      </w:r>
      <w:r w:rsidRPr="00F15C4F">
        <w:rPr>
          <w:lang w:val="fi-FI"/>
        </w:rPr>
        <w:t xml:space="preserve">elsingissä </w:t>
      </w:r>
      <w:r w:rsidR="009215FC">
        <w:rPr>
          <w:lang w:val="fi-FI"/>
        </w:rPr>
        <w:t>2</w:t>
      </w:r>
      <w:r>
        <w:rPr>
          <w:lang w:val="fi-FI"/>
        </w:rPr>
        <w:t>7</w:t>
      </w:r>
      <w:r w:rsidRPr="00F15C4F">
        <w:rPr>
          <w:lang w:val="fi-FI"/>
        </w:rPr>
        <w:t xml:space="preserve">. päivänä </w:t>
      </w:r>
      <w:r w:rsidR="00F15C4F">
        <w:rPr>
          <w:lang w:val="fi-FI"/>
        </w:rPr>
        <w:t>tammi</w:t>
      </w:r>
      <w:r w:rsidRPr="00F15C4F">
        <w:rPr>
          <w:lang w:val="fi-FI"/>
        </w:rPr>
        <w:t>kuuta 202</w:t>
      </w:r>
      <w:r w:rsidR="00AE25C3">
        <w:rPr>
          <w:lang w:val="fi-FI"/>
        </w:rPr>
        <w:t>2</w:t>
      </w:r>
    </w:p>
    <w:p w:rsidR="00F72E60" w:rsidRPr="00F15C4F" w:rsidP="00F72E60" w14:paraId="0C2A93A3" w14:textId="77777777">
      <w:pPr>
        <w:pStyle w:val="Bodytext2"/>
        <w:spacing w:before="0"/>
        <w:rPr>
          <w:lang w:val="fi-FI"/>
        </w:rPr>
      </w:pPr>
    </w:p>
    <w:tbl>
      <w:tblPr>
        <w:tblStyle w:val="TableGrid"/>
        <w:tblpPr w:leftFromText="144" w:rightFromText="187" w:vertAnchor="text" w:horzAnchor="page" w:tblpX="8641" w:tblpY="17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785"/>
        <w:gridCol w:w="4575"/>
      </w:tblGrid>
      <w:tr w14:paraId="2BC1AB14" w14:textId="77777777" w:rsidTr="00F72E60">
        <w:tblPrEx>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504"/>
        </w:trPr>
        <w:tc>
          <w:tcPr>
            <w:tcW w:w="2785" w:type="dxa"/>
          </w:tcPr>
          <w:p w:rsidR="00F72E60" w:rsidRPr="00F72E60" w:rsidP="00F72E60" w14:paraId="777ABDAD" w14:textId="70A89A44">
            <w:pPr>
              <w:pStyle w:val="Bodytext2"/>
              <w:rPr>
                <w:lang w:val="sv-FI"/>
              </w:rPr>
            </w:pPr>
            <w:r w:rsidRPr="00F72E60">
              <w:rPr>
                <w:lang w:val="sv-FI"/>
              </w:rPr>
              <w:t>Tom Johnstone</w:t>
            </w:r>
          </w:p>
        </w:tc>
        <w:tc>
          <w:tcPr>
            <w:tcW w:w="4575" w:type="dxa"/>
          </w:tcPr>
          <w:p w:rsidR="00F72E60" w:rsidRPr="00F72E60" w:rsidP="00F72E60" w14:paraId="3ACB7E86" w14:textId="61FBF8D7">
            <w:pPr>
              <w:pStyle w:val="Bodytext2"/>
              <w:rPr>
                <w:lang w:val="sv-FI"/>
              </w:rPr>
            </w:pPr>
            <w:r>
              <w:rPr>
                <w:lang w:val="sv-FI"/>
              </w:rPr>
              <w:t>Risto Murto</w:t>
            </w:r>
          </w:p>
        </w:tc>
      </w:tr>
      <w:tr w14:paraId="6C0D30A6" w14:textId="77777777" w:rsidTr="00F72E60">
        <w:tblPrEx>
          <w:tblW w:w="0" w:type="auto"/>
          <w:tblLook w:val="04A0"/>
        </w:tblPrEx>
        <w:trPr>
          <w:trHeight w:val="504"/>
        </w:trPr>
        <w:tc>
          <w:tcPr>
            <w:tcW w:w="2785" w:type="dxa"/>
          </w:tcPr>
          <w:p w:rsidR="00F72E60" w:rsidRPr="00F72E60" w:rsidP="00F72E60" w14:paraId="3FCCF449" w14:textId="4251604E">
            <w:pPr>
              <w:pStyle w:val="Bodytext2"/>
              <w:rPr>
                <w:lang w:val="sv-FI"/>
              </w:rPr>
            </w:pPr>
            <w:r w:rsidRPr="00E66264">
              <w:rPr>
                <w:lang w:val="sv-FI"/>
              </w:rPr>
              <w:t>Maarit Aarni-Sirviö</w:t>
            </w:r>
            <w:r w:rsidRPr="00E66264">
              <w:rPr>
                <w:lang w:val="sv-FI"/>
              </w:rPr>
              <w:tab/>
            </w:r>
          </w:p>
        </w:tc>
        <w:tc>
          <w:tcPr>
            <w:tcW w:w="4575" w:type="dxa"/>
          </w:tcPr>
          <w:p w:rsidR="00F72E60" w:rsidRPr="00F72E60" w:rsidP="00F72E60" w14:paraId="34C45C14" w14:textId="74DC4BB5">
            <w:pPr>
              <w:pStyle w:val="Bodytext2"/>
              <w:rPr>
                <w:lang w:val="sv-FI"/>
              </w:rPr>
            </w:pPr>
            <w:r w:rsidRPr="00F72E60">
              <w:rPr>
                <w:lang w:val="sv-FI"/>
              </w:rPr>
              <w:t>Karen Bomb</w:t>
            </w:r>
            <w:r>
              <w:rPr>
                <w:lang w:val="sv-FI"/>
              </w:rPr>
              <w:t>a</w:t>
            </w:r>
          </w:p>
        </w:tc>
      </w:tr>
      <w:tr w14:paraId="054F05A6" w14:textId="77777777" w:rsidTr="00F72E60">
        <w:tblPrEx>
          <w:tblW w:w="0" w:type="auto"/>
          <w:tblLook w:val="04A0"/>
        </w:tblPrEx>
        <w:trPr>
          <w:trHeight w:val="504"/>
        </w:trPr>
        <w:tc>
          <w:tcPr>
            <w:tcW w:w="2785" w:type="dxa"/>
          </w:tcPr>
          <w:p w:rsidR="00F72E60" w:rsidP="00F72E60" w14:paraId="511031C9" w14:textId="62A374B3">
            <w:pPr>
              <w:pStyle w:val="Bodytext2"/>
              <w:rPr>
                <w:lang w:val="fi-FI"/>
              </w:rPr>
            </w:pPr>
            <w:r w:rsidRPr="001E7D0E">
              <w:rPr>
                <w:lang w:val="sv-FI"/>
              </w:rPr>
              <w:t>Karin Falk</w:t>
            </w:r>
            <w:r w:rsidRPr="001E7D0E">
              <w:rPr>
                <w:lang w:val="sv-FI"/>
              </w:rPr>
              <w:tab/>
            </w:r>
          </w:p>
        </w:tc>
        <w:tc>
          <w:tcPr>
            <w:tcW w:w="4575" w:type="dxa"/>
          </w:tcPr>
          <w:p w:rsidR="00F72E60" w:rsidP="00F72E60" w14:paraId="7552D1FE" w14:textId="705A7E5E">
            <w:pPr>
              <w:pStyle w:val="Bodytext2"/>
              <w:rPr>
                <w:lang w:val="fi-FI"/>
              </w:rPr>
            </w:pPr>
            <w:r w:rsidRPr="001E7D0E">
              <w:rPr>
                <w:lang w:val="sv-FI"/>
              </w:rPr>
              <w:t>Johan Forssell</w:t>
            </w:r>
          </w:p>
        </w:tc>
      </w:tr>
      <w:tr w14:paraId="31CBA516" w14:textId="77777777" w:rsidTr="00F72E60">
        <w:tblPrEx>
          <w:tblW w:w="0" w:type="auto"/>
          <w:tblLook w:val="04A0"/>
        </w:tblPrEx>
        <w:trPr>
          <w:trHeight w:val="504"/>
        </w:trPr>
        <w:tc>
          <w:tcPr>
            <w:tcW w:w="2785" w:type="dxa"/>
          </w:tcPr>
          <w:p w:rsidR="00F72E60" w:rsidP="00F72E60" w14:paraId="439854E5" w14:textId="78EB7A46">
            <w:pPr>
              <w:pStyle w:val="Bodytext2"/>
              <w:rPr>
                <w:lang w:val="fi-FI"/>
              </w:rPr>
            </w:pPr>
            <w:r>
              <w:rPr>
                <w:lang w:val="fi-FI"/>
              </w:rPr>
              <w:t>Mats Rahmström</w:t>
            </w:r>
          </w:p>
        </w:tc>
        <w:tc>
          <w:tcPr>
            <w:tcW w:w="4575" w:type="dxa"/>
          </w:tcPr>
          <w:p w:rsidR="00F72E60" w:rsidP="00F72E60" w14:paraId="45FDB9BF" w14:textId="153CC763">
            <w:pPr>
              <w:pStyle w:val="Bodytext2"/>
              <w:rPr>
                <w:lang w:val="fi-FI"/>
              </w:rPr>
            </w:pPr>
            <w:r>
              <w:rPr>
                <w:lang w:val="sv-FI"/>
              </w:rPr>
              <w:t>Tiina Tuomela</w:t>
            </w:r>
          </w:p>
        </w:tc>
      </w:tr>
    </w:tbl>
    <w:p w:rsidR="004A0DF2" w:rsidRPr="007F6214" w:rsidP="007F6214" w14:textId="7AF46F33">
      <w:pPr>
        <w:pStyle w:val="Bodytext2"/>
        <w:sectPr w:rsidSect="002642EE">
          <w:headerReference w:type="even" r:id="rId77"/>
          <w:headerReference w:type="default" r:id="rId78"/>
          <w:footerReference w:type="even" r:id="rId79"/>
          <w:footerReference w:type="default" r:id="rId80"/>
          <w:headerReference w:type="first" r:id="rId81"/>
          <w:footerReference w:type="first" r:id="rId82"/>
          <w:type w:val="continuous"/>
          <w:pgSz w:w="16838" w:h="11906" w:orient="landscape"/>
          <w:pgMar w:top="1814" w:right="737" w:bottom="1247" w:left="737" w:header="720" w:footer="720" w:gutter="0"/>
          <w:pgBorders w:zOrder="front" w:display="allPages" w:offsetFrom="text">
            <w:top w:val="nil"/>
            <w:left w:val="nil"/>
            <w:bottom w:val="nil"/>
            <w:right w:val="nil"/>
          </w:pgBorders>
          <w:cols w:num="2" w:space="624"/>
          <w:vAlign w:val="top"/>
          <w:titlePg w:val="0"/>
          <w:rtlGutter w:val="0"/>
          <w:docGrid w:linePitch="360"/>
        </w:sectPr>
      </w:pPr>
      <w:r>
        <w:t xml:space="preserve">                  Håkan Angevall</w:t>
      </w:r>
      <w:r w:rsidRPr="007F6214">
        <w:t>, President and CEO</w:t>
      </w:r>
    </w:p>
    <w:p w:rsidR="00F17E50" w:rsidRPr="00C21110" w:rsidP="00B40A3D" w14:paraId="2A6C63AD" w14:textId="77777777">
      <w:pPr>
        <w:pStyle w:val="WAuditH1"/>
        <w:pageBreakBefore/>
      </w:pPr>
      <w:bookmarkStart w:id="1526" w:name="RG_MARKER_8763"/>
      <w:r w:rsidRPr="00CC47D1">
        <w:rPr>
          <w:rStyle w:val="WAuditH1Char"/>
        </w:rPr>
        <w:t>Tilintarkastuskertom</w:t>
      </w:r>
      <w:bookmarkEnd w:id="1526"/>
      <w:r w:rsidRPr="00C21110">
        <w:t>us</w:t>
      </w:r>
    </w:p>
    <w:p w:rsidR="00F17E50" w:rsidRPr="00C30EF9" w:rsidP="00F17E50" w14:paraId="1B38AFC1" w14:textId="77777777">
      <w:pPr>
        <w:pStyle w:val="BodyText"/>
      </w:pPr>
      <w:r w:rsidRPr="00B14028">
        <w:t xml:space="preserve">Wärtsilä </w:t>
      </w:r>
      <w:r w:rsidRPr="000B3926">
        <w:t>Oyj</w:t>
      </w:r>
      <w:r w:rsidR="00F34682">
        <w:t xml:space="preserve"> Abp</w:t>
      </w:r>
      <w:r w:rsidRPr="000B3926">
        <w:t>:</w:t>
      </w:r>
      <w:r w:rsidRPr="00C30EF9">
        <w:t>n yhtiökokoukselle</w:t>
      </w:r>
    </w:p>
    <w:p w:rsidR="00F17E50" w:rsidRPr="003B5952" w:rsidP="00B40A3D" w14:paraId="68BB32A9" w14:textId="77777777">
      <w:pPr>
        <w:pStyle w:val="WAuditH2"/>
      </w:pPr>
      <w:r w:rsidRPr="003B5952">
        <w:t>Til</w:t>
      </w:r>
      <w:r w:rsidRPr="00CC47D1">
        <w:rPr>
          <w:rStyle w:val="WAuditH2Char"/>
        </w:rPr>
        <w:t>inpäätöksen</w:t>
      </w:r>
      <w:r w:rsidRPr="003B5952">
        <w:t xml:space="preserve"> tilintarkastus </w:t>
      </w:r>
    </w:p>
    <w:p w:rsidR="00F17E50" w:rsidRPr="00205468" w:rsidP="00B40A3D" w14:paraId="70937C65" w14:textId="77777777">
      <w:pPr>
        <w:pStyle w:val="WAuditH3"/>
      </w:pPr>
      <w:r w:rsidRPr="00205468">
        <w:t>L</w:t>
      </w:r>
      <w:r w:rsidRPr="00CC47D1">
        <w:rPr>
          <w:rStyle w:val="WAuditH3Char"/>
        </w:rPr>
        <w:t>aus</w:t>
      </w:r>
      <w:r w:rsidRPr="00205468">
        <w:t xml:space="preserve">unto </w:t>
      </w:r>
    </w:p>
    <w:p w:rsidR="00F17E50" w:rsidRPr="00C30EF9" w:rsidP="00F17E50" w14:paraId="65182A52" w14:textId="77777777">
      <w:pPr>
        <w:pStyle w:val="BodyText"/>
      </w:pPr>
      <w:r w:rsidRPr="00C30EF9">
        <w:t xml:space="preserve">Lausuntonamme esitämme, että </w:t>
      </w:r>
    </w:p>
    <w:p w:rsidR="00F17E50" w:rsidRPr="00C30EF9" w:rsidP="009F7A88" w14:paraId="6B1C80E6" w14:textId="77777777">
      <w:pPr>
        <w:pStyle w:val="ListBullet"/>
      </w:pPr>
      <w:r w:rsidRPr="009F7A88">
        <w:t xml:space="preserve">konsernitilinpäätös antaa oikean ja riittävän kuvan konsernin taloudellisesta asemasta sekä sen toiminnan </w:t>
      </w:r>
      <w:r w:rsidRPr="009F7A88">
        <w:t>tuloksesta ja rahavirroista EU:ssa käyttöön hyväksyttyjen kansainvälisten tilinpäätösstandardien (IFRS) mukaisesti</w:t>
      </w:r>
    </w:p>
    <w:p w:rsidR="00F17E50" w:rsidP="009F7A88" w14:paraId="3F89F416" w14:textId="77777777">
      <w:pPr>
        <w:pStyle w:val="ListBullet"/>
      </w:pPr>
      <w:r w:rsidRPr="009F7A88">
        <w:t>tilinpäätös antaa oikean ja riittävän kuvan emoyhtiön toiminnan tuloksesta ja taloudellisesta asemasta Suomessa voimassa olevien tilinpäätöks</w:t>
      </w:r>
      <w:r w:rsidRPr="009F7A88">
        <w:t>en laatimista koskevien säännösten mukaisesti ja täyttää lakisääteiset vaatimukset</w:t>
      </w:r>
      <w:r w:rsidR="00CC512D">
        <w:t>.</w:t>
      </w:r>
    </w:p>
    <w:p w:rsidR="00E5336D" w:rsidRPr="00C30EF9" w:rsidP="00E5336D" w14:paraId="2A65C5A3" w14:textId="77777777">
      <w:pPr>
        <w:pStyle w:val="ListBullet"/>
        <w:numPr>
          <w:ilvl w:val="0"/>
          <w:numId w:val="0"/>
        </w:numPr>
      </w:pPr>
      <w:r w:rsidRPr="00E5336D">
        <w:t>Lausuntomme on ristiri</w:t>
      </w:r>
      <w:r>
        <w:t>i</w:t>
      </w:r>
      <w:r w:rsidR="005E503C">
        <w:t>daton tarkastusvaliokunnalle</w:t>
      </w:r>
      <w:r w:rsidRPr="00E5336D">
        <w:t xml:space="preserve"> annetun lisäraportin kanssa.</w:t>
      </w:r>
    </w:p>
    <w:p w:rsidR="00F17E50" w:rsidRPr="00C30EF9" w:rsidP="00CC47D1" w14:paraId="1D5BC94C" w14:textId="77777777">
      <w:pPr>
        <w:pStyle w:val="WAuditH4"/>
      </w:pPr>
      <w:r w:rsidRPr="00C30EF9">
        <w:t>T</w:t>
      </w:r>
      <w:r w:rsidR="00CA5894">
        <w:t>ilint</w:t>
      </w:r>
      <w:r w:rsidRPr="00C30EF9">
        <w:t>arkastuksen kohde</w:t>
      </w:r>
    </w:p>
    <w:p w:rsidR="00F17E50" w:rsidRPr="00B14028" w:rsidP="00F17E50" w14:paraId="65461C3C" w14:textId="77777777">
      <w:pPr>
        <w:pStyle w:val="BodyText"/>
        <w:spacing w:after="120"/>
      </w:pPr>
      <w:r w:rsidRPr="00C30EF9">
        <w:t xml:space="preserve">Olemme tilintarkastaneet </w:t>
      </w:r>
      <w:r w:rsidR="00B14028">
        <w:t>Wärtsilä</w:t>
      </w:r>
      <w:r w:rsidRPr="00C30EF9">
        <w:t xml:space="preserve"> Oyj</w:t>
      </w:r>
      <w:r w:rsidR="00F34682">
        <w:t xml:space="preserve"> Abp</w:t>
      </w:r>
      <w:r w:rsidRPr="00C30EF9">
        <w:t xml:space="preserve">:n </w:t>
      </w:r>
      <w:r w:rsidR="00433794">
        <w:t xml:space="preserve">(y-tunnus </w:t>
      </w:r>
      <w:r w:rsidR="00B14028">
        <w:t>0128631-1</w:t>
      </w:r>
      <w:r w:rsidR="00433794">
        <w:t xml:space="preserve">) </w:t>
      </w:r>
      <w:r w:rsidRPr="00C30EF9">
        <w:t>ti</w:t>
      </w:r>
      <w:r w:rsidRPr="00C30EF9">
        <w:t xml:space="preserve">linpäätöksen </w:t>
      </w:r>
      <w:r w:rsidRPr="00B14028">
        <w:t xml:space="preserve">tilikaudelta </w:t>
      </w:r>
      <w:r w:rsidRPr="00B14028" w:rsidR="000B3926">
        <w:t>1</w:t>
      </w:r>
      <w:r w:rsidRPr="00B14028">
        <w:t>.</w:t>
      </w:r>
      <w:r w:rsidRPr="00B14028" w:rsidR="000B3926">
        <w:t>1</w:t>
      </w:r>
      <w:r w:rsidRPr="00B14028">
        <w:t>.–</w:t>
      </w:r>
      <w:r w:rsidRPr="00B14028" w:rsidR="000B3926">
        <w:t>31</w:t>
      </w:r>
      <w:r w:rsidRPr="00B14028">
        <w:t>.</w:t>
      </w:r>
      <w:r w:rsidRPr="00B14028" w:rsidR="000B3926">
        <w:t>12</w:t>
      </w:r>
      <w:r w:rsidRPr="00B14028">
        <w:t>.20</w:t>
      </w:r>
      <w:r w:rsidR="009A21E0">
        <w:t>2</w:t>
      </w:r>
      <w:r w:rsidR="00314073">
        <w:t>1</w:t>
      </w:r>
      <w:r w:rsidRPr="00B14028">
        <w:t>. Tilinpäätös sisältää:</w:t>
      </w:r>
    </w:p>
    <w:p w:rsidR="00F17E50" w:rsidRPr="00C30EF9" w:rsidP="00DE0272" w14:paraId="4DB60968" w14:textId="77777777">
      <w:pPr>
        <w:pStyle w:val="ListBullet"/>
      </w:pPr>
      <w:r>
        <w:t xml:space="preserve">konsernin taseen, </w:t>
      </w:r>
      <w:r w:rsidRPr="00C30EF9">
        <w:t>tuloslaskelman, laajan tuloslaskelman, laskelman oman pääoman muutoksista, rahavirtalaskelman ja liitetiedot</w:t>
      </w:r>
      <w:r w:rsidR="00DE0272">
        <w:t xml:space="preserve">, </w:t>
      </w:r>
      <w:r w:rsidRPr="00DE0272" w:rsidR="00DE0272">
        <w:t>mukaan</w:t>
      </w:r>
      <w:r w:rsidR="006F5FE9">
        <w:t xml:space="preserve"> lukien yhteenveto merkittävi</w:t>
      </w:r>
      <w:r w:rsidRPr="00DE0272" w:rsidR="00DE0272">
        <w:t>stä tilinpäätöksen laatimisperiaatteista</w:t>
      </w:r>
    </w:p>
    <w:p w:rsidR="00F17E50" w:rsidRPr="00C30EF9" w:rsidP="00F17E50" w14:paraId="5B93ABED" w14:textId="77777777">
      <w:pPr>
        <w:pStyle w:val="ListBullet"/>
      </w:pPr>
      <w:r>
        <w:rPr>
          <w:noProof/>
        </w:rPr>
        <w:drawing>
          <wp:anchor distT="0" distB="0" distL="114300" distR="114300" simplePos="0" relativeHeight="251680768" behindDoc="0" locked="0" layoutInCell="1" allowOverlap="1">
            <wp:simplePos x="0" y="0"/>
            <wp:positionH relativeFrom="page">
              <wp:posOffset>450215</wp:posOffset>
            </wp:positionH>
            <wp:positionV relativeFrom="page">
              <wp:posOffset>7002780</wp:posOffset>
            </wp:positionV>
            <wp:extent cx="4291200" cy="453600"/>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885308" name="Picture 1"/>
                    <pic:cNvPicPr/>
                  </pic:nvPicPr>
                  <pic:blipFill>
                    <a:blip xmlns:r="http://schemas.openxmlformats.org/officeDocument/2006/relationships" r:embed="rId83">
                      <a:extLst>
                        <a:ext xmlns:a="http://schemas.openxmlformats.org/drawingml/2006/main" uri="{28A0092B-C50C-407E-A947-70E740481C1C}">
                          <a14:useLocalDpi xmlns:a14="http://schemas.microsoft.com/office/drawing/2010/main" val="0"/>
                        </a:ext>
                      </a:extLst>
                    </a:blip>
                    <a:stretch>
                      <a:fillRect/>
                    </a:stretch>
                  </pic:blipFill>
                  <pic:spPr>
                    <a:xfrm>
                      <a:off x="0" y="0"/>
                      <a:ext cx="4291200" cy="453600"/>
                    </a:xfrm>
                    <a:prstGeom prst="rect">
                      <a:avLst/>
                    </a:prstGeom>
                  </pic:spPr>
                </pic:pic>
              </a:graphicData>
            </a:graphic>
            <wp14:sizeRelH relativeFrom="page">
              <wp14:pctWidth>0</wp14:pctWidth>
            </wp14:sizeRelH>
            <wp14:sizeRelV relativeFrom="page">
              <wp14:pctHeight>0</wp14:pctHeight>
            </wp14:sizeRelV>
          </wp:anchor>
        </w:drawing>
      </w:r>
      <w:r w:rsidRPr="00C30EF9" w:rsidR="00CA4842">
        <w:t>emoyhtiön taseen, tuloslaskelman, rahoituslaskelman ja liitetiedot</w:t>
      </w:r>
      <w:r w:rsidR="00CC512D">
        <w:t>.</w:t>
      </w:r>
      <w:r w:rsidRPr="002E1646" w:rsidR="00CA4842">
        <w:rPr>
          <w:noProof/>
        </w:rPr>
        <w:t xml:space="preserve"> </w:t>
      </w:r>
    </w:p>
    <w:p w:rsidR="00F17E50" w:rsidRPr="00C30EF9" w:rsidP="00CC47D1" w14:paraId="4B37986F" w14:textId="77777777">
      <w:pPr>
        <w:pStyle w:val="WAuditH3"/>
      </w:pPr>
      <w:r w:rsidRPr="00C30EF9">
        <w:t xml:space="preserve">Lausunnon perustelut </w:t>
      </w:r>
    </w:p>
    <w:p w:rsidR="00F17E50" w:rsidP="00F17E50" w14:paraId="2EDFC566" w14:textId="77777777">
      <w:pPr>
        <w:pStyle w:val="BodyText"/>
      </w:pPr>
      <w:r w:rsidRPr="00C30EF9">
        <w:t>Olemme suorittaneet tilintarkastuksen Suomessa noudatettavan hyvän tilintarkastustavan mukaise</w:t>
      </w:r>
      <w:r w:rsidRPr="00C30EF9">
        <w:t xml:space="preserve">sti. Hyvän tilintarkastustavan mukaisia velvollisuuksiamme kuvataan tarkemmin kohdassa Tilintarkastajan velvollisuudet tilinpäätöksen tilintarkastuksessa. </w:t>
      </w:r>
    </w:p>
    <w:p w:rsidR="00F17E50" w:rsidRPr="00C30EF9" w:rsidP="00F17E50" w14:paraId="59A4A32F" w14:textId="77777777">
      <w:pPr>
        <w:pStyle w:val="BodyText"/>
      </w:pPr>
      <w:r w:rsidRPr="00C30EF9">
        <w:t>Käsityksemme mukaan olemme hankkineet lausuntomme perustaksi tarpeellisen määrän tarkoitukseen sovel</w:t>
      </w:r>
      <w:r w:rsidRPr="00C30EF9">
        <w:t xml:space="preserve">tuvaa tilintarkastusevidenssiä. </w:t>
      </w:r>
    </w:p>
    <w:p w:rsidR="00F17E50" w:rsidRPr="00C30EF9" w:rsidP="00CC47D1" w14:paraId="1C1526B5" w14:textId="77777777">
      <w:pPr>
        <w:pStyle w:val="WAuditH4"/>
      </w:pPr>
      <w:r w:rsidRPr="00C30EF9">
        <w:t>Riippumattomuus</w:t>
      </w:r>
    </w:p>
    <w:p w:rsidR="008C2B25" w:rsidP="00B329E6" w14:paraId="727A9F0E" w14:textId="77777777">
      <w:pPr>
        <w:pStyle w:val="BodyText"/>
      </w:pPr>
      <w:r w:rsidRPr="00C30EF9">
        <w:t>Olemme riippumattomia emoyhtiöstä ja konserniyrityksistä niiden Suomessa noudatettavien eettisten vaatimusten mukaisesti, jotka koskevat suorittamaamme tilintarkastusta ja olemme täyttäneet muut näiden vaati</w:t>
      </w:r>
      <w:r w:rsidRPr="00C30EF9">
        <w:t>musten mukaiset eettiset velvollisuutemme.</w:t>
      </w:r>
    </w:p>
    <w:p w:rsidR="008C2B25" w:rsidRPr="008C2B25" w:rsidP="008C2B25" w14:paraId="6534C9DB" w14:textId="77777777">
      <w:pPr>
        <w:pStyle w:val="BodyText"/>
      </w:pPr>
      <w:r w:rsidRPr="008C2B25">
        <w:t>Emoyhtiölle ja konserniyrityksille suorittamamme muut kuin tilintarkastuspalvelut ovat parhaan tietomme ja käsityksemme</w:t>
      </w:r>
      <w:r w:rsidR="002A5F98">
        <w:t xml:space="preserve"> mukaan</w:t>
      </w:r>
      <w:r w:rsidRPr="008C2B25">
        <w:t xml:space="preserve"> olleet Suomessa noudatettavien, näitä palveluja koskevien säännösten mukaisia, emmekä </w:t>
      </w:r>
      <w:r w:rsidRPr="008C2B25">
        <w:t>ole suorittaneet EU-asetuksen 537/2014 5</w:t>
      </w:r>
      <w:r w:rsidR="006A582C">
        <w:t>. artiklan 1-</w:t>
      </w:r>
      <w:r w:rsidRPr="008C2B25">
        <w:t>kohdassa tarkoitettuja kiellettyjä palveluja. Suorittamamme muut kuin tilintarkastu</w:t>
      </w:r>
      <w:r>
        <w:t>spalvelut on esitetty konserni</w:t>
      </w:r>
      <w:r w:rsidRPr="008C2B25">
        <w:t>tilinpäätöksen liitetiedossa</w:t>
      </w:r>
      <w:r>
        <w:t xml:space="preserve"> </w:t>
      </w:r>
      <w:r w:rsidR="000C7B5D">
        <w:t>7.3</w:t>
      </w:r>
      <w:r w:rsidRPr="008C2B25">
        <w:t>.</w:t>
      </w:r>
      <w:r>
        <w:t xml:space="preserve"> </w:t>
      </w:r>
    </w:p>
    <w:p w:rsidR="000D36FF" w:rsidRPr="00B329E6" w:rsidP="00B329E6" w14:paraId="3530B472" w14:textId="77777777">
      <w:pPr>
        <w:pStyle w:val="BodyText"/>
      </w:pPr>
      <w:r w:rsidRPr="00CA5894">
        <w:br w:type="page"/>
      </w:r>
    </w:p>
    <w:p w:rsidR="00F17E50" w:rsidRPr="00C30EF9" w:rsidP="00CC47D1" w14:paraId="288743BF" w14:textId="77777777">
      <w:pPr>
        <w:pStyle w:val="WAuditH3"/>
      </w:pPr>
      <w:r w:rsidRPr="00C30EF9">
        <w:t>Tarkastuksen yleinen lähestymistapa</w:t>
      </w:r>
    </w:p>
    <w:p w:rsidR="00F17E50" w:rsidRPr="00C30EF9" w:rsidP="00CC47D1" w14:paraId="683EB10E" w14:textId="77777777">
      <w:pPr>
        <w:pStyle w:val="WAuditH4"/>
      </w:pPr>
      <w:r w:rsidRPr="00C30EF9">
        <w:t>Yhteenveto</w:t>
      </w:r>
    </w:p>
    <w:tbl>
      <w:tblPr>
        <w:tblStyle w:val="PwCTableFigures"/>
        <w:tblW w:w="0" w:type="auto"/>
        <w:tblLook w:val="0680"/>
      </w:tblPr>
      <w:tblGrid>
        <w:gridCol w:w="1929"/>
        <w:gridCol w:w="5398"/>
      </w:tblGrid>
      <w:tr w14:paraId="6DE04861" w14:textId="77777777" w:rsidTr="006F7224">
        <w:tblPrEx>
          <w:tblW w:w="0" w:type="auto"/>
          <w:tblLook w:val="0680"/>
        </w:tblPrEx>
        <w:trPr>
          <w:trHeight w:val="892"/>
        </w:trPr>
        <w:tc>
          <w:tcPr>
            <w:tcW w:w="1844" w:type="dxa"/>
            <w:vMerge w:val="restart"/>
            <w:tcBorders>
              <w:top w:val="dotted" w:sz="4" w:space="0" w:color="DC6900"/>
              <w:bottom w:val="single" w:sz="4" w:space="0" w:color="DC6900"/>
            </w:tcBorders>
          </w:tcPr>
          <w:p w:rsidR="00F17E50" w:rsidRPr="00C30EF9" w:rsidP="003C0E8D" w14:paraId="481B488B" w14:textId="77777777">
            <w:pPr>
              <w:pStyle w:val="TableBody"/>
            </w:pPr>
            <w:r>
              <w:rPr>
                <w:noProof/>
                <w:lang w:val="en-US" w:eastAsia="zh-CN"/>
              </w:rPr>
              <w:drawing>
                <wp:inline distT="0" distB="0" distL="0" distR="0">
                  <wp:extent cx="1125227" cy="1984076"/>
                  <wp:effectExtent l="0" t="0" r="0" b="0"/>
                  <wp:docPr id="17422817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591825" name="Picture 11"/>
                          <pic:cNvPicPr>
                            <a:picLocks noChangeAspect="1" noChangeArrowheads="1"/>
                          </pic:cNvPicPr>
                        </pic:nvPicPr>
                        <pic:blipFill>
                          <a:blip xmlns:r="http://schemas.openxmlformats.org/officeDocument/2006/relationships" r:embed="rId84" cstate="print">
                            <a:extLst>
                              <a:ext xmlns:a="http://schemas.openxmlformats.org/drawingml/2006/main" uri="{28A0092B-C50C-407E-A947-70E740481C1C}">
                                <a14:useLocalDpi xmlns:a14="http://schemas.microsoft.com/office/drawing/2010/main" val="0"/>
                              </a:ext>
                            </a:extLst>
                          </a:blip>
                          <a:srcRect l="132" t="68" r="132" b="68"/>
                          <a:stretch>
                            <a:fillRect/>
                          </a:stretch>
                        </pic:blipFill>
                        <pic:spPr bwMode="auto">
                          <a:xfrm>
                            <a:off x="0" y="0"/>
                            <a:ext cx="1141775" cy="2013254"/>
                          </a:xfrm>
                          <a:prstGeom prst="rect">
                            <a:avLst/>
                          </a:prstGeom>
                          <a:noFill/>
                        </pic:spPr>
                      </pic:pic>
                    </a:graphicData>
                  </a:graphic>
                </wp:inline>
              </w:drawing>
            </w:r>
          </w:p>
        </w:tc>
        <w:tc>
          <w:tcPr>
            <w:tcW w:w="8023" w:type="dxa"/>
            <w:tcBorders>
              <w:top w:val="dotted" w:sz="4" w:space="0" w:color="DC6900"/>
              <w:bottom w:val="dotted" w:sz="4" w:space="0" w:color="DC6900"/>
            </w:tcBorders>
          </w:tcPr>
          <w:p w:rsidR="00F17E50" w:rsidRPr="00C30EF9" w:rsidP="009170E9" w14:paraId="59BAC9E5" w14:textId="77777777">
            <w:pPr>
              <w:pStyle w:val="TableBodyListBullet"/>
            </w:pPr>
            <w:r w:rsidRPr="00C30EF9">
              <w:t>Konsernitilinpäätök</w:t>
            </w:r>
            <w:r>
              <w:t>sel</w:t>
            </w:r>
            <w:r w:rsidR="00303341">
              <w:t xml:space="preserve">le määritetty olennaisuus oli </w:t>
            </w:r>
            <w:r w:rsidR="00314073">
              <w:t>18</w:t>
            </w:r>
            <w:r>
              <w:t xml:space="preserve"> miljoonaa euroa.</w:t>
            </w:r>
          </w:p>
        </w:tc>
      </w:tr>
      <w:tr w14:paraId="47911D87" w14:textId="77777777" w:rsidTr="006F7224">
        <w:tblPrEx>
          <w:tblW w:w="0" w:type="auto"/>
          <w:tblLook w:val="0680"/>
        </w:tblPrEx>
        <w:trPr>
          <w:trHeight w:val="920"/>
        </w:trPr>
        <w:tc>
          <w:tcPr>
            <w:tcW w:w="1844" w:type="dxa"/>
            <w:vMerge/>
            <w:tcBorders>
              <w:top w:val="dotted" w:sz="4" w:space="0" w:color="44546A" w:themeColor="text2"/>
              <w:bottom w:val="single" w:sz="4" w:space="0" w:color="DC6900"/>
            </w:tcBorders>
          </w:tcPr>
          <w:p w:rsidR="00F17E50" w:rsidRPr="00C30EF9" w:rsidP="003C0E8D" w14:paraId="5045AA8C" w14:textId="77777777">
            <w:pPr>
              <w:pStyle w:val="TableBody"/>
            </w:pPr>
          </w:p>
        </w:tc>
        <w:tc>
          <w:tcPr>
            <w:tcW w:w="8023" w:type="dxa"/>
            <w:tcBorders>
              <w:top w:val="dotted" w:sz="4" w:space="0" w:color="DC6900"/>
              <w:bottom w:val="single" w:sz="4" w:space="0" w:color="DC6900"/>
            </w:tcBorders>
          </w:tcPr>
          <w:p w:rsidR="00F17E50" w:rsidRPr="00C30EF9" w:rsidP="0020616A" w14:paraId="1BAC99B3" w14:textId="77777777">
            <w:pPr>
              <w:pStyle w:val="TableBodyListBullet"/>
            </w:pPr>
            <w:r>
              <w:t>Konsernitilinpäätöksen tarkastuksen laajuuteen sisältyi emoyhtiön Wärtsilä Oyj</w:t>
            </w:r>
            <w:r w:rsidR="00F34682">
              <w:t xml:space="preserve"> Abp</w:t>
            </w:r>
            <w:r>
              <w:t>:n lisäksi</w:t>
            </w:r>
            <w:r w:rsidRPr="000D2F5B">
              <w:t xml:space="preserve"> kaikki mer</w:t>
            </w:r>
            <w:r>
              <w:t>kittävät toiminnalliset yhtiöt ja iso joukko pienempiä yhtiöitä,</w:t>
            </w:r>
            <w:r w:rsidRPr="000D2F5B">
              <w:t xml:space="preserve"> kattaen valtaosan konsernin liikevaihdosta, </w:t>
            </w:r>
            <w:r>
              <w:t>varoista ja veloista</w:t>
            </w:r>
            <w:r w:rsidRPr="000D2F5B">
              <w:t>.</w:t>
            </w:r>
          </w:p>
        </w:tc>
      </w:tr>
      <w:tr w14:paraId="445C35E8" w14:textId="77777777" w:rsidTr="006F7224">
        <w:tblPrEx>
          <w:tblW w:w="0" w:type="auto"/>
          <w:tblLook w:val="0680"/>
        </w:tblPrEx>
        <w:trPr>
          <w:trHeight w:val="920"/>
        </w:trPr>
        <w:tc>
          <w:tcPr>
            <w:tcW w:w="1844" w:type="dxa"/>
            <w:vMerge/>
            <w:tcBorders>
              <w:top w:val="dotted" w:sz="4" w:space="0" w:color="44546A" w:themeColor="text2"/>
              <w:bottom w:val="single" w:sz="4" w:space="0" w:color="DC6900"/>
            </w:tcBorders>
          </w:tcPr>
          <w:p w:rsidR="00F17E50" w:rsidRPr="00C30EF9" w:rsidP="003C0E8D" w14:paraId="2526920C" w14:textId="77777777">
            <w:pPr>
              <w:pStyle w:val="TableBody"/>
            </w:pPr>
          </w:p>
        </w:tc>
        <w:tc>
          <w:tcPr>
            <w:tcW w:w="8023" w:type="dxa"/>
            <w:tcBorders>
              <w:top w:val="single" w:sz="4" w:space="0" w:color="DC6900"/>
              <w:bottom w:val="single" w:sz="4" w:space="0" w:color="DC6900"/>
            </w:tcBorders>
          </w:tcPr>
          <w:p w:rsidR="001E3209" w:rsidRPr="00E80975" w:rsidP="001E3209" w14:paraId="53BD8D35" w14:textId="77777777">
            <w:pPr>
              <w:pStyle w:val="TableBodyListBullet"/>
              <w:rPr>
                <w:color w:val="FF0000"/>
                <w:lang w:val="en-US"/>
              </w:rPr>
            </w:pPr>
            <w:r>
              <w:rPr>
                <w:lang w:val="en-US"/>
              </w:rPr>
              <w:t>Pitkäaikaisten asiakassopimusten tuloutus</w:t>
            </w:r>
          </w:p>
          <w:p w:rsidR="00F17E50" w:rsidRPr="00F32635" w:rsidP="00F32635" w14:paraId="29DF0299" w14:textId="77777777">
            <w:pPr>
              <w:pStyle w:val="TableBodyListBullet"/>
              <w:rPr>
                <w:lang w:val="en-US"/>
              </w:rPr>
            </w:pPr>
            <w:r>
              <w:rPr>
                <w:lang w:val="en-US"/>
              </w:rPr>
              <w:t>Liikearvon arvostus</w:t>
            </w:r>
          </w:p>
          <w:p w:rsidR="00F17E50" w:rsidRPr="00C30EF9" w:rsidP="003C0E8D" w14:paraId="6B7360FA" w14:textId="77777777">
            <w:pPr>
              <w:pStyle w:val="TableBodyListBullet"/>
            </w:pPr>
            <w:r w:rsidRPr="006D49A6">
              <w:rPr>
                <w:lang w:val="en-US"/>
              </w:rPr>
              <w:t>Myyntisaamisten arvostus</w:t>
            </w:r>
          </w:p>
        </w:tc>
      </w:tr>
    </w:tbl>
    <w:p w:rsidR="00F17E50" w:rsidRPr="00C30EF9" w:rsidP="00F17E50" w14:paraId="208CCC17" w14:textId="77777777">
      <w:pPr>
        <w:pStyle w:val="BodySingle"/>
      </w:pPr>
    </w:p>
    <w:p w:rsidR="00F17E50" w:rsidRPr="00C30EF9" w:rsidP="00F17E50" w14:paraId="547E5AC8" w14:textId="77777777">
      <w:pPr>
        <w:pStyle w:val="BodyText"/>
      </w:pPr>
      <w:r>
        <w:t>Osana tilintarkastuksen suunnittelua olemme määrittäneet</w:t>
      </w:r>
      <w:r w:rsidRPr="00C30EF9">
        <w:t xml:space="preserve"> olennaisuuden ja arvioi</w:t>
      </w:r>
      <w:r>
        <w:t>neet</w:t>
      </w:r>
      <w:r w:rsidRPr="00C30EF9">
        <w:t xml:space="preserve"> riskiä siitä, että tilinpäätöksessä on olennainen virheellisyys. Erityisesti olemme arvioineet alueita, joiden osalta johto on tehnyt subjektiivisia arvioita. Tällaisia ovat esimerkiksi </w:t>
      </w:r>
      <w:r w:rsidR="009217AC">
        <w:t xml:space="preserve">merkittävät </w:t>
      </w:r>
      <w:r w:rsidRPr="00C30EF9">
        <w:t>kirjanpidolliset arviot, joih</w:t>
      </w:r>
      <w:r w:rsidRPr="00C30EF9">
        <w:t xml:space="preserve">in liittyy oletuksia ja tulevien tapahtumien </w:t>
      </w:r>
      <w:r w:rsidR="009217AC">
        <w:t>arviointia</w:t>
      </w:r>
      <w:r w:rsidRPr="00C30EF9">
        <w:t>.</w:t>
      </w:r>
    </w:p>
    <w:p w:rsidR="00F17E50" w:rsidRPr="00C30EF9" w:rsidP="00350E32" w14:paraId="0E6D8EFD" w14:textId="77777777">
      <w:pPr>
        <w:pStyle w:val="WAuditH4"/>
      </w:pPr>
      <w:r w:rsidRPr="00C30EF9">
        <w:t>Olennaisuus</w:t>
      </w:r>
    </w:p>
    <w:p w:rsidR="00F17E50" w:rsidRPr="00C30EF9" w:rsidP="00F17E50" w14:paraId="1C133BB5" w14:textId="77777777">
      <w:pPr>
        <w:pStyle w:val="BodyText"/>
      </w:pPr>
      <w:r w:rsidRPr="00C30EF9">
        <w:t>Tarkastuksemme suunnitteluun ja suorittamiseen on vaikuttanut soveltamamme olennaisuus. Tilintarkastuksen tavoitteena on hankkia kohtuullinen varmuus siitä, onko tilinpäätöksessä kokonais</w:t>
      </w:r>
      <w:r w:rsidRPr="00C30EF9">
        <w:t>uutena olennaista virheellisyyttä. Virheellisyyksiä voi aiheutua väärinkäytöksestä tai virheestä. Niiden katsotaan olevan olennaisia, jo</w:t>
      </w:r>
      <w:r w:rsidR="003648A8">
        <w:t>s niiden yksin tai yhdessä voitaisiin</w:t>
      </w:r>
      <w:r w:rsidRPr="00C30EF9">
        <w:t xml:space="preserve"> kohtuudella odottaa vaikuttavan taloudellisiin päätöksiin, joita käyttäjät tekevät</w:t>
      </w:r>
      <w:r w:rsidRPr="00C30EF9">
        <w:t xml:space="preserve"> tilinpäätöksen perusteella.</w:t>
      </w:r>
    </w:p>
    <w:p w:rsidR="00145434" w:rsidRPr="00C30EF9" w:rsidP="00F17E50" w14:paraId="28E64049" w14:textId="77777777">
      <w:pPr>
        <w:pStyle w:val="BodyText"/>
      </w:pPr>
      <w:r w:rsidRPr="00C30EF9">
        <w:t>Perustuen ammatilliseen harkintaamme määritimme olennaisuuteen liittyen tiettyjä kvantitatiivisia raja-arvoja, kuten alla olevassa taulukossa kuvatun konsernitilinpäätökselle määritetyn olennaisuuden. Nämä raja-arvot yhdessä kv</w:t>
      </w:r>
      <w:r w:rsidRPr="00C30EF9">
        <w:t xml:space="preserve">alitatiivisten tekijöiden kanssa auttoivat meitä määrittämään tarkastuksen kokonaislaajuuden ja yksittäisten </w:t>
      </w:r>
      <w:r w:rsidR="009217AC">
        <w:t>tilin</w:t>
      </w:r>
      <w:r w:rsidRPr="00C30EF9">
        <w:t>tarkastustoimenpiteiden luonteen, ajoituksen ja laajuuden sekä arvioimaan virheellisyyksien vaikutusta tilinpäätökseen kokonaisuutena.</w:t>
      </w:r>
    </w:p>
    <w:tbl>
      <w:tblPr>
        <w:tblStyle w:val="PwCTableFigures"/>
        <w:tblW w:w="0" w:type="auto"/>
        <w:tblBorders>
          <w:top w:val="single" w:sz="4" w:space="0" w:color="DC6900"/>
          <w:bottom w:val="single" w:sz="4" w:space="0" w:color="DC6900"/>
          <w:insideH w:val="dotted" w:sz="4" w:space="0" w:color="DC6900"/>
        </w:tblBorders>
        <w:tblLook w:val="0680"/>
      </w:tblPr>
      <w:tblGrid>
        <w:gridCol w:w="2875"/>
        <w:gridCol w:w="4452"/>
      </w:tblGrid>
      <w:tr w14:paraId="0B4B797C" w14:textId="77777777" w:rsidTr="006F7224">
        <w:tblPrEx>
          <w:tblW w:w="0" w:type="auto"/>
          <w:tblBorders>
            <w:top w:val="single" w:sz="4" w:space="0" w:color="DC6900"/>
            <w:bottom w:val="single" w:sz="4" w:space="0" w:color="DC6900"/>
            <w:insideH w:val="dotted" w:sz="4" w:space="0" w:color="DC6900"/>
          </w:tblBorders>
          <w:tblLook w:val="0680"/>
        </w:tblPrEx>
        <w:trPr>
          <w:trHeight w:val="22"/>
        </w:trPr>
        <w:tc>
          <w:tcPr>
            <w:tcW w:w="3397" w:type="dxa"/>
          </w:tcPr>
          <w:p w:rsidR="00F17E50" w:rsidRPr="00350E32" w:rsidP="003C0E8D" w14:paraId="243CE678" w14:textId="77777777">
            <w:pPr>
              <w:pStyle w:val="TableBody"/>
              <w:rPr>
                <w:b/>
                <w:iCs/>
                <w:color w:val="DC6900"/>
              </w:rPr>
            </w:pPr>
            <w:r w:rsidRPr="00350E32">
              <w:rPr>
                <w:b/>
                <w:iCs/>
                <w:color w:val="DC6900"/>
              </w:rPr>
              <w:t>Konsern</w:t>
            </w:r>
            <w:r w:rsidRPr="00350E32">
              <w:rPr>
                <w:b/>
                <w:iCs/>
                <w:color w:val="DC6900"/>
              </w:rPr>
              <w:t>itilinpäätökselle määritetty olennaisuus</w:t>
            </w:r>
          </w:p>
        </w:tc>
        <w:tc>
          <w:tcPr>
            <w:tcW w:w="6608" w:type="dxa"/>
          </w:tcPr>
          <w:p w:rsidR="00F17E50" w:rsidRPr="00C30EF9" w:rsidP="004C47C2" w14:paraId="4F625B0A" w14:textId="77777777">
            <w:pPr>
              <w:pStyle w:val="TableBody"/>
            </w:pPr>
            <w:r>
              <w:t>18</w:t>
            </w:r>
            <w:r w:rsidR="009A21E0">
              <w:t xml:space="preserve"> miljoonaa euroa (edellinen vuosi </w:t>
            </w:r>
            <w:r w:rsidR="00ED3C3E">
              <w:t>2</w:t>
            </w:r>
            <w:r>
              <w:t>0</w:t>
            </w:r>
            <w:r w:rsidR="00EB7A49">
              <w:t xml:space="preserve"> miljoonaa euroa</w:t>
            </w:r>
            <w:r w:rsidR="009A21E0">
              <w:t>)</w:t>
            </w:r>
          </w:p>
        </w:tc>
      </w:tr>
      <w:tr w14:paraId="2CAAEBFE" w14:textId="77777777" w:rsidTr="006F7224">
        <w:tblPrEx>
          <w:tblW w:w="0" w:type="auto"/>
          <w:tblLook w:val="0680"/>
        </w:tblPrEx>
        <w:tc>
          <w:tcPr>
            <w:tcW w:w="3397" w:type="dxa"/>
          </w:tcPr>
          <w:p w:rsidR="00EB7A49" w:rsidRPr="00350E32" w:rsidP="00EB7A49" w14:paraId="69803E45" w14:textId="77777777">
            <w:pPr>
              <w:pStyle w:val="TableBody"/>
              <w:rPr>
                <w:b/>
                <w:iCs/>
                <w:color w:val="DC6900"/>
              </w:rPr>
            </w:pPr>
            <w:r w:rsidRPr="00350E32">
              <w:rPr>
                <w:b/>
                <w:iCs/>
                <w:color w:val="DC6900"/>
              </w:rPr>
              <w:t>Olennaisuuden määrittämisessä käytetty vertailukohde</w:t>
            </w:r>
          </w:p>
        </w:tc>
        <w:tc>
          <w:tcPr>
            <w:tcW w:w="6608" w:type="dxa"/>
          </w:tcPr>
          <w:p w:rsidR="00EB7A49" w:rsidRPr="00C30EF9" w:rsidP="00EB7A49" w14:paraId="77E1CE0E" w14:textId="77777777">
            <w:pPr>
              <w:pStyle w:val="TableBody"/>
            </w:pPr>
            <w:r>
              <w:t xml:space="preserve">5 </w:t>
            </w:r>
            <w:r w:rsidRPr="00C30EF9">
              <w:t xml:space="preserve">% </w:t>
            </w:r>
            <w:r>
              <w:t>tuloksesta ennen veroja</w:t>
            </w:r>
            <w:r w:rsidR="00F32635">
              <w:t xml:space="preserve"> (viiden vuoden keskiarvo)</w:t>
            </w:r>
          </w:p>
        </w:tc>
      </w:tr>
      <w:tr w14:paraId="4F9C5904" w14:textId="77777777" w:rsidTr="006F7224">
        <w:tblPrEx>
          <w:tblW w:w="0" w:type="auto"/>
          <w:tblLook w:val="0680"/>
        </w:tblPrEx>
        <w:tc>
          <w:tcPr>
            <w:tcW w:w="3397" w:type="dxa"/>
          </w:tcPr>
          <w:p w:rsidR="00EB7A49" w:rsidRPr="00350E32" w:rsidP="00EB7A49" w14:paraId="342C4152" w14:textId="77777777">
            <w:pPr>
              <w:pStyle w:val="TableBody"/>
              <w:rPr>
                <w:b/>
                <w:iCs/>
                <w:color w:val="DC6900"/>
              </w:rPr>
            </w:pPr>
            <w:r w:rsidRPr="00350E32">
              <w:rPr>
                <w:b/>
                <w:iCs/>
                <w:color w:val="DC6900"/>
              </w:rPr>
              <w:t>Perustelut vertailukohteen valinnalle</w:t>
            </w:r>
          </w:p>
        </w:tc>
        <w:tc>
          <w:tcPr>
            <w:tcW w:w="6608" w:type="dxa"/>
          </w:tcPr>
          <w:p w:rsidR="00EB7A49" w:rsidRPr="00EB7A49" w:rsidP="006E374E" w14:paraId="20D2BCA9" w14:textId="77777777">
            <w:pPr>
              <w:pStyle w:val="TableBody"/>
            </w:pPr>
            <w:r w:rsidRPr="00EB7A49">
              <w:t>Valitsimme olennaisuuden määrittämisen vertailukohteeksi tuloksen ennen veroja, koska käsityksemme mukaan tilinpäätöksen lukijat käyttävät yleisimmin sitä arvioidessaan konsernin suoriutumista. Lisäksi tulos ennen veroja on yleisesti hyväksytty vertailukoh</w:t>
            </w:r>
            <w:r w:rsidRPr="00EB7A49">
              <w:t xml:space="preserve">de. </w:t>
            </w:r>
            <w:r w:rsidR="0067022A">
              <w:t>Valitsimme sovellettavaksi prosenttiosuudeksi 5</w:t>
            </w:r>
            <w:r w:rsidR="00921345">
              <w:t xml:space="preserve"> </w:t>
            </w:r>
            <w:r w:rsidR="0067022A">
              <w:t>%, joka on tilintarkastusstandardeissa yleisesti hyväksyttyjen määrärajojen puitteissa.</w:t>
            </w:r>
          </w:p>
        </w:tc>
      </w:tr>
    </w:tbl>
    <w:p w:rsidR="00A17469" w:rsidRPr="00C30EF9" w:rsidP="00350E32" w14:paraId="3C0FBC14" w14:textId="77777777">
      <w:pPr>
        <w:pStyle w:val="WAuditH4"/>
      </w:pPr>
      <w:r>
        <w:t>Konsernitilinpäätöksen tarkastuksen laajuuden määrittäminen</w:t>
      </w:r>
    </w:p>
    <w:p w:rsidR="00EB7A49" w:rsidRPr="00C30EF9" w:rsidP="00EB7A49" w14:paraId="42AF2C00" w14:textId="77777777">
      <w:pPr>
        <w:pStyle w:val="BodyText"/>
      </w:pPr>
      <w:r>
        <w:t>Tilintarkastuksemme laajuutta määrittäessämme o</w:t>
      </w:r>
      <w:r w:rsidRPr="00C30EF9">
        <w:t>lemme ot</w:t>
      </w:r>
      <w:r w:rsidRPr="00C30EF9">
        <w:t>ta</w:t>
      </w:r>
      <w:r>
        <w:t>neet huomioon</w:t>
      </w:r>
      <w:r w:rsidRPr="00C30EF9">
        <w:t xml:space="preserve"> </w:t>
      </w:r>
      <w:r>
        <w:t>Wärtsilä</w:t>
      </w:r>
      <w:r w:rsidRPr="00C30EF9">
        <w:t>-konsernin rakenteen</w:t>
      </w:r>
      <w:r>
        <w:t xml:space="preserve"> sekä yksittäisten konserniyhtiöiden koon, toiminnan luonteen ja riskit. Valitsimme tilintarkastuksen kohteeksi konserniyhtiöitä ja kirjanpidon tilejä edellä mainittujen kriteerien perusteella siten, että suoritt</w:t>
      </w:r>
      <w:r>
        <w:t xml:space="preserve">amillamme tilintarkastustoimenpiteillä saatiin riittävä kattavuus lausunnon esittämiseksi konsernitilinpäätöksestä. </w:t>
      </w:r>
    </w:p>
    <w:p w:rsidR="00F17E50" w:rsidRPr="00C30EF9" w:rsidP="00350E32" w14:paraId="5537C295" w14:textId="77777777">
      <w:pPr>
        <w:pStyle w:val="WAuditH3"/>
      </w:pPr>
      <w:r w:rsidRPr="00C30EF9">
        <w:t xml:space="preserve">Tilintarkastuksen kannalta keskeiset seikat </w:t>
      </w:r>
    </w:p>
    <w:p w:rsidR="00F17E50" w:rsidP="00F17E50" w14:paraId="5730AC03" w14:textId="77777777">
      <w:pPr>
        <w:pStyle w:val="BodyText"/>
      </w:pPr>
      <w:r w:rsidRPr="00C30EF9">
        <w:t xml:space="preserve">Tilintarkastuksen kannalta keskeiset seikat ovat seikkoja, jotka ammatillisen </w:t>
      </w:r>
      <w:r w:rsidRPr="00C30EF9">
        <w:t>harkintamme mukaan ovat olleet merkittävimpiä tarkastuksen kohteena olevan tilikauden tilintarkastuksessa. Nämä seikat on otettu huomioon tilinpäätökseen kokonaisuutena kohdistuneessa tilintarkastuksessamme sekä laatiessamme siitä annettavaa lausuntoa, emm</w:t>
      </w:r>
      <w:r w:rsidRPr="00C30EF9">
        <w:t>ekä anna näistä seikoista erillistä lausuntoa.</w:t>
      </w:r>
    </w:p>
    <w:p w:rsidR="00CA5894" w:rsidRPr="00C30EF9" w:rsidP="00F17E50" w14:paraId="0143DFC9" w14:textId="77777777">
      <w:pPr>
        <w:pStyle w:val="BodyText"/>
      </w:pPr>
      <w:r>
        <w:t xml:space="preserve">Otamme </w:t>
      </w:r>
      <w:r w:rsidR="00A055A5">
        <w:t xml:space="preserve">kaikissa </w:t>
      </w:r>
      <w:r>
        <w:t>tilintarkastuks</w:t>
      </w:r>
      <w:r w:rsidR="00A055A5">
        <w:t>i</w:t>
      </w:r>
      <w:r>
        <w:t>ssamme huomioon riskin siitä, että johto sivuuttaa kontrolleja. Tähän sisältyy arviointi siitä, onko viitteitä sellaisesta johdon tarkoitushakuisesta suhtautumisesta, josta aihe</w:t>
      </w:r>
      <w:r>
        <w:t>utuu väärinkäytöksestä johtuvan olennaisen virheellisyyden riski.</w:t>
      </w:r>
    </w:p>
    <w:tbl>
      <w:tblPr>
        <w:tblStyle w:val="PwCTableFigures"/>
        <w:tblW w:w="7331" w:type="dxa"/>
        <w:tblBorders>
          <w:top w:val="single" w:sz="6" w:space="0" w:color="DC6900"/>
          <w:bottom w:val="single" w:sz="6" w:space="0" w:color="DC6900"/>
          <w:insideH w:val="dotted" w:sz="4" w:space="0" w:color="DC6900"/>
        </w:tblBorders>
        <w:tblLook w:val="04A0"/>
      </w:tblPr>
      <w:tblGrid>
        <w:gridCol w:w="3618"/>
        <w:gridCol w:w="3713"/>
      </w:tblGrid>
      <w:tr w14:paraId="038FB199" w14:textId="77777777" w:rsidTr="006F7224">
        <w:tblPrEx>
          <w:tblW w:w="7331" w:type="dxa"/>
          <w:tblBorders>
            <w:top w:val="single" w:sz="6" w:space="0" w:color="DC6900"/>
            <w:bottom w:val="single" w:sz="6" w:space="0" w:color="DC6900"/>
            <w:insideH w:val="dotted" w:sz="4" w:space="0" w:color="DC6900"/>
          </w:tblBorders>
          <w:tblLook w:val="04A0"/>
        </w:tblPrEx>
        <w:tc>
          <w:tcPr>
            <w:tcW w:w="4962" w:type="dxa"/>
            <w:tcBorders>
              <w:top w:val="single" w:sz="6" w:space="0" w:color="DC6900"/>
              <w:left w:val="none" w:sz="0" w:space="0" w:color="auto"/>
              <w:bottom w:val="single" w:sz="6" w:space="0" w:color="DC6900"/>
              <w:right w:val="none" w:sz="0" w:space="0" w:color="auto"/>
              <w:tl2br w:val="none" w:sz="0" w:space="0" w:color="auto"/>
              <w:tr2bl w:val="none" w:sz="0" w:space="0" w:color="auto"/>
            </w:tcBorders>
            <w:shd w:val="clear" w:color="auto" w:fill="DC6900"/>
          </w:tcPr>
          <w:p w:rsidR="00F17E50" w:rsidRPr="00C30EF9" w:rsidP="003C0E8D" w14:paraId="23ECDCB1" w14:textId="77777777">
            <w:pPr>
              <w:pStyle w:val="TableBody"/>
              <w:rPr>
                <w:color w:val="E7E6E6" w:themeColor="background2"/>
              </w:rPr>
            </w:pPr>
            <w:r>
              <w:rPr>
                <w:color w:val="E7E6E6" w:themeColor="background2"/>
              </w:rPr>
              <w:t>Konsernitilinpäätöksen t</w:t>
            </w:r>
            <w:r w:rsidRPr="00C30EF9">
              <w:rPr>
                <w:color w:val="E7E6E6" w:themeColor="background2"/>
              </w:rPr>
              <w:t>ilintarkastuksen kannalta keskeinen seikka</w:t>
            </w:r>
          </w:p>
        </w:tc>
        <w:tc>
          <w:tcPr>
            <w:tcW w:w="5085" w:type="dxa"/>
            <w:tcBorders>
              <w:top w:val="single" w:sz="6" w:space="0" w:color="DC6900"/>
              <w:left w:val="none" w:sz="0" w:space="0" w:color="auto"/>
              <w:bottom w:val="single" w:sz="6" w:space="0" w:color="DC6900"/>
              <w:right w:val="none" w:sz="0" w:space="0" w:color="auto"/>
              <w:tl2br w:val="none" w:sz="0" w:space="0" w:color="auto"/>
              <w:tr2bl w:val="none" w:sz="0" w:space="0" w:color="auto"/>
            </w:tcBorders>
            <w:shd w:val="clear" w:color="auto" w:fill="DC6900"/>
          </w:tcPr>
          <w:p w:rsidR="00F17E50" w:rsidRPr="00C30EF9" w:rsidP="003C0E8D" w14:paraId="50DB2E65" w14:textId="77777777">
            <w:pPr>
              <w:pStyle w:val="TableBody"/>
              <w:rPr>
                <w:color w:val="E7E6E6" w:themeColor="background2"/>
              </w:rPr>
            </w:pPr>
            <w:r w:rsidRPr="00C30EF9">
              <w:rPr>
                <w:color w:val="E7E6E6" w:themeColor="background2"/>
              </w:rPr>
              <w:t>Miten seikkaa on käsitelty tilintarkastuksessa</w:t>
            </w:r>
          </w:p>
        </w:tc>
      </w:tr>
      <w:tr w14:paraId="2E6013C2" w14:textId="77777777" w:rsidTr="006F7224">
        <w:tblPrEx>
          <w:tblW w:w="7331" w:type="dxa"/>
          <w:tblLook w:val="04A0"/>
        </w:tblPrEx>
        <w:tc>
          <w:tcPr>
            <w:tcW w:w="4962" w:type="dxa"/>
            <w:tcBorders>
              <w:top w:val="single" w:sz="6" w:space="0" w:color="DC6900"/>
            </w:tcBorders>
          </w:tcPr>
          <w:p w:rsidR="0009561B" w:rsidRPr="00350E32" w:rsidP="0009561B" w14:paraId="3A9CEEBC" w14:textId="77777777">
            <w:pPr>
              <w:pStyle w:val="TableBody"/>
              <w:rPr>
                <w:iCs/>
                <w:color w:val="DC6900"/>
              </w:rPr>
            </w:pPr>
            <w:r w:rsidRPr="00350E32">
              <w:rPr>
                <w:iCs/>
                <w:color w:val="DC6900"/>
              </w:rPr>
              <w:t>Pitkäaikaisten asiakassopimusten tuloutus</w:t>
            </w:r>
          </w:p>
          <w:p w:rsidR="0009561B" w:rsidRPr="0009561B" w:rsidP="00494386" w14:paraId="317F65F5" w14:textId="77777777">
            <w:pPr>
              <w:pStyle w:val="TableBody"/>
              <w:numPr>
                <w:ilvl w:val="0"/>
                <w:numId w:val="5"/>
              </w:numPr>
              <w:suppressAutoHyphens/>
              <w:rPr>
                <w:i/>
              </w:rPr>
            </w:pPr>
            <w:r w:rsidRPr="00907FD2">
              <w:rPr>
                <w:i/>
              </w:rPr>
              <w:t>K</w:t>
            </w:r>
            <w:r>
              <w:rPr>
                <w:i/>
              </w:rPr>
              <w:t>atso k</w:t>
            </w:r>
            <w:r w:rsidRPr="00907FD2">
              <w:rPr>
                <w:i/>
              </w:rPr>
              <w:t>onsernitilinpäätöksen</w:t>
            </w:r>
            <w:r>
              <w:rPr>
                <w:i/>
              </w:rPr>
              <w:t xml:space="preserve"> </w:t>
            </w:r>
            <w:r w:rsidR="004E6C8E">
              <w:rPr>
                <w:i/>
              </w:rPr>
              <w:t>liitetie</w:t>
            </w:r>
            <w:r w:rsidR="000C7B5D">
              <w:rPr>
                <w:i/>
              </w:rPr>
              <w:t>to 2.2</w:t>
            </w:r>
            <w:r w:rsidRPr="00907FD2">
              <w:rPr>
                <w:i/>
              </w:rPr>
              <w:t>.</w:t>
            </w:r>
          </w:p>
          <w:p w:rsidR="0009561B" w:rsidP="00E55349" w14:paraId="7F7742AA" w14:textId="77777777">
            <w:pPr>
              <w:pStyle w:val="TableBody"/>
            </w:pPr>
            <w:r>
              <w:t>Konsernilla on merkittäviä pitkäaikaishankkeita sekä pitkäaikaisia käyttö- ja huoltosopi</w:t>
            </w:r>
            <w:r w:rsidR="005F7DFB">
              <w:t>muksia. Nämä pitkäaikaiset asiakassopimukset</w:t>
            </w:r>
            <w:r>
              <w:t xml:space="preserve"> ovat usein monimutkaisia räätälöityjä ratkaisuja ja täyttävät </w:t>
            </w:r>
            <w:r w:rsidR="005F7DFB">
              <w:t>ajan kuluessa täytettävän suoritevelvoitteen määritelmän IFRS 15:n mukaan</w:t>
            </w:r>
            <w:r>
              <w:t xml:space="preserve">. </w:t>
            </w:r>
          </w:p>
          <w:p w:rsidR="00261D76" w:rsidP="00E55349" w14:paraId="1D456BB8" w14:textId="77777777">
            <w:pPr>
              <w:pStyle w:val="TableBody"/>
            </w:pPr>
          </w:p>
          <w:p w:rsidR="0009561B" w:rsidP="00E55349" w14:paraId="0B424458" w14:textId="77777777">
            <w:pPr>
              <w:pStyle w:val="TableBody"/>
            </w:pPr>
            <w:r w:rsidRPr="00C04CB7">
              <w:t xml:space="preserve">Pitkäaikaishankkeet sekä pitkäaikaiset </w:t>
            </w:r>
            <w:r w:rsidRPr="00C04CB7">
              <w:t xml:space="preserve">käyttö- ja huoltosopimukset tuloutetaan </w:t>
            </w:r>
            <w:r w:rsidR="005F7DFB">
              <w:t>suoritevelvoitteen täyttämisasteen (</w:t>
            </w:r>
            <w:r w:rsidR="00A0680A">
              <w:t xml:space="preserve">projektin </w:t>
            </w:r>
            <w:r w:rsidR="005F7DFB">
              <w:t>valmiusaste)</w:t>
            </w:r>
            <w:r w:rsidRPr="00C04CB7">
              <w:t xml:space="preserve"> mukaisesti. </w:t>
            </w:r>
            <w:r w:rsidR="005F7DFB">
              <w:t>V</w:t>
            </w:r>
            <w:r w:rsidRPr="00C04CB7">
              <w:t>almiusaste</w:t>
            </w:r>
            <w:r w:rsidR="00261D76">
              <w:t xml:space="preserve"> </w:t>
            </w:r>
            <w:r w:rsidR="008846B9">
              <w:t>määritetään</w:t>
            </w:r>
            <w:r w:rsidRPr="00C04CB7">
              <w:t xml:space="preserve"> toteutuneiden kustannusten s</w:t>
            </w:r>
            <w:r w:rsidRPr="00C04CB7">
              <w:t>uhteena arvioituihin kokonaiskustannuksiin.</w:t>
            </w:r>
            <w:r w:rsidR="00261D76">
              <w:t xml:space="preserve"> </w:t>
            </w:r>
            <w:r>
              <w:t>Pitkäa</w:t>
            </w:r>
            <w:r w:rsidR="008846B9">
              <w:t>ikaisten asiakassopimusten</w:t>
            </w:r>
            <w:r>
              <w:t xml:space="preserve"> tuloutukseen liittyy johdon harkintaan perustuvia arvioita, jotka perustuvat aikaisempaan kokemukseen ja tulevaisuuden tapahtumia koskeviin odotuksiin. Me</w:t>
            </w:r>
            <w:r w:rsidR="00A0680A">
              <w:t>rkittävin arvio liittyy projektin</w:t>
            </w:r>
            <w:r>
              <w:t xml:space="preserve"> ennustettuihin kokonaiskustannuksiin</w:t>
            </w:r>
            <w:r w:rsidR="007074AA">
              <w:t>.</w:t>
            </w:r>
            <w:r>
              <w:t xml:space="preserve"> </w:t>
            </w:r>
          </w:p>
          <w:p w:rsidR="00261D76" w:rsidP="00E55349" w14:paraId="084496EC" w14:textId="77777777">
            <w:pPr>
              <w:pStyle w:val="TableBody"/>
            </w:pPr>
          </w:p>
          <w:p w:rsidR="0009561B" w:rsidRPr="00C04CB7" w:rsidP="00E55349" w14:paraId="4A5EA2FE" w14:textId="77777777">
            <w:pPr>
              <w:pStyle w:val="TableBody"/>
              <w:rPr>
                <w:i/>
                <w:color w:val="DD6900"/>
              </w:rPr>
            </w:pPr>
            <w:r>
              <w:t>Pitkäaikais</w:t>
            </w:r>
            <w:r w:rsidR="00B24231">
              <w:t>ten asiakassopimusten</w:t>
            </w:r>
            <w:r>
              <w:t xml:space="preserve"> tuloutus on tilintarkastuksen kannalta keskeinen seikka johtuen johdon harkintaan perustuvasta arvionvaraisuudesta projektiestimaateissa.</w:t>
            </w:r>
          </w:p>
        </w:tc>
        <w:tc>
          <w:tcPr>
            <w:tcW w:w="5085" w:type="dxa"/>
            <w:tcBorders>
              <w:top w:val="single" w:sz="6" w:space="0" w:color="DC6900"/>
            </w:tcBorders>
          </w:tcPr>
          <w:p w:rsidR="00494386" w:rsidP="00494386" w14:paraId="2B9FBA26" w14:textId="77777777">
            <w:pPr>
              <w:pStyle w:val="TableBody"/>
              <w:suppressAutoHyphens/>
            </w:pPr>
          </w:p>
          <w:p w:rsidR="00DE2DA5" w:rsidP="00494386" w14:paraId="29B50F69" w14:textId="77777777">
            <w:pPr>
              <w:pStyle w:val="TableBody"/>
              <w:suppressAutoHyphens/>
            </w:pPr>
            <w:r w:rsidRPr="0009561B">
              <w:t>Tilintarkastustoimenpiteemme sisälsivät sekä kontrollien tarkastusta, että valittuihin merkittäviin pitkäaikaishankk</w:t>
            </w:r>
            <w:r w:rsidRPr="0009561B">
              <w:t xml:space="preserve">eisiin kohdistettua aineistotarkastusta. </w:t>
            </w:r>
            <w:r w:rsidRPr="00F61A18">
              <w:t>Aineistotarkastuksessa keskityimme erityisesti johdon laatim</w:t>
            </w:r>
            <w:r w:rsidR="00A84628">
              <w:t xml:space="preserve">ien ennusteiden tarkastamiseen. </w:t>
            </w:r>
          </w:p>
          <w:p w:rsidR="0009561B" w:rsidRPr="00E66D9F" w:rsidP="00494386" w14:paraId="221CED30" w14:textId="77777777">
            <w:pPr>
              <w:pStyle w:val="TableBody"/>
              <w:suppressAutoHyphens/>
            </w:pPr>
            <w:r>
              <w:t>Ta</w:t>
            </w:r>
            <w:r w:rsidRPr="00E66D9F">
              <w:t>rkastustoimenpiteemme sisälsivät mm. seu</w:t>
            </w:r>
            <w:r w:rsidRPr="00E66D9F" w:rsidR="00D74F60">
              <w:t>raavia toimenpiteitä</w:t>
            </w:r>
            <w:r w:rsidRPr="00E66D9F">
              <w:t>:</w:t>
            </w:r>
          </w:p>
          <w:p w:rsidR="0009561B" w:rsidRPr="00F61A18" w:rsidP="00494386" w14:paraId="4AC40D33" w14:textId="77777777">
            <w:pPr>
              <w:pStyle w:val="TableBody"/>
              <w:numPr>
                <w:ilvl w:val="0"/>
                <w:numId w:val="7"/>
              </w:numPr>
              <w:suppressAutoHyphens/>
            </w:pPr>
            <w:r w:rsidRPr="00F61A18">
              <w:t>Varmistimme, että sovellettu tuloutustapa on asianmukainen</w:t>
            </w:r>
            <w:r w:rsidRPr="00F61A18">
              <w:t xml:space="preserve"> sopimuksen ehdot huomioiden</w:t>
            </w:r>
          </w:p>
          <w:p w:rsidR="0009561B" w:rsidP="00494386" w14:paraId="5E3B314C" w14:textId="77777777">
            <w:pPr>
              <w:pStyle w:val="TableBody"/>
              <w:numPr>
                <w:ilvl w:val="0"/>
                <w:numId w:val="7"/>
              </w:numPr>
              <w:suppressAutoHyphens/>
            </w:pPr>
            <w:r w:rsidRPr="00F61A18">
              <w:t>Täsmäytimme tuottoennusteen myyntisopimukseen huomioiden sopimukseen mahdollisesti tehdyt muutokset</w:t>
            </w:r>
          </w:p>
          <w:p w:rsidR="007F5932" w:rsidP="007F5932" w14:paraId="1FDF0D4C" w14:textId="77777777">
            <w:pPr>
              <w:pStyle w:val="TableBody"/>
              <w:numPr>
                <w:ilvl w:val="0"/>
                <w:numId w:val="7"/>
              </w:numPr>
              <w:suppressAutoHyphens/>
            </w:pPr>
            <w:r>
              <w:t xml:space="preserve">Hankimme ymmärryksen prosesseista ja </w:t>
            </w:r>
            <w:r w:rsidR="00C92FE1">
              <w:t xml:space="preserve">testasimme </w:t>
            </w:r>
            <w:r>
              <w:t>kontroll</w:t>
            </w:r>
            <w:r w:rsidR="00C92FE1">
              <w:t>it</w:t>
            </w:r>
            <w:r>
              <w:t>, joil</w:t>
            </w:r>
            <w:r w:rsidR="0039239E">
              <w:t>la on merkittävä vaikutus valmius</w:t>
            </w:r>
            <w:r>
              <w:t>asteen mukaiseen tuloutukseen</w:t>
            </w:r>
          </w:p>
          <w:p w:rsidR="007F5932" w:rsidP="007F5932" w14:paraId="4B0DEA89" w14:textId="77777777">
            <w:pPr>
              <w:pStyle w:val="TableBody"/>
              <w:numPr>
                <w:ilvl w:val="0"/>
                <w:numId w:val="7"/>
              </w:numPr>
              <w:suppressAutoHyphens/>
            </w:pPr>
            <w:r>
              <w:t xml:space="preserve">Arvioimme johdon tekemien projektiestimaattien </w:t>
            </w:r>
            <w:r w:rsidR="00C92FE1">
              <w:t xml:space="preserve">luotettavuutta </w:t>
            </w:r>
            <w:r w:rsidR="0056698B">
              <w:t>vertaamalla</w:t>
            </w:r>
            <w:r w:rsidR="00C92FE1">
              <w:t xml:space="preserve"> </w:t>
            </w:r>
            <w:r w:rsidR="00760CF5">
              <w:t>päätt</w:t>
            </w:r>
            <w:r w:rsidR="0056698B">
              <w:t>yneiden projektien toteumia aiempiin estimaatteihin</w:t>
            </w:r>
            <w:r w:rsidR="00C92FE1">
              <w:t xml:space="preserve"> </w:t>
            </w:r>
          </w:p>
          <w:p w:rsidR="0009561B" w:rsidRPr="00F61A18" w:rsidP="00C92FE1" w14:paraId="6FEB6002" w14:textId="77777777">
            <w:pPr>
              <w:pStyle w:val="TableBody"/>
              <w:numPr>
                <w:ilvl w:val="0"/>
                <w:numId w:val="7"/>
              </w:numPr>
              <w:suppressAutoHyphens/>
            </w:pPr>
            <w:r>
              <w:t xml:space="preserve">Haastoimme johdon </w:t>
            </w:r>
            <w:r w:rsidR="00D114C3">
              <w:t xml:space="preserve">tekemiä arvioita ja oletuksia </w:t>
            </w:r>
            <w:r>
              <w:t xml:space="preserve"> projektei</w:t>
            </w:r>
            <w:r w:rsidR="00512B87">
              <w:t>ssa</w:t>
            </w:r>
            <w:r>
              <w:t>, joihin liittyy erityisiä riskit</w:t>
            </w:r>
            <w:r>
              <w:t>ekijöitä</w:t>
            </w:r>
          </w:p>
          <w:p w:rsidR="0009561B" w:rsidRPr="00E000D9" w:rsidP="0039239E" w14:paraId="33CF2F8D" w14:textId="77777777">
            <w:pPr>
              <w:pStyle w:val="TableBody"/>
              <w:numPr>
                <w:ilvl w:val="0"/>
                <w:numId w:val="7"/>
              </w:numPr>
              <w:suppressAutoHyphens/>
            </w:pPr>
            <w:r w:rsidRPr="00F61A18">
              <w:t>Laskimme m</w:t>
            </w:r>
            <w:r w:rsidR="0039239E">
              <w:t>yyntituoton uudelleen valmiu</w:t>
            </w:r>
            <w:r w:rsidRPr="00F61A18">
              <w:t>sasteen per</w:t>
            </w:r>
            <w:r w:rsidR="0039239E">
              <w:t>usteella. Tarkastimme valmiu</w:t>
            </w:r>
            <w:r w:rsidRPr="00F61A18">
              <w:t>sasteen oikeellisuuden vertaamalla hankkeen toteutuneita menoja hankkeen ennustettuihin kokonaismenoihin.</w:t>
            </w:r>
          </w:p>
        </w:tc>
      </w:tr>
      <w:tr w14:paraId="130F0726" w14:textId="77777777" w:rsidTr="006F7224">
        <w:tblPrEx>
          <w:tblW w:w="7331" w:type="dxa"/>
          <w:tblLook w:val="04A0"/>
        </w:tblPrEx>
        <w:tc>
          <w:tcPr>
            <w:tcW w:w="4962" w:type="dxa"/>
          </w:tcPr>
          <w:p w:rsidR="0009561B" w:rsidRPr="00350E32" w:rsidP="0009561B" w14:paraId="36E2C3A8" w14:textId="77777777">
            <w:pPr>
              <w:pStyle w:val="TableBody"/>
              <w:rPr>
                <w:iCs/>
                <w:color w:val="DC6900"/>
              </w:rPr>
            </w:pPr>
            <w:r w:rsidRPr="00350E32">
              <w:rPr>
                <w:iCs/>
                <w:color w:val="DC6900"/>
              </w:rPr>
              <w:t>Liikearvon arvostus</w:t>
            </w:r>
          </w:p>
          <w:p w:rsidR="00EA3629" w:rsidRPr="0009561B" w:rsidP="00EA3629" w14:paraId="3478D721" w14:textId="77777777">
            <w:pPr>
              <w:pStyle w:val="TableBody"/>
              <w:numPr>
                <w:ilvl w:val="0"/>
                <w:numId w:val="5"/>
              </w:numPr>
              <w:suppressAutoHyphens/>
              <w:rPr>
                <w:i/>
              </w:rPr>
            </w:pPr>
            <w:r w:rsidRPr="00907FD2">
              <w:rPr>
                <w:i/>
              </w:rPr>
              <w:t>K</w:t>
            </w:r>
            <w:r>
              <w:rPr>
                <w:i/>
              </w:rPr>
              <w:t>atso k</w:t>
            </w:r>
            <w:r w:rsidRPr="00907FD2">
              <w:rPr>
                <w:i/>
              </w:rPr>
              <w:t>onsernitilinpäätöksen</w:t>
            </w:r>
            <w:r>
              <w:rPr>
                <w:i/>
              </w:rPr>
              <w:t xml:space="preserve"> </w:t>
            </w:r>
            <w:r w:rsidR="000C7B5D">
              <w:rPr>
                <w:i/>
              </w:rPr>
              <w:t>l</w:t>
            </w:r>
            <w:r>
              <w:rPr>
                <w:i/>
              </w:rPr>
              <w:t>iitetieto</w:t>
            </w:r>
            <w:r w:rsidR="0039239E">
              <w:rPr>
                <w:i/>
              </w:rPr>
              <w:t xml:space="preserve"> </w:t>
            </w:r>
            <w:r w:rsidR="000C7B5D">
              <w:rPr>
                <w:i/>
              </w:rPr>
              <w:t>3.1</w:t>
            </w:r>
            <w:r w:rsidRPr="00907FD2">
              <w:rPr>
                <w:i/>
              </w:rPr>
              <w:t>.</w:t>
            </w:r>
          </w:p>
          <w:p w:rsidR="00EE4D92" w:rsidP="00F80890" w14:paraId="1AE1D153" w14:textId="77777777">
            <w:pPr>
              <w:pStyle w:val="TableBody"/>
            </w:pPr>
            <w:r>
              <w:t>Liikearvon määrä konsernitaseessa on</w:t>
            </w:r>
            <w:r w:rsidR="005A17CE">
              <w:t xml:space="preserve"> 1 3</w:t>
            </w:r>
            <w:r w:rsidR="00090AA9">
              <w:t>74</w:t>
            </w:r>
            <w:r>
              <w:t xml:space="preserve"> miljoonaa euroa ja se on yksi merkittävimmistä tase-eristä.  </w:t>
            </w:r>
            <w:r>
              <w:t>Mahdollisen a</w:t>
            </w:r>
            <w:r w:rsidRPr="00223151">
              <w:t>rvonalen</w:t>
            </w:r>
            <w:r>
              <w:t>tumisen</w:t>
            </w:r>
            <w:r w:rsidR="00F61A18">
              <w:t xml:space="preserve"> </w:t>
            </w:r>
            <w:r w:rsidR="00497467">
              <w:t xml:space="preserve">määrittämiseen </w:t>
            </w:r>
            <w:r w:rsidRPr="00223151" w:rsidR="00497467">
              <w:t>liittyy merkittäv</w:t>
            </w:r>
            <w:r w:rsidR="00497467">
              <w:t>issä määrin johdon harkintaa, mm.</w:t>
            </w:r>
            <w:r w:rsidR="00F61A18">
              <w:t xml:space="preserve"> kassavirtaa tuottavan yksikön eli testaustason</w:t>
            </w:r>
            <w:r w:rsidR="00497467">
              <w:t xml:space="preserve"> määrittämiseen ja</w:t>
            </w:r>
            <w:r>
              <w:t xml:space="preserve"> arvioitaessa</w:t>
            </w:r>
            <w:r w:rsidRPr="00223151">
              <w:t xml:space="preserve"> liiketoiminnan tule</w:t>
            </w:r>
            <w:r>
              <w:t>vaa kannattavuutta</w:t>
            </w:r>
            <w:r w:rsidRPr="00223151">
              <w:t xml:space="preserve"> ja tulevaisuudessa toteutuviin rahavirtoihin</w:t>
            </w:r>
            <w:r>
              <w:t xml:space="preserve"> sovellettavaa diskonttokorkoa.</w:t>
            </w:r>
          </w:p>
          <w:p w:rsidR="0009561B" w:rsidRPr="004C47C2" w:rsidP="00EE4D92" w14:paraId="642829CD" w14:textId="77777777">
            <w:pPr>
              <w:pStyle w:val="TableBody"/>
            </w:pPr>
            <w:r>
              <w:rPr>
                <w:rFonts w:cs="Georgia,Italic"/>
                <w:iCs/>
                <w:szCs w:val="19"/>
              </w:rPr>
              <w:t>Liikearvon arvostus on tilintarkastuksen kannalta keskeinen sei</w:t>
            </w:r>
            <w:r>
              <w:rPr>
                <w:rFonts w:cs="Georgia,Italic"/>
                <w:iCs/>
                <w:szCs w:val="19"/>
              </w:rPr>
              <w:t>kka johtuen tase-erän koosta ja johdon harkintaan perustuvasta arvionvaraisuudesta arvonalentumistestauksessa.</w:t>
            </w:r>
          </w:p>
        </w:tc>
        <w:tc>
          <w:tcPr>
            <w:tcW w:w="5085" w:type="dxa"/>
          </w:tcPr>
          <w:p w:rsidR="002B096E" w:rsidRPr="005E2B4C" w:rsidP="002B096E" w14:paraId="73D896B4" w14:textId="77777777">
            <w:pPr>
              <w:pStyle w:val="TableBody"/>
              <w:numPr>
                <w:ilvl w:val="0"/>
                <w:numId w:val="5"/>
              </w:numPr>
              <w:suppressAutoHyphens/>
            </w:pPr>
            <w:r>
              <w:t>Keskityimme tarkastustoimenpiteissämme</w:t>
            </w:r>
            <w:r w:rsidR="00145434">
              <w:t xml:space="preserve"> arvioimaan </w:t>
            </w:r>
            <w:r w:rsidR="00927CD2">
              <w:t xml:space="preserve"> </w:t>
            </w:r>
            <w:r w:rsidR="00B21AB7">
              <w:t>miten kassavirtaa tuottavat yksiköt, jotka muodostavat perustan liikearvon arvonalentumistestaukselle, on määritetty. Lisäksi keskityimme</w:t>
            </w:r>
            <w:r>
              <w:t xml:space="preserve"> </w:t>
            </w:r>
            <w:r>
              <w:t xml:space="preserve">johdon harkintaa edellyttävien arvioiden asianmukaisuuden </w:t>
            </w:r>
            <w:r w:rsidR="00B21AB7">
              <w:t xml:space="preserve">arviointiin arvonalentumistestauksessa. </w:t>
            </w:r>
            <w:r w:rsidR="0019007A">
              <w:t>Arvonalentumistestaukseen liittyviin tarkastust</w:t>
            </w:r>
            <w:r w:rsidR="00B21AB7">
              <w:t>oimenpiteisiimme sisältyi mm. seuraavaa:</w:t>
            </w:r>
          </w:p>
          <w:p w:rsidR="002B096E" w:rsidRPr="00D77E2A" w:rsidP="002B096E" w14:paraId="571A738C" w14:textId="77777777">
            <w:pPr>
              <w:pStyle w:val="TableBody"/>
              <w:numPr>
                <w:ilvl w:val="0"/>
                <w:numId w:val="8"/>
              </w:numPr>
              <w:suppressAutoHyphens/>
            </w:pPr>
            <w:r>
              <w:t>Tarkastimme</w:t>
            </w:r>
            <w:r w:rsidRPr="00D77E2A">
              <w:t xml:space="preserve"> </w:t>
            </w:r>
            <w:r w:rsidR="00B21AB7">
              <w:t>liikearvon arvonalentumis</w:t>
            </w:r>
            <w:r w:rsidR="00C21110">
              <w:t>-</w:t>
            </w:r>
            <w:r w:rsidR="00B21AB7">
              <w:t>testauksessa</w:t>
            </w:r>
            <w:r w:rsidRPr="00D77E2A">
              <w:t xml:space="preserve"> käytetyt menetelmät ver</w:t>
            </w:r>
            <w:r>
              <w:t xml:space="preserve">taamalla niitä </w:t>
            </w:r>
            <w:r w:rsidRPr="00D77E2A">
              <w:t>IAS 36:n Omaisuuserien arvon alentuminen</w:t>
            </w:r>
            <w:r>
              <w:t xml:space="preserve"> -standardin</w:t>
            </w:r>
            <w:r w:rsidRPr="00D77E2A">
              <w:t xml:space="preserve"> </w:t>
            </w:r>
            <w:r>
              <w:t>mukaisiin vaatimuksiin</w:t>
            </w:r>
          </w:p>
          <w:p w:rsidR="002B096E" w:rsidRPr="00D77E2A" w:rsidP="002B096E" w14:paraId="2CCF9AF3" w14:textId="77777777">
            <w:pPr>
              <w:pStyle w:val="TableBody"/>
              <w:numPr>
                <w:ilvl w:val="0"/>
                <w:numId w:val="8"/>
              </w:numPr>
              <w:suppressAutoHyphens/>
            </w:pPr>
            <w:r>
              <w:t>Arvioimme</w:t>
            </w:r>
            <w:r w:rsidRPr="00D77E2A">
              <w:t xml:space="preserve"> rahavirtaennusteiden laati</w:t>
            </w:r>
            <w:r>
              <w:t>misessa käytettävää prosessia ja</w:t>
            </w:r>
            <w:r w:rsidRPr="00D77E2A">
              <w:t xml:space="preserve"> te</w:t>
            </w:r>
            <w:r>
              <w:t>imme</w:t>
            </w:r>
            <w:r w:rsidRPr="00D77E2A">
              <w:t xml:space="preserve"> vertailuja viimeisimpiin hall</w:t>
            </w:r>
            <w:r>
              <w:t>ituksen hyvä</w:t>
            </w:r>
            <w:r>
              <w:t>ksymiin tavoitteisiin ja pitkän aikavälin suunnitelmiin</w:t>
            </w:r>
          </w:p>
          <w:p w:rsidR="002B096E" w:rsidRPr="00D77E2A" w:rsidP="002B096E" w14:paraId="337834FE" w14:textId="77777777">
            <w:pPr>
              <w:pStyle w:val="TableBody"/>
              <w:numPr>
                <w:ilvl w:val="0"/>
                <w:numId w:val="8"/>
              </w:numPr>
              <w:suppressAutoHyphens/>
            </w:pPr>
            <w:r>
              <w:t>Testasimme</w:t>
            </w:r>
            <w:r w:rsidRPr="00D77E2A">
              <w:t xml:space="preserve"> rahavirtaennusteiden perusteena olevat keskeiset oletukset, </w:t>
            </w:r>
            <w:r>
              <w:t xml:space="preserve">joita ovat mm. </w:t>
            </w:r>
            <w:r w:rsidRPr="00D77E2A">
              <w:t>myyntiä ja kannattavuutta koskevat ennusteet, käytetty diskonttokorko sekä ennusteja</w:t>
            </w:r>
            <w:r>
              <w:t>kson jälkeiseen aikaan sovelle</w:t>
            </w:r>
            <w:r>
              <w:t xml:space="preserve">ttu </w:t>
            </w:r>
            <w:r w:rsidRPr="00D77E2A">
              <w:t>k</w:t>
            </w:r>
            <w:r>
              <w:t>asvuprosentti</w:t>
            </w:r>
          </w:p>
          <w:p w:rsidR="002B096E" w:rsidRPr="00616CC4" w:rsidP="002B096E" w14:paraId="2595D083" w14:textId="77777777">
            <w:pPr>
              <w:pStyle w:val="TableBody"/>
              <w:numPr>
                <w:ilvl w:val="0"/>
                <w:numId w:val="8"/>
              </w:numPr>
              <w:suppressAutoHyphens/>
            </w:pPr>
            <w:r>
              <w:t>Vertasimme</w:t>
            </w:r>
            <w:r w:rsidRPr="00616CC4">
              <w:t xml:space="preserve"> tilikauden toteutuneita tuloslukuja edellisenä vuonna arvonalentumismallissa käytettyihin  tulosennusteisiin sen selvittämiseksi, sisältyikö ennusteisiin oletuksia, jotka olivat </w:t>
            </w:r>
            <w:r w:rsidRPr="00616CC4">
              <w:t>jälkikäteen ar</w:t>
            </w:r>
            <w:r>
              <w:t>vioituina olleet optimistisia</w:t>
            </w:r>
          </w:p>
          <w:p w:rsidR="0009561B" w:rsidRPr="002B096E" w:rsidP="004E24A2" w14:paraId="7F6CFC11" w14:textId="77777777">
            <w:pPr>
              <w:pStyle w:val="TableBody"/>
              <w:numPr>
                <w:ilvl w:val="0"/>
                <w:numId w:val="8"/>
              </w:numPr>
              <w:suppressAutoHyphens/>
            </w:pPr>
            <w:r>
              <w:t xml:space="preserve">Arvioimme </w:t>
            </w:r>
            <w:r w:rsidRPr="00D250AF">
              <w:t>johdon</w:t>
            </w:r>
            <w:r>
              <w:t xml:space="preserve"> laatimassa</w:t>
            </w:r>
            <w:r w:rsidRPr="00D250AF">
              <w:t xml:space="preserve"> herkk</w:t>
            </w:r>
            <w:r w:rsidRPr="00D250AF">
              <w:t>yysanalyys</w:t>
            </w:r>
            <w:r>
              <w:t>issä käytettyjen oletusten asianmukaisuutta, arvioimalla niihin sisältyvien johdon harkintaa vaativien olettamusten muutosten todennäköisyyttä</w:t>
            </w:r>
            <w:r w:rsidR="004E24A2">
              <w:t>.</w:t>
            </w:r>
          </w:p>
        </w:tc>
      </w:tr>
      <w:tr w14:paraId="0A96F355" w14:textId="77777777" w:rsidTr="006F7224">
        <w:tblPrEx>
          <w:tblW w:w="7331" w:type="dxa"/>
          <w:tblLook w:val="04A0"/>
        </w:tblPrEx>
        <w:tc>
          <w:tcPr>
            <w:tcW w:w="4962" w:type="dxa"/>
          </w:tcPr>
          <w:p w:rsidR="0009561B" w:rsidRPr="00350E32" w:rsidP="0009561B" w14:paraId="4291F0BB" w14:textId="77777777">
            <w:pPr>
              <w:pStyle w:val="TableBody"/>
              <w:rPr>
                <w:iCs/>
                <w:color w:val="DC6900"/>
              </w:rPr>
            </w:pPr>
            <w:r w:rsidRPr="00350E32">
              <w:rPr>
                <w:iCs/>
                <w:color w:val="DC6900"/>
              </w:rPr>
              <w:t>Myyntisaamisten arvostus</w:t>
            </w:r>
          </w:p>
          <w:p w:rsidR="00795F2F" w:rsidRPr="00907FD2" w:rsidP="00795F2F" w14:paraId="73CD0B0D" w14:textId="77777777">
            <w:pPr>
              <w:pStyle w:val="TableBody"/>
              <w:numPr>
                <w:ilvl w:val="0"/>
                <w:numId w:val="5"/>
              </w:numPr>
              <w:suppressAutoHyphens/>
              <w:rPr>
                <w:i/>
              </w:rPr>
            </w:pPr>
            <w:r>
              <w:rPr>
                <w:i/>
              </w:rPr>
              <w:t>Katso k</w:t>
            </w:r>
            <w:r w:rsidRPr="00907FD2">
              <w:rPr>
                <w:i/>
              </w:rPr>
              <w:t>o</w:t>
            </w:r>
            <w:r>
              <w:rPr>
                <w:i/>
              </w:rPr>
              <w:t xml:space="preserve">nsernitilinpäätöksen </w:t>
            </w:r>
            <w:r w:rsidR="00A8662A">
              <w:rPr>
                <w:i/>
              </w:rPr>
              <w:t xml:space="preserve">liitetiedot </w:t>
            </w:r>
            <w:r w:rsidR="000C7B5D">
              <w:rPr>
                <w:i/>
              </w:rPr>
              <w:t>4.2</w:t>
            </w:r>
            <w:r>
              <w:rPr>
                <w:i/>
              </w:rPr>
              <w:t>.</w:t>
            </w:r>
          </w:p>
          <w:p w:rsidR="0009561B" w:rsidP="00795F2F" w14:paraId="1C2DD8C0" w14:textId="77777777">
            <w:pPr>
              <w:pStyle w:val="TableBody"/>
            </w:pPr>
            <w:r>
              <w:t xml:space="preserve">Myyntisaamiset ovat </w:t>
            </w:r>
            <w:r w:rsidR="0009553E">
              <w:t>896</w:t>
            </w:r>
            <w:r w:rsidR="00AB7792">
              <w:t xml:space="preserve"> miljoonaa euroa, sisält</w:t>
            </w:r>
            <w:r w:rsidR="00882F71">
              <w:t>ä</w:t>
            </w:r>
            <w:r w:rsidR="00AB7792">
              <w:t xml:space="preserve">en varauksen arvonalentumistappioista </w:t>
            </w:r>
            <w:r w:rsidR="0009553E">
              <w:t>80</w:t>
            </w:r>
            <w:r w:rsidR="00AB7792">
              <w:t xml:space="preserve"> miljoonaa euroa.</w:t>
            </w:r>
            <w:r w:rsidR="00B01828">
              <w:t xml:space="preserve"> Myyn</w:t>
            </w:r>
            <w:r w:rsidR="00A8662A">
              <w:t>t</w:t>
            </w:r>
            <w:r>
              <w:t xml:space="preserve">isaamisista pitkäaikaisia on </w:t>
            </w:r>
            <w:r w:rsidR="0009553E">
              <w:t>26</w:t>
            </w:r>
            <w:r w:rsidR="00B01828">
              <w:t xml:space="preserve"> miljoonaa euroa. </w:t>
            </w:r>
          </w:p>
          <w:p w:rsidR="00AB7792" w:rsidP="00AB7792" w14:paraId="25E10E4D" w14:textId="77777777">
            <w:pPr>
              <w:pStyle w:val="TableBody"/>
            </w:pPr>
            <w:r>
              <w:t>Myyntisaamiset arvostetaan käypään arvoon, joka on alkuperäinen laskutusarvo vähennettynä kysei</w:t>
            </w:r>
            <w:r>
              <w:t>ste</w:t>
            </w:r>
            <w:r w:rsidR="00E75BFF">
              <w:t xml:space="preserve">n </w:t>
            </w:r>
            <w:r>
              <w:t xml:space="preserve">saamisten arvonalentumistappioilla. </w:t>
            </w:r>
          </w:p>
          <w:p w:rsidR="0009561B" w:rsidRPr="004C47C2" w:rsidP="00AB7792" w14:paraId="45EE5D90" w14:textId="77777777">
            <w:pPr>
              <w:pStyle w:val="TableBody"/>
            </w:pPr>
            <w:r>
              <w:rPr>
                <w:rFonts w:cs="Georgia,Italic"/>
                <w:iCs/>
                <w:szCs w:val="19"/>
              </w:rPr>
              <w:t>Myyntisaamisten</w:t>
            </w:r>
            <w:r w:rsidRPr="009A33B4">
              <w:rPr>
                <w:rFonts w:cs="Georgia,Italic"/>
                <w:iCs/>
                <w:szCs w:val="19"/>
              </w:rPr>
              <w:t xml:space="preserve"> arvostus on tilintarkastuksen kannalta keskeinen seikka johtuen sen määrästä ja </w:t>
            </w:r>
            <w:r>
              <w:rPr>
                <w:rFonts w:cs="Georgia,Italic"/>
                <w:iCs/>
                <w:szCs w:val="19"/>
              </w:rPr>
              <w:t>arvonalentumistappion</w:t>
            </w:r>
            <w:r w:rsidRPr="009A33B4">
              <w:rPr>
                <w:rFonts w:cs="Georgia,Italic"/>
                <w:iCs/>
                <w:szCs w:val="19"/>
              </w:rPr>
              <w:t xml:space="preserve"> määrittämiseen liittyvästä johdon harkintaan perustuvasta arvionvaraisuudesta.</w:t>
            </w:r>
          </w:p>
        </w:tc>
        <w:tc>
          <w:tcPr>
            <w:tcW w:w="5085" w:type="dxa"/>
          </w:tcPr>
          <w:p w:rsidR="0009561B" w:rsidP="0009561B" w14:paraId="648842FD" w14:textId="77777777">
            <w:pPr>
              <w:pStyle w:val="TableBody"/>
              <w:rPr>
                <w:i/>
              </w:rPr>
            </w:pPr>
          </w:p>
          <w:p w:rsidR="0009561B" w:rsidP="00A317BA" w14:paraId="5A7ED068" w14:textId="77777777">
            <w:pPr>
              <w:pStyle w:val="TableBody"/>
            </w:pPr>
            <w:r>
              <w:t xml:space="preserve">Myyntisaamisiin </w:t>
            </w:r>
            <w:r w:rsidR="00714F23">
              <w:t>ja johdon</w:t>
            </w:r>
            <w:r>
              <w:t xml:space="preserve"> arvioim</w:t>
            </w:r>
            <w:r w:rsidR="00A06160">
              <w:t>a</w:t>
            </w:r>
            <w:r>
              <w:t>an arvonalentumistappioon liittyvät keskeiset tarkastustoimenpiteemme olivat seuraavat:</w:t>
            </w:r>
          </w:p>
          <w:p w:rsidR="00F34682" w:rsidRPr="00893505" w:rsidP="00F34682" w14:paraId="4E0E0038" w14:textId="77777777">
            <w:pPr>
              <w:pStyle w:val="TableBody"/>
              <w:numPr>
                <w:ilvl w:val="0"/>
                <w:numId w:val="8"/>
              </w:numPr>
              <w:suppressAutoHyphens/>
              <w:rPr>
                <w:i/>
              </w:rPr>
            </w:pPr>
            <w:r>
              <w:t>Varmistimme myyntisaamisia</w:t>
            </w:r>
            <w:r w:rsidRPr="00F34682">
              <w:t xml:space="preserve"> lähettämällä myyntisaamisten saldovahvistuksia;</w:t>
            </w:r>
          </w:p>
          <w:p w:rsidR="00F34682" w:rsidRPr="00893505" w:rsidP="00F34682" w14:paraId="0A2B4767" w14:textId="77777777">
            <w:pPr>
              <w:pStyle w:val="TableBody"/>
              <w:numPr>
                <w:ilvl w:val="0"/>
                <w:numId w:val="8"/>
              </w:numPr>
              <w:suppressAutoHyphens/>
              <w:rPr>
                <w:i/>
              </w:rPr>
            </w:pPr>
            <w:r>
              <w:t>Analysoimme myyntisaamisten ikäjakaumaa</w:t>
            </w:r>
          </w:p>
          <w:p w:rsidR="00F34682" w:rsidRPr="00EE4D92" w:rsidP="00A93106" w14:paraId="395EF2D7" w14:textId="77777777">
            <w:pPr>
              <w:pStyle w:val="TableBody"/>
              <w:numPr>
                <w:ilvl w:val="0"/>
                <w:numId w:val="8"/>
              </w:numPr>
              <w:suppressAutoHyphens/>
              <w:rPr>
                <w:i/>
              </w:rPr>
            </w:pPr>
            <w:r>
              <w:t>Kävimme läpi yhtiön</w:t>
            </w:r>
            <w:r>
              <w:t xml:space="preserve"> johdon kanssa pitkäaikaisia ja myöhästyneitä myyntisaamisia </w:t>
            </w:r>
            <w:r w:rsidR="00A93106">
              <w:t>ja a</w:t>
            </w:r>
            <w:r w:rsidRPr="00F34682">
              <w:t xml:space="preserve">rvioimme näiden saamisten kuranttiutta </w:t>
            </w:r>
            <w:r w:rsidR="00A93106">
              <w:t>hankkimalla asianmukaista evidenssiä johtopäätöksemme tueksi.</w:t>
            </w:r>
          </w:p>
        </w:tc>
      </w:tr>
      <w:tr w14:paraId="484E7675" w14:textId="77777777" w:rsidTr="006F7224">
        <w:tblPrEx>
          <w:tblW w:w="7331" w:type="dxa"/>
          <w:tblLook w:val="04A0"/>
        </w:tblPrEx>
        <w:tc>
          <w:tcPr>
            <w:tcW w:w="10047" w:type="dxa"/>
            <w:gridSpan w:val="2"/>
          </w:tcPr>
          <w:p w:rsidR="0009561B" w:rsidRPr="00EB73C0" w:rsidP="0009561B" w14:paraId="5C01B375" w14:textId="77777777">
            <w:pPr>
              <w:pStyle w:val="TableBody"/>
              <w:rPr>
                <w:i/>
              </w:rPr>
            </w:pPr>
            <w:r>
              <w:t xml:space="preserve">Emoyhtiön tilinpäätöksen osalta ei ole sellaisia tilintarkastuksen kannalta keskeisiä seikkoja, joista olisi viestittävä kertomuksessamme. </w:t>
            </w:r>
            <w:r>
              <w:t>Konsernitilinpäätöksen tai emoyhtiön tilinpäätöksen osalta ei ole EU-asetuksen 537/2014 10.</w:t>
            </w:r>
            <w:r w:rsidRPr="008C2B25">
              <w:t xml:space="preserve"> artiklan</w:t>
            </w:r>
            <w:r>
              <w:t xml:space="preserve"> 2 c -kohdassa ta</w:t>
            </w:r>
            <w:r>
              <w:t>rkoitettuja merkittäviä olennaisen virheellisyyden riskejä.</w:t>
            </w:r>
          </w:p>
        </w:tc>
      </w:tr>
    </w:tbl>
    <w:p w:rsidR="00F17E50" w:rsidP="00F17E50" w14:paraId="05233003" w14:textId="77777777">
      <w:pPr>
        <w:pStyle w:val="BodySingle"/>
      </w:pPr>
    </w:p>
    <w:p w:rsidR="00F17E50" w:rsidRPr="00C30EF9" w:rsidP="00350E32" w14:paraId="31F59DD6" w14:textId="77777777">
      <w:pPr>
        <w:pStyle w:val="WAuditH3"/>
      </w:pPr>
      <w:r w:rsidRPr="00C30EF9">
        <w:t>Tilinpäätöstä koskevat hallituksen ja toimitusjohtajan velvollisuudet</w:t>
      </w:r>
    </w:p>
    <w:p w:rsidR="00F17E50" w:rsidRPr="00C30EF9" w:rsidP="00F17E50" w14:paraId="36B4DDCE" w14:textId="77777777">
      <w:pPr>
        <w:pStyle w:val="BodyText"/>
      </w:pPr>
      <w:r w:rsidRPr="00C30EF9">
        <w:t>Hallitus ja toimitusjohtaja vastaavat tilinpäätöksen laatimisesta siten, että konsernitilinpäätös antaa oikea</w:t>
      </w:r>
      <w:r w:rsidR="00736448">
        <w:t>n</w:t>
      </w:r>
      <w:r w:rsidRPr="00C30EF9">
        <w:t xml:space="preserve"> ja riittävä</w:t>
      </w:r>
      <w:r w:rsidR="00736448">
        <w:t>n</w:t>
      </w:r>
      <w:r w:rsidRPr="00C30EF9">
        <w:t xml:space="preserve"> </w:t>
      </w:r>
      <w:r w:rsidR="00736448">
        <w:t>kuvan</w:t>
      </w:r>
      <w:r w:rsidRPr="00C30EF9">
        <w:t xml:space="preserve"> EU:ssa käyttöön hyväksyttyjen kansainvälisten tilinpäätösstandardien (IFRS) mukaisesti ja </w:t>
      </w:r>
      <w:r w:rsidR="00B85A04">
        <w:t xml:space="preserve">siten, </w:t>
      </w:r>
      <w:r w:rsidRPr="00C30EF9">
        <w:t>että tilinpäätös antaa oikean ja riittävän kuvan Suomessa voimassa olevien tilinpäätöksen laatimista koskevien säännösten mukaisesti</w:t>
      </w:r>
      <w:r w:rsidR="00B85A04">
        <w:t xml:space="preserve"> ja täyttää lakisääteiset vaatimukset</w:t>
      </w:r>
      <w:r w:rsidRPr="00C30EF9">
        <w:t xml:space="preserve">. </w:t>
      </w:r>
      <w:r w:rsidRPr="00424CBF" w:rsidR="00424CBF">
        <w:t>Hallitus ja toimitusjohtaja vastaavat myös sellaisesta sisäisestä valvonnasta, jonka ne katsovat tarpeelliseksi voidakseen laatia tilinpäätöksen, jossa ei ole väärinkäytöksestä tai virheestä johtuvaa olennaista virheellisyyttä.</w:t>
      </w:r>
      <w:r w:rsidR="009A6E25">
        <w:t xml:space="preserve"> </w:t>
      </w:r>
    </w:p>
    <w:p w:rsidR="00F17E50" w:rsidRPr="00C30EF9" w:rsidP="00F17E50" w14:paraId="53ADF11D" w14:textId="77777777">
      <w:pPr>
        <w:pStyle w:val="BodyText"/>
      </w:pPr>
      <w:r w:rsidRPr="00C30EF9">
        <w:t>Hallitus ja toimitusjohtaja ovat tilinpäätöstä laatiessaan velvollisia arvioimaan emoyhtiön ja konsernin kykyä jatkaa toimintaansa ja soveltuvissa tapauksissa esittämään seikat, jotka liittyvät toiminnan jatkuvuuteen ja siihen, että tilinpäätös on laa</w:t>
      </w:r>
      <w:r w:rsidRPr="00C30EF9">
        <w:t>dittu toiminnan jatkuvuuteen perustuen. Tilinpäätös laaditaan toiminnan jatkuvuuteen perustuen</w:t>
      </w:r>
      <w:r w:rsidR="00591E05">
        <w:t>,</w:t>
      </w:r>
      <w:r w:rsidRPr="00C30EF9">
        <w:t xml:space="preserve"> paitsi jos emoyhtiö tai konserni aiotaan purkaa tai toiminta lakkauttaa tai ei ole muuta realistista vaihtoehtoa kuin tehdä niin. </w:t>
      </w:r>
    </w:p>
    <w:p w:rsidR="00F17E50" w:rsidRPr="00C30EF9" w:rsidP="00350E32" w14:paraId="5307D81A" w14:textId="77777777">
      <w:pPr>
        <w:pStyle w:val="WAuditH3"/>
      </w:pPr>
      <w:r w:rsidRPr="00B329E6">
        <w:t>Tilintarkastajan</w:t>
      </w:r>
      <w:r w:rsidRPr="00C30EF9">
        <w:t xml:space="preserve"> velvollisuud</w:t>
      </w:r>
      <w:r w:rsidRPr="00C30EF9">
        <w:t>et tilinpäätöksen tilintarkastuksessa</w:t>
      </w:r>
    </w:p>
    <w:p w:rsidR="00F17E50" w:rsidP="00F17E50" w14:paraId="6EFA2CDE" w14:textId="77777777">
      <w:pPr>
        <w:pStyle w:val="BodyText"/>
      </w:pPr>
      <w:r w:rsidRPr="00C30EF9">
        <w:t>Tavoitteenamme on hankkia kohtuullinen varmuus siitä, onko tilinpäätöksessä kokonaisuutena väärinkäytöksestä tai virheestä johtuvaa olennaista virheellisyyttä, sekä antaa tilintarkastuskertomus, joka sisältää lausuntom</w:t>
      </w:r>
      <w:r w:rsidRPr="00C30EF9">
        <w:t>me. Kohtuullinen varmuus on korkea varmuustaso, mutta se ei ole tae siitä, että olennainen virheellisyys aina havaitaan hyvän tilintarkastustavan mukaisesti suoritettavassa tilintarkastuksessa. Virheellisyyksiä voi aiheutua väärinkäytöksestä tai virheestä,</w:t>
      </w:r>
      <w:r w:rsidRPr="00C30EF9">
        <w:t xml:space="preserve"> ja niiden katsotaan olevan olennaisia, jo</w:t>
      </w:r>
      <w:r w:rsidR="003648A8">
        <w:t>s niiden yksin tai yhdessä voitaisiin</w:t>
      </w:r>
      <w:r w:rsidRPr="00C30EF9">
        <w:t xml:space="preserve"> </w:t>
      </w:r>
      <w:r w:rsidRPr="00C30EF9">
        <w:t>kohtuudella odottaa vaikuttavan taloudellisiin päätöksiin, joita käyttäjät tekevät tilinpäätöksen perusteella.</w:t>
      </w:r>
    </w:p>
    <w:p w:rsidR="00A571E2" w:rsidP="00A571E2" w14:paraId="0E982F2C" w14:textId="77777777">
      <w:pPr>
        <w:pStyle w:val="BodyText"/>
      </w:pPr>
      <w:r>
        <w:t>Hyvän tilintarkastustavan mukaiseen tilintarkastukseen kuuluu, et</w:t>
      </w:r>
      <w:r>
        <w:t xml:space="preserve">tä käytämme ammatillista harkintaa ja säilytämme ammatillisen skeptisyyden koko tilintarkastuksen ajan. Lisäksi: </w:t>
      </w:r>
    </w:p>
    <w:p w:rsidR="00A571E2" w:rsidP="00A571E2" w14:paraId="7F565B76" w14:textId="77777777">
      <w:pPr>
        <w:pStyle w:val="BodyText"/>
        <w:numPr>
          <w:ilvl w:val="0"/>
          <w:numId w:val="9"/>
        </w:numPr>
        <w:ind w:left="357" w:hanging="357"/>
      </w:pPr>
      <w:r>
        <w:t>tunnistamme ja arvioimme väärinkäytöksestä tai virheestä johtuvat tilinpäätöksen olennaisen virheellisyyden riskit, suunnittelemme ja suoritam</w:t>
      </w:r>
      <w:r>
        <w:t>me näihin riskeihin vastaavia tilintarkastustoimenpiteitä ja hankimme lausuntomme perustaksi tarpeellisen määrän tarkoitukseen soveltuvaa tilintarkastusevidenssiä. Riski siitä, että väärinkäytöksestä johtuva olennainen virheellisyys jää havaitsematta, on s</w:t>
      </w:r>
      <w:r>
        <w:t>uurempi kuin riski siitä, että virheestä johtuva olennainen virheellisyys jää havaitsematta, sillä väärinkäytökseen voi liittyä yhteistoimintaa, väärentämistä, tietojen tahallista esittämättä jättämistä tai virheellisten tietojen esittämistä taikka sisäise</w:t>
      </w:r>
      <w:r>
        <w:t>n valvonnan sivuuttamista.</w:t>
      </w:r>
    </w:p>
    <w:p w:rsidR="00A571E2" w:rsidP="00A571E2" w14:paraId="2EFFABB7" w14:textId="77777777">
      <w:pPr>
        <w:pStyle w:val="BodyText"/>
        <w:numPr>
          <w:ilvl w:val="0"/>
          <w:numId w:val="9"/>
        </w:numPr>
        <w:ind w:left="357" w:hanging="357"/>
      </w:pPr>
      <w:r>
        <w:t>muodostamme käsityksen tilintarkastuksen kannalta relevantista sisäisestä valvonnasta pystyäksemme suunnittelemaan olosuhteisiin nähden asianmukaiset tilintarkastustoimenpiteet mutta emme siinä tarkoituksessa, että pystyisimme an</w:t>
      </w:r>
      <w:r>
        <w:t xml:space="preserve">tamaan lausunnon emoyhtiön tai konsernin sisäisen valvonnan tehokkuudesta. </w:t>
      </w:r>
    </w:p>
    <w:p w:rsidR="00A571E2" w:rsidP="00A571E2" w14:paraId="216B4A0C" w14:textId="77777777">
      <w:pPr>
        <w:pStyle w:val="BodyText"/>
        <w:numPr>
          <w:ilvl w:val="0"/>
          <w:numId w:val="9"/>
        </w:numPr>
        <w:ind w:left="357" w:hanging="357"/>
      </w:pPr>
      <w:r>
        <w:t>arvioimme sovellettujen tilinpäätöksen laatimisperiaatteiden asianmukaisuutta sekä johdon tekemien kirjanpidollisten arvioiden ja niistä esitettävien tietojen kohtuullisuutta.</w:t>
      </w:r>
    </w:p>
    <w:p w:rsidR="00A571E2" w:rsidP="00A571E2" w14:paraId="2C047B89" w14:textId="77777777">
      <w:pPr>
        <w:pStyle w:val="BodyText"/>
        <w:numPr>
          <w:ilvl w:val="0"/>
          <w:numId w:val="9"/>
        </w:numPr>
        <w:ind w:left="357" w:hanging="357"/>
      </w:pPr>
      <w:r>
        <w:t>teem</w:t>
      </w:r>
      <w:r>
        <w:t>me johtopäätöksen siitä, onko hallituksen ja toimitusjohtajan ollut asianmukaista laatia tilinpäätös perustuen oletukseen toiminnan jatkuvuudesta, ja teemme hankkimamme tilintarkastusevidenssin perusteella johtopäätöksen siitä, esiintyykö sellaista tapahtu</w:t>
      </w:r>
      <w:r>
        <w:t xml:space="preserve">miin tai olosuhteisiin liittyvää olennaista epävarmuutta, joka voi antaa merkittävää aihetta epäillä emoyhtiön tai konsernin kykyä jatkaa toimintaansa. Jos johtopäätöksemme on, että olennaista epävarmuutta esiintyy, meidän täytyy kiinnittää </w:t>
      </w:r>
      <w:r>
        <w:t>tilintarkastusk</w:t>
      </w:r>
      <w:r>
        <w:t xml:space="preserve">ertomuksessamme lukijan huomiota epävarmuutta koskeviin tilinpäätöksessä esitettäviin tietoihin tai, jos epävarmuutta koskevat tiedot eivät ole riittäviä, mukauttaa lausuntomme. Johtopäätöksemme perustuvat tilintarkastuskertomuksen antamispäivään mennessä </w:t>
      </w:r>
      <w:r>
        <w:t>hankittuun tilintarkastusevidenssiin. Vastaiset tapahtumat tai olosuhteet voivat kuitenkin johtaa siihen, ettei emoyhtiö tai konserni pysty jatkamaan toimintaansa.</w:t>
      </w:r>
    </w:p>
    <w:p w:rsidR="00A571E2" w:rsidP="00A571E2" w14:paraId="4304140E" w14:textId="77777777">
      <w:pPr>
        <w:pStyle w:val="BodyText"/>
        <w:numPr>
          <w:ilvl w:val="0"/>
          <w:numId w:val="9"/>
        </w:numPr>
        <w:ind w:left="357" w:hanging="357"/>
      </w:pPr>
      <w:r>
        <w:t xml:space="preserve">arvioimme tilinpäätöksen, </w:t>
      </w:r>
      <w:r w:rsidR="00043B43">
        <w:t>kaikki tilinpäätöksessä esitettävät tiedot mukaan lukien</w:t>
      </w:r>
      <w:r>
        <w:t xml:space="preserve">, yleistä </w:t>
      </w:r>
      <w:r>
        <w:t xml:space="preserve">esittämistapaa, rakennetta ja sisältöä ja sitä, kuvastaako tilinpäätös sen perustana olevia liiketoimia ja tapahtumia siten, että se antaa oikean ja riittävän kuvan. </w:t>
      </w:r>
    </w:p>
    <w:p w:rsidR="00A571E2" w:rsidP="00A571E2" w14:paraId="0E823C66" w14:textId="77777777">
      <w:pPr>
        <w:pStyle w:val="BodyText"/>
        <w:numPr>
          <w:ilvl w:val="0"/>
          <w:numId w:val="9"/>
        </w:numPr>
        <w:ind w:left="357" w:hanging="357"/>
      </w:pPr>
      <w:r>
        <w:t>hankimme tarpeellisen määrän tarkoitukseen soveltuvaa tilintarkastusevidenssiä konserniin</w:t>
      </w:r>
      <w:r>
        <w:t xml:space="preserve"> kuuluvia yhteisöjä tai liiketoimintoja koskevasta taloudellisesta informaatiosta pystyäksemme antamaan lausunnon konsernitilinpäätöksestä. Vastaamme konsernin tilintarkastuksen ohjauksesta, valvonnasta ja suorittamisesta. Vastaamme tilintarkastuslausunnos</w:t>
      </w:r>
      <w:r>
        <w:t>ta yksin.</w:t>
      </w:r>
    </w:p>
    <w:p w:rsidR="00A571E2" w:rsidP="00A571E2" w14:paraId="3553CA54" w14:textId="77777777">
      <w:pPr>
        <w:pStyle w:val="BodyText"/>
      </w:pPr>
      <w:r>
        <w:t>Kommunikoimme hallintoelinten kanssa muun muassa tilintarkastuksen suunnitellusta laajuudesta ja ajoituksesta sekä merkittävistä tilintarkastushavainnoista, mukaan lukien mahdolliset sisäisen valvonnan merkittävät puutteellisuudet, jotka tunnista</w:t>
      </w:r>
      <w:r>
        <w:t xml:space="preserve">mme tilintarkastuksen aikana. </w:t>
      </w:r>
    </w:p>
    <w:p w:rsidR="00A571E2" w:rsidP="00A571E2" w14:paraId="6A85D7F9" w14:textId="77777777">
      <w:pPr>
        <w:pStyle w:val="BodyText"/>
      </w:pPr>
      <w:r>
        <w:t>Lisäksi annamme hallintoelimille vahvistuksen siitä, että olemme noudattaneet riippumattomuutta koskevia relevantteja eettisiä vaatimuksia, ja kommunikoimme niiden kanssa kaikista suhteista ja muista seikoista, joiden voi koh</w:t>
      </w:r>
      <w:r>
        <w:t>tuudella ajatella vaikuttavan riippumattomuuteemme, ja soveltuvissa tapauksissa niihin liittyvistä varotoimista.</w:t>
      </w:r>
    </w:p>
    <w:p w:rsidR="00A571E2" w:rsidRPr="00A571E2" w:rsidP="00A571E2" w14:paraId="2BBB5508" w14:textId="77777777">
      <w:pPr>
        <w:pStyle w:val="BodyText"/>
      </w:pPr>
      <w:r>
        <w:t>Päätämme, mitkä hallintoelinten kanssa kommunikoiduista seikoista olivat merkittävimpiä tarkasteltavana olevan tilikauden tilintarkastuksessa j</w:t>
      </w:r>
      <w:r>
        <w:t>a näin ollen ovat tilintarkastuksen kannalta keskeisiä. Kuvaamme kyseiset seikat tilintarkastuskertomuksessa, paitsi jos säädös tai määräys estää kyseisen seikan julkistamisen tai kun äärimmäisen harvinaisissa tapauksissa toteamme, ettei kyseisestä seikast</w:t>
      </w:r>
      <w:r>
        <w:t xml:space="preserve">a viestitä tilintarkastuskertomuksessa, koska siitä aiheutuvien </w:t>
      </w:r>
      <w:r>
        <w:t>epäedullisten vaikutusten voitaisiin kohtuudella odottaa olevan suuremmat kuin tällaisesta viestinnästä koituva yleinen etu.</w:t>
      </w:r>
    </w:p>
    <w:p w:rsidR="00F17E50" w:rsidRPr="003B5952" w:rsidP="00350E32" w14:paraId="4CB9EB1F" w14:textId="77777777">
      <w:pPr>
        <w:pStyle w:val="WAuditH2"/>
      </w:pPr>
      <w:r w:rsidRPr="003B5952">
        <w:t xml:space="preserve">Muut raportointivelvoitteet </w:t>
      </w:r>
    </w:p>
    <w:p w:rsidR="00B72A11" w:rsidRPr="00C30EF9" w:rsidP="00350E32" w14:paraId="137DEE97" w14:textId="77777777">
      <w:pPr>
        <w:pStyle w:val="WAuditH3"/>
      </w:pPr>
      <w:r w:rsidRPr="00B72A11">
        <w:t>Tilintarkastustoimeksiantoa koskevat t</w:t>
      </w:r>
      <w:r w:rsidRPr="00B72A11">
        <w:t>iedot</w:t>
      </w:r>
    </w:p>
    <w:p w:rsidR="00B72A11" w:rsidRPr="00C30EF9" w:rsidP="00B72A11" w14:paraId="6136C0AA" w14:textId="77777777">
      <w:pPr>
        <w:pStyle w:val="BodyText"/>
      </w:pPr>
      <w:r w:rsidRPr="00B72A11">
        <w:t>Olemme toimineet yhtiökokouksen valitsema</w:t>
      </w:r>
      <w:r w:rsidR="0061425D">
        <w:t>na tilintarkastajana</w:t>
      </w:r>
      <w:r w:rsidR="008102C8">
        <w:t xml:space="preserve"> 2.3.2017 alkaen</w:t>
      </w:r>
      <w:r w:rsidR="009A7B21">
        <w:t xml:space="preserve"> yhtäjaksoisesti </w:t>
      </w:r>
      <w:r w:rsidR="00314073">
        <w:t>viisi</w:t>
      </w:r>
      <w:r w:rsidR="009A7B21">
        <w:t xml:space="preserve"> vuotta</w:t>
      </w:r>
      <w:r w:rsidRPr="00C30EF9">
        <w:t>.</w:t>
      </w:r>
    </w:p>
    <w:p w:rsidR="00F17E50" w:rsidRPr="00C30EF9" w:rsidP="00350E32" w14:paraId="0C8A213D" w14:textId="77777777">
      <w:pPr>
        <w:pStyle w:val="WAuditH3"/>
      </w:pPr>
      <w:r w:rsidRPr="00C30EF9">
        <w:t xml:space="preserve">Muu informaatio </w:t>
      </w:r>
    </w:p>
    <w:p w:rsidR="002A590E" w:rsidRPr="00C30EF9" w:rsidP="002A590E" w14:paraId="2A29CEB8" w14:textId="77777777">
      <w:pPr>
        <w:pStyle w:val="BodyText"/>
      </w:pPr>
      <w:r w:rsidRPr="00FC040D">
        <w:t xml:space="preserve">Hallitus ja toimitusjohtaja vastaavat muusta informaatiosta. Muu informaatio käsittää toimintakertomuksen ja </w:t>
      </w:r>
      <w:r w:rsidRPr="00FC040D">
        <w:t>vuosikertomukseen sisältyvän informaation, mutta se ei sisällä tilinpäätöstä eikä sitä koskevaa tilintarkastuskertomustamme</w:t>
      </w:r>
      <w:r w:rsidRPr="00C30EF9">
        <w:t>.</w:t>
      </w:r>
    </w:p>
    <w:p w:rsidR="002A590E" w:rsidRPr="00C30EF9" w:rsidP="002A590E" w14:paraId="20EC2D1B" w14:textId="77777777">
      <w:pPr>
        <w:pStyle w:val="BodyText"/>
      </w:pPr>
      <w:r w:rsidRPr="00C30EF9">
        <w:t>Tilinpäätöstä koskeva lausuntomme ei kata muuta informaatiota.</w:t>
      </w:r>
    </w:p>
    <w:p w:rsidR="002A590E" w:rsidP="002A590E" w14:paraId="1F8B2A7F" w14:textId="77777777">
      <w:pPr>
        <w:pStyle w:val="BodyText"/>
      </w:pPr>
      <w:r w:rsidRPr="00C30EF9">
        <w:t>Velvollisuutenamme on lukea muu informaatio tilinpäätöksen tilintark</w:t>
      </w:r>
      <w:r w:rsidRPr="00C30EF9">
        <w:t>astuksen yhteydessä ja tätä tehdessämme arvioida, onko muu informaatio olennaisesti ristiriidassa tilinpäätöksen tai tilintarkastusta suoritettaessa hankkimamme tietämyksen kanssa tai vaikuttaako se muutoin olevan olennaisesti virheellistä.</w:t>
      </w:r>
      <w:r>
        <w:t xml:space="preserve"> Toimintakertomu</w:t>
      </w:r>
      <w:r>
        <w:t>ksen osalta</w:t>
      </w:r>
      <w:r w:rsidRPr="00C30EF9">
        <w:t xml:space="preserve"> velvollisuutenamme on </w:t>
      </w:r>
      <w:r>
        <w:t xml:space="preserve">lisäksi </w:t>
      </w:r>
      <w:r w:rsidRPr="00C30EF9">
        <w:t>arvioida, onko toimintakertomus laadittu sen laatimiseen sovellettavien säännösten mukaisesti.</w:t>
      </w:r>
    </w:p>
    <w:p w:rsidR="002A590E" w:rsidP="002A590E" w14:paraId="034606A0" w14:textId="77777777">
      <w:pPr>
        <w:pStyle w:val="BodyText"/>
      </w:pPr>
      <w:r>
        <w:t>Lausuntonamme esitämme, että</w:t>
      </w:r>
    </w:p>
    <w:p w:rsidR="002A590E" w:rsidP="002A590E" w14:paraId="3078DE4D" w14:textId="77777777">
      <w:pPr>
        <w:pStyle w:val="BodyText"/>
        <w:numPr>
          <w:ilvl w:val="0"/>
          <w:numId w:val="10"/>
        </w:numPr>
        <w:ind w:left="357" w:hanging="357"/>
      </w:pPr>
      <w:r w:rsidRPr="00C30EF9">
        <w:t>toimintakertomuksen ja tilinpäätöksen ti</w:t>
      </w:r>
      <w:r>
        <w:t>edot ovat yhdenmukaisia</w:t>
      </w:r>
    </w:p>
    <w:p w:rsidR="002A590E" w:rsidRPr="00C30EF9" w:rsidP="002A590E" w14:paraId="27F4EFF7" w14:textId="77777777">
      <w:pPr>
        <w:pStyle w:val="BodyText"/>
        <w:numPr>
          <w:ilvl w:val="0"/>
          <w:numId w:val="10"/>
        </w:numPr>
        <w:ind w:left="357" w:hanging="357"/>
      </w:pPr>
      <w:r w:rsidRPr="00C30EF9">
        <w:t>toimintakertomus on laadittu toimintakertomuksen laatimiseen sovellettavien säännösten mukaisesti.</w:t>
      </w:r>
    </w:p>
    <w:p w:rsidR="008C2BAD" w:rsidP="002A590E" w14:paraId="7AA6A5DA" w14:textId="77777777">
      <w:pPr>
        <w:pStyle w:val="BodyText"/>
      </w:pPr>
      <w:r w:rsidRPr="00FC040D">
        <w:t>Jos teemme suorittamamme työn perusteella johtopäätöksen, että muussa informaatiossa on olennainen virhee</w:t>
      </w:r>
      <w:r w:rsidR="00956F46">
        <w:t>l</w:t>
      </w:r>
      <w:r w:rsidRPr="00FC040D">
        <w:t xml:space="preserve">lisyys, meidän on raportoitava tästä seikasta. </w:t>
      </w:r>
      <w:r w:rsidRPr="005C4BCB">
        <w:t>Meil</w:t>
      </w:r>
      <w:r w:rsidRPr="005C4BCB">
        <w:t>lä ei ole tämän asian suhteen raportoitavaa</w:t>
      </w:r>
      <w:r>
        <w:t>.</w:t>
      </w:r>
    </w:p>
    <w:p w:rsidR="00135605" w:rsidRPr="00C30EF9" w:rsidP="00350E32" w14:paraId="66359534" w14:textId="77777777">
      <w:pPr>
        <w:pStyle w:val="WAuditH3"/>
      </w:pPr>
      <w:r w:rsidRPr="00C30EF9">
        <w:t>Muu</w:t>
      </w:r>
      <w:r w:rsidR="004411BC">
        <w:t>t lausumat</w:t>
      </w:r>
      <w:r w:rsidRPr="00C30EF9">
        <w:t xml:space="preserve"> </w:t>
      </w:r>
    </w:p>
    <w:p w:rsidR="00694707" w:rsidP="009B7557" w14:paraId="30A9D338" w14:textId="77777777">
      <w:pPr>
        <w:pStyle w:val="BodyText"/>
      </w:pPr>
      <w:r w:rsidRPr="00135605">
        <w:t xml:space="preserve">Puollamme tilinpäätöksen vahvistamista. Hallituksen esitys </w:t>
      </w:r>
      <w:r>
        <w:t>voitonjakokelpoisten varojen</w:t>
      </w:r>
      <w:r w:rsidRPr="00135605">
        <w:t xml:space="preserve"> käyttämisestä on osakeyhtiöla</w:t>
      </w:r>
      <w:r>
        <w:t>in mukainen. Puollamme vastuuva</w:t>
      </w:r>
      <w:r w:rsidRPr="00135605">
        <w:t>pauden myöntämistä hallituksen jäsenille sekä to</w:t>
      </w:r>
      <w:r w:rsidRPr="00135605">
        <w:t xml:space="preserve">imitusjohtajalle tarkastamaltamme tilikaudelta.  </w:t>
      </w:r>
    </w:p>
    <w:p w:rsidR="00694707" w:rsidP="009B7557" w14:paraId="7E18D153" w14:textId="77777777">
      <w:pPr>
        <w:pStyle w:val="BodyText"/>
      </w:pPr>
    </w:p>
    <w:p w:rsidR="00F17E50" w:rsidRPr="0061425D" w:rsidP="009B7557" w14:paraId="19235005" w14:textId="77777777">
      <w:pPr>
        <w:pStyle w:val="BodyText"/>
      </w:pPr>
      <w:r w:rsidRPr="0061425D">
        <w:t xml:space="preserve">Helsingissä </w:t>
      </w:r>
      <w:r w:rsidR="00314073">
        <w:t>4</w:t>
      </w:r>
      <w:r w:rsidRPr="0061425D">
        <w:t>.</w:t>
      </w:r>
      <w:r w:rsidR="00C21110">
        <w:t>2.</w:t>
      </w:r>
      <w:r w:rsidR="00694707">
        <w:t>20</w:t>
      </w:r>
      <w:r w:rsidR="00D9002E">
        <w:t>2</w:t>
      </w:r>
      <w:r w:rsidR="00314073">
        <w:t>2</w:t>
      </w:r>
    </w:p>
    <w:p w:rsidR="00F17E50" w:rsidRPr="0061425D" w:rsidP="009B7557" w14:paraId="7AC194D2" w14:textId="77777777">
      <w:pPr>
        <w:pStyle w:val="BodyText"/>
      </w:pPr>
      <w:r w:rsidRPr="0061425D">
        <w:rPr>
          <w:b/>
        </w:rPr>
        <w:t>PricewaterhouseCoopers Oy</w:t>
      </w:r>
      <w:r w:rsidRPr="0061425D">
        <w:br/>
        <w:t>Tilintarkastusyhteisö</w:t>
      </w:r>
    </w:p>
    <w:p w:rsidR="00261D76" w:rsidP="007E5E6B" w14:paraId="6F7747A7" w14:textId="77777777">
      <w:pPr>
        <w:pStyle w:val="BodyText"/>
      </w:pPr>
    </w:p>
    <w:p w:rsidR="00F825C5" w:rsidRPr="00C30EF9" w:rsidP="007E5E6B" w14:paraId="4E04CC2D" w14:textId="77777777">
      <w:pPr>
        <w:pStyle w:val="BodyText"/>
      </w:pPr>
      <w:r>
        <w:t>Merja Lindh</w:t>
      </w:r>
      <w:r w:rsidRPr="00C30EF9" w:rsidR="00F17E50">
        <w:br/>
        <w:t>KHT</w:t>
      </w:r>
    </w:p>
    <w:p w:rsidR="00D0330C" w:rsidRPr="00D0330C" w:rsidP="00F41483" w14:paraId="58AC3FD8" w14:textId="77777777">
      <w:pPr>
        <w:pStyle w:val="WAudit2H1"/>
        <w:pageBreakBefore/>
      </w:pPr>
      <w:bookmarkStart w:id="1527" w:name="RG_MARKER_8765"/>
      <w:r w:rsidRPr="00D0330C">
        <w:t>Wärtsilä Oyj:n ESEF-tilinpäätöstä koskeva kohtuullisen varmuuden antava riippumattoman tilintarkastajan varmennusraportti</w:t>
      </w:r>
      <w:bookmarkEnd w:id="1527"/>
    </w:p>
    <w:p w:rsidR="00D0330C" w:rsidRPr="00C840EB" w:rsidP="00A405CC" w14:paraId="631A2293" w14:textId="77777777">
      <w:pPr>
        <w:pStyle w:val="WAudit2BodyText"/>
        <w:rPr>
          <w:lang w:eastAsia="fi-FI"/>
        </w:rPr>
      </w:pPr>
      <w:r>
        <w:t>Wärtsilä</w:t>
      </w:r>
      <w:r w:rsidRPr="007620F4">
        <w:t xml:space="preserve"> Oyj:n </w:t>
      </w:r>
      <w:r w:rsidRPr="00C840EB">
        <w:rPr>
          <w:lang w:eastAsia="fi-FI"/>
        </w:rPr>
        <w:t>johdolle</w:t>
      </w:r>
    </w:p>
    <w:p w:rsidR="00D0330C" w:rsidRPr="00C840EB" w:rsidP="00A405CC" w14:paraId="7CAD4AD3" w14:textId="77777777">
      <w:pPr>
        <w:pStyle w:val="WAudit2BodyText"/>
        <w:rPr>
          <w:lang w:eastAsia="fi-FI"/>
        </w:rPr>
      </w:pPr>
    </w:p>
    <w:p w:rsidR="00D0330C" w:rsidRPr="007620F4" w:rsidP="00465AC8" w14:paraId="1F1C704C" w14:textId="77777777">
      <w:pPr>
        <w:pStyle w:val="WAudit2BodyText"/>
        <w:spacing w:before="120"/>
      </w:pPr>
      <w:r w:rsidRPr="007620F4">
        <w:t xml:space="preserve">Olemme </w:t>
      </w:r>
      <w:r>
        <w:t>Wärtsilä</w:t>
      </w:r>
      <w:r w:rsidRPr="007620F4">
        <w:t xml:space="preserve"> Oyj:n (y-tunnus 0128631-1) (jäljempänä myös ”yhtiö”) johdon pyynnöstä suorittaneet kohtuullisen varmuuden antavan toimeksiannon, jonka kohteena on ollut yhtiön IFRS-konsernitilinpäätös tilikaudelta 1.1.-31.12.2021 European Single Electronic Format -muodos</w:t>
      </w:r>
      <w:r w:rsidRPr="007620F4">
        <w:t>sa (”ESEF-tilinpäätös”).</w:t>
      </w:r>
    </w:p>
    <w:p w:rsidR="00D0330C" w:rsidRPr="007620F4" w:rsidP="00F41483" w14:paraId="210CDFF7" w14:textId="77777777">
      <w:pPr>
        <w:pStyle w:val="WAudit2H2"/>
      </w:pPr>
      <w:r w:rsidRPr="007620F4">
        <w:t xml:space="preserve">Johdon vastuu ESEF-tilinpäätöksestä </w:t>
      </w:r>
    </w:p>
    <w:p w:rsidR="00D0330C" w:rsidRPr="007620F4" w:rsidP="00A405CC" w14:paraId="05F8BDBB" w14:textId="77777777">
      <w:pPr>
        <w:pStyle w:val="WAudit2BodyText"/>
      </w:pPr>
      <w:r>
        <w:t>Wärtsilä</w:t>
      </w:r>
      <w:r w:rsidRPr="007620F4">
        <w:t xml:space="preserve"> Oyj:n johto vastaa ESEF-tilinpäätöksen laatimisesta siten, että se täyttää 17.12.2018 annetun komission delegoidun asetuksen (EU) 2019/815 vaatimukset (”ESEF-vaatimukset). Tähän vastuus</w:t>
      </w:r>
      <w:r w:rsidRPr="007620F4">
        <w:t>een kuuluu, että suunnitellaan, otetaan käyttöön ja ylläpidetään sisäistä valvontaa, joka on relevanttia sellaisen ESEF-tilinpäätöksen laatimisen kannalta, jossa ei ole väärinkäytöksestä tai virheestä johtuvaa olennaista ESEF-vaatimusten noudattamatta jätt</w:t>
      </w:r>
      <w:r w:rsidRPr="007620F4">
        <w:t xml:space="preserve">ämistä. </w:t>
      </w:r>
    </w:p>
    <w:p w:rsidR="00D0330C" w:rsidRPr="00F41483" w:rsidP="00F41483" w14:paraId="32936ED9" w14:textId="77777777">
      <w:pPr>
        <w:pStyle w:val="WAudit2H2"/>
      </w:pPr>
      <w:r w:rsidRPr="00F41483">
        <w:t>Meidän riippumattomuutemme ja laadunvalvontamme</w:t>
      </w:r>
    </w:p>
    <w:p w:rsidR="00D0330C" w:rsidRPr="007620F4" w:rsidP="00A405CC" w14:paraId="5D105259" w14:textId="77777777">
      <w:pPr>
        <w:pStyle w:val="WAudit2BodyText"/>
      </w:pPr>
      <w:r w:rsidRPr="007620F4">
        <w:t>Olemme noudattaneet IESBAn (International Ethics Standards Board for Accountants) Kansainvälisten eettisten sääntöjen tilintarkastusammattilaisille (sisältäen Kansainväliset riippumattomuusstandardit</w:t>
      </w:r>
      <w:r w:rsidRPr="007620F4">
        <w:t>) (IESBAn eettiset säännöt) mukaisia riippumattomuusvaatimuksia ja muita eettisiä vaatimuksia. Sääntöjen pohjana olevat perusperiaatteet ovat rehellisyys, objektiivisuus, ammatillinen pätevyys ja huolellisuus, salassapitovelvollisuus ja ammatillinen käyttä</w:t>
      </w:r>
      <w:r w:rsidRPr="007620F4">
        <w:t>ytyminen.</w:t>
      </w:r>
    </w:p>
    <w:p w:rsidR="00D0330C" w:rsidRPr="007620F4" w:rsidP="00A405CC" w14:paraId="5634002A" w14:textId="77777777">
      <w:pPr>
        <w:pStyle w:val="WAudit2BodyText"/>
      </w:pPr>
    </w:p>
    <w:p w:rsidR="00D0330C" w:rsidRPr="007620F4" w:rsidP="00A405CC" w14:paraId="23F73150" w14:textId="3373F866">
      <w:pPr>
        <w:pStyle w:val="WAudit2BodyText"/>
      </w:pPr>
      <w:r w:rsidRPr="007620F4">
        <w:t>Yhtiömme soveltaa kansainvälistä laadunvalvontastandardia ISQC 1 ja näin ollen ylläpitää kattavaa laadunvalvontajärjestelmää, mukaan lukien eettisten vaatimusten, ammatillisten standardien sekä sovellettaviin säädöksiin ja</w:t>
      </w:r>
      <w:r>
        <w:br w:type="column"/>
      </w:r>
      <w:r>
        <w:rPr>
          <w:noProof/>
        </w:rPr>
        <w:drawing>
          <wp:anchor distT="0" distB="0" distL="114300" distR="114300" simplePos="0" relativeHeight="251681792" behindDoc="0" locked="0" layoutInCell="1" allowOverlap="1">
            <wp:simplePos x="0" y="0"/>
            <wp:positionH relativeFrom="page">
              <wp:posOffset>450215</wp:posOffset>
            </wp:positionH>
            <wp:positionV relativeFrom="page">
              <wp:posOffset>7002780</wp:posOffset>
            </wp:positionV>
            <wp:extent cx="4291200" cy="453600"/>
            <wp:effectExtent l="0" t="0" r="0" b="0"/>
            <wp:wrapNone/>
            <wp:docPr id="1026089146" name="Picture 6"/>
            <wp:cNvGraphicFramePr/>
            <a:graphic xmlns:a="http://schemas.openxmlformats.org/drawingml/2006/main">
              <a:graphicData uri="http://schemas.openxmlformats.org/drawingml/2006/picture">
                <pic:pic xmlns:pic="http://schemas.openxmlformats.org/drawingml/2006/picture">
                  <pic:nvPicPr>
                    <pic:cNvPr id="523376619" name="Picture 6"/>
                    <pic:cNvPicPr/>
                  </pic:nvPicPr>
                  <pic:blipFill>
                    <a:blip xmlns:r="http://schemas.openxmlformats.org/officeDocument/2006/relationships" r:embed="rId83">
                      <a:extLst>
                        <a:ext xmlns:a="http://schemas.openxmlformats.org/drawingml/2006/main" uri="{28A0092B-C50C-407E-A947-70E740481C1C}">
                          <a14:useLocalDpi xmlns:a14="http://schemas.microsoft.com/office/drawing/2010/main" val="0"/>
                        </a:ext>
                      </a:extLst>
                    </a:blip>
                    <a:stretch>
                      <a:fillRect/>
                    </a:stretch>
                  </pic:blipFill>
                  <pic:spPr>
                    <a:xfrm>
                      <a:off x="0" y="0"/>
                      <a:ext cx="4291200" cy="453600"/>
                    </a:xfrm>
                    <a:prstGeom prst="rect">
                      <a:avLst/>
                    </a:prstGeom>
                  </pic:spPr>
                </pic:pic>
              </a:graphicData>
            </a:graphic>
            <wp14:sizeRelH relativeFrom="margin">
              <wp14:pctWidth>0</wp14:pctWidth>
            </wp14:sizeRelH>
            <wp14:sizeRelV relativeFrom="margin">
              <wp14:pctHeight>0</wp14:pctHeight>
            </wp14:sizeRelV>
          </wp:anchor>
        </w:drawing>
      </w:r>
      <w:r w:rsidRPr="007620F4">
        <w:t>määräyksiin perustuvi</w:t>
      </w:r>
      <w:r w:rsidRPr="007620F4">
        <w:t>en vaatimusten noudattamista koskevat dokumentoidut toimintaperiaatteet ja menettelytavat.</w:t>
      </w:r>
    </w:p>
    <w:p w:rsidR="00D0330C" w:rsidRPr="007620F4" w:rsidP="00F41483" w14:paraId="5D2B8CAC" w14:textId="77777777">
      <w:pPr>
        <w:pStyle w:val="WAudit2H2"/>
      </w:pPr>
      <w:r w:rsidRPr="007620F4">
        <w:t>Meidän velvollisuutemme</w:t>
      </w:r>
    </w:p>
    <w:p w:rsidR="00D0330C" w:rsidRPr="007620F4" w:rsidP="00A405CC" w14:paraId="6AC08EAE" w14:textId="77777777">
      <w:pPr>
        <w:pStyle w:val="WAudit2BodyText"/>
      </w:pPr>
      <w:r w:rsidRPr="007620F4">
        <w:t>Meidän velvollisuutenamme on esittää suorittamiemme toimenpiteiden ja hankkimamme evidenssin perusteella lausunto ESEF-tilinpäätöksestä.</w:t>
      </w:r>
    </w:p>
    <w:p w:rsidR="00D0330C" w:rsidRPr="007620F4" w:rsidP="00A405CC" w14:paraId="782E8E23" w14:textId="77777777">
      <w:pPr>
        <w:pStyle w:val="WAudit2BodyText"/>
      </w:pPr>
    </w:p>
    <w:p w:rsidR="00D0330C" w:rsidRPr="007620F4" w:rsidP="00A405CC" w14:paraId="2D0FC841" w14:textId="77777777">
      <w:pPr>
        <w:pStyle w:val="WAudit2BodyText"/>
      </w:pPr>
      <w:r w:rsidRPr="007620F4">
        <w:t>Ole</w:t>
      </w:r>
      <w:r w:rsidRPr="007620F4">
        <w:t xml:space="preserve">mme suorittaneet kohtuullisen varmuuden antavan toimeksiantomme kansainvälisen varmennustoimeksiantostandardin (ISAE) 3000 (uudistettu) </w:t>
      </w:r>
      <w:r w:rsidRPr="007620F4">
        <w:rPr>
          <w:i/>
          <w:iCs/>
        </w:rPr>
        <w:t>Muut varmennustoimeksiannot kuin menneitä kausia koskevaan taloudelliseen informaatioon kohdistuva tilintarkastus tai yl</w:t>
      </w:r>
      <w:r w:rsidRPr="007620F4">
        <w:rPr>
          <w:i/>
          <w:iCs/>
        </w:rPr>
        <w:t>eisluonteinen tarkastus</w:t>
      </w:r>
      <w:r w:rsidRPr="007620F4">
        <w:t xml:space="preserve"> mukaisesti. Kyseinen standardi edellyttää, että suunnittelemme ja suoritamme toimeksiannon hankkiaksemme kohtuullisen varmuuden siitä, onko ESEF-tilinpäätöksessä olennaista ESEF-vaatimusten noudattamatta jättämistä.</w:t>
      </w:r>
    </w:p>
    <w:p w:rsidR="00D0330C" w:rsidRPr="007620F4" w:rsidP="00A405CC" w14:paraId="5182430C" w14:textId="77777777">
      <w:pPr>
        <w:pStyle w:val="WAudit2BodyText"/>
      </w:pPr>
    </w:p>
    <w:p w:rsidR="00D0330C" w:rsidRPr="007620F4" w:rsidP="00A405CC" w14:paraId="0D53109C" w14:textId="77777777">
      <w:pPr>
        <w:pStyle w:val="WAudit2BodyText"/>
      </w:pPr>
      <w:r w:rsidRPr="007620F4">
        <w:t>ISAE 3000 (uudi</w:t>
      </w:r>
      <w:r w:rsidRPr="007620F4">
        <w:t>stettu) mukaiseen kohtuullisen varmuuden antavaan toimeksiantoon kuuluu toimenpiteitä evidenssin hankkimiseksi siitä, onko ESEF-tilinpäätös ESEF-vaatimusten mukainen. Valittavat toimenpiteet perustuvat tilintarkastajan harkintaan, johon kuuluu väärinkäytök</w:t>
      </w:r>
      <w:r w:rsidRPr="007620F4">
        <w:t xml:space="preserve">sestä tai virheestä johtuvan olennaisen ESEF-vaatimusten noudattamatta jättämisen riskien arvioiminen. Näitä riskejä arvioidessamme olemme tarkastelleet sisäistä valvontaa, joka on yhtiössä relevanttia ESEF-tilinpäätöksen laatimisen kannalta. </w:t>
      </w:r>
    </w:p>
    <w:p w:rsidR="00D0330C" w:rsidRPr="007620F4" w:rsidP="00A405CC" w14:paraId="46B0DDB4" w14:textId="77777777">
      <w:pPr>
        <w:pStyle w:val="WAudit2BodyText"/>
      </w:pPr>
    </w:p>
    <w:p w:rsidR="00D0330C" w:rsidRPr="007620F4" w:rsidP="00A405CC" w14:paraId="0A36229A" w14:textId="77777777">
      <w:pPr>
        <w:pStyle w:val="WAudit2BodyText"/>
      </w:pPr>
      <w:r w:rsidRPr="007620F4">
        <w:t>Käsityksemm</w:t>
      </w:r>
      <w:r w:rsidRPr="007620F4">
        <w:t>e mukaan olemme hankkineet lausuntomme perustaksi tarpeellisen määrän tarkoitukseen soveltuvaa evidenssiä.</w:t>
      </w:r>
    </w:p>
    <w:p w:rsidR="00D0330C" w:rsidRPr="007620F4" w:rsidP="00F41483" w14:paraId="59DA2A1D" w14:textId="77777777">
      <w:pPr>
        <w:pStyle w:val="WAudit2H2"/>
      </w:pPr>
      <w:r w:rsidRPr="007620F4">
        <w:t>Lausunto</w:t>
      </w:r>
    </w:p>
    <w:p w:rsidR="00D0330C" w:rsidRPr="007620F4" w:rsidP="00A405CC" w14:paraId="218E6EE8" w14:textId="77777777">
      <w:pPr>
        <w:pStyle w:val="WAudit2BodyText"/>
      </w:pPr>
      <w:r w:rsidRPr="007620F4">
        <w:t xml:space="preserve">Lausuntonamme esitämme, että </w:t>
      </w:r>
      <w:r>
        <w:t>Wärtsilä</w:t>
      </w:r>
      <w:r w:rsidRPr="007620F4">
        <w:t xml:space="preserve"> Oyj:n ESEF-tilinpäätös 31.12.2021 päättyneeltä tilikaudelta noudattaa olennaisilta osin ESEF-vaatimuks</w:t>
      </w:r>
      <w:r w:rsidRPr="007620F4">
        <w:t>ia.</w:t>
      </w:r>
    </w:p>
    <w:p w:rsidR="0037143B" w:rsidP="00A405CC" w14:paraId="704181FC" w14:textId="77777777">
      <w:pPr>
        <w:pStyle w:val="WAudit2BodyText"/>
      </w:pPr>
    </w:p>
    <w:p w:rsidR="00D0330C" w:rsidRPr="00BB16CC" w:rsidP="00BB16CC" w14:paraId="1C249A3C" w14:textId="2E8AAA00">
      <w:pPr>
        <w:pStyle w:val="WAudit2BodyText"/>
      </w:pPr>
      <w:r w:rsidRPr="007620F4">
        <w:t>Tämä kohtuullisen varmuuden antava varmennusraporttimme on laadittu</w:t>
      </w:r>
      <w:r>
        <w:br w:type="column"/>
      </w:r>
      <w:r w:rsidRPr="007620F4">
        <w:t xml:space="preserve">toimeksiantomme ehtojen mukaisesti. Vastaamme työstämme, tästä raportista ja </w:t>
      </w:r>
      <w:r w:rsidRPr="00BB16CC">
        <w:t>esittämästämme lausunnosta vain Wärtsilä Oyj:lle, emme kolmansille osapuolille.</w:t>
      </w:r>
    </w:p>
    <w:p w:rsidR="00BB16CC" w:rsidP="00BB16CC" w14:paraId="433DA2AC" w14:textId="77777777">
      <w:pPr>
        <w:pStyle w:val="WAudit2BodyText"/>
      </w:pPr>
    </w:p>
    <w:p w:rsidR="00D0330C" w:rsidRPr="00BB16CC" w:rsidP="00BB16CC" w14:paraId="2E968723" w14:textId="77777777">
      <w:pPr>
        <w:pStyle w:val="WAudit2BodyText"/>
        <w:spacing w:before="120" w:after="180"/>
      </w:pPr>
      <w:r w:rsidRPr="00BB16CC">
        <w:t>Helsingissä 4.2.2022</w:t>
      </w:r>
    </w:p>
    <w:p w:rsidR="00D0330C" w:rsidRPr="00FA1B21" w:rsidP="00FA1B21" w14:paraId="5FCB1DB5" w14:textId="77777777">
      <w:pPr>
        <w:pStyle w:val="WAudit2BodyText"/>
      </w:pPr>
    </w:p>
    <w:p w:rsidR="00D0330C" w:rsidRPr="00FA1B21" w:rsidP="00FA1B21" w14:paraId="0E3F9A59" w14:textId="77777777">
      <w:pPr>
        <w:pStyle w:val="WAudit2BodyText"/>
        <w:rPr>
          <w:b/>
          <w:bCs/>
        </w:rPr>
      </w:pPr>
      <w:r w:rsidRPr="00FA1B21">
        <w:rPr>
          <w:b/>
          <w:bCs/>
        </w:rPr>
        <w:t>PricewaterhouseCoopers Oy</w:t>
      </w:r>
    </w:p>
    <w:p w:rsidR="00D0330C" w:rsidRPr="00FA1B21" w:rsidP="00FA1B21" w14:paraId="391109E5" w14:textId="77777777">
      <w:pPr>
        <w:pStyle w:val="WAudit2BodyText"/>
      </w:pPr>
      <w:r w:rsidRPr="00FA1B21">
        <w:t>Tilintarkastusyhteisö</w:t>
      </w:r>
    </w:p>
    <w:p w:rsidR="00D0330C" w:rsidP="00FA1B21" w14:paraId="5DB56D8E" w14:textId="77777777">
      <w:pPr>
        <w:pStyle w:val="WAudit2BodyText"/>
      </w:pPr>
    </w:p>
    <w:p w:rsidR="00D04815" w:rsidP="00FA1B21" w14:paraId="1438D8D9" w14:textId="77777777">
      <w:pPr>
        <w:pStyle w:val="WAudit2BodyText"/>
      </w:pPr>
    </w:p>
    <w:p w:rsidR="00D04815" w:rsidRPr="00FA1B21" w:rsidP="00FA1B21" w14:paraId="63E3C4C3" w14:textId="77777777">
      <w:pPr>
        <w:pStyle w:val="WAudit2BodyText"/>
      </w:pPr>
    </w:p>
    <w:p w:rsidR="00D0330C" w:rsidRPr="00FA1B21" w:rsidP="00FA1B21" w14:paraId="34005511" w14:textId="77777777">
      <w:pPr>
        <w:pStyle w:val="WAudit2BodyText"/>
      </w:pPr>
      <w:r w:rsidRPr="00FA1B21">
        <w:t>Merja Lindh</w:t>
      </w:r>
    </w:p>
    <w:p w:rsidR="00D0330C" w:rsidRPr="00FA1B21" w:rsidP="00FA1B21" w14:paraId="0BCC3A0E" w14:textId="77777777">
      <w:pPr>
        <w:pStyle w:val="WAudit2BodyText"/>
      </w:pPr>
      <w:r w:rsidRPr="00FA1B21">
        <w:t>KHT</w:t>
      </w:r>
    </w:p>
    <w:sectPr w:rsidSect="00B70A25">
      <w:headerReference w:type="even" r:id="rId85"/>
      <w:headerReference w:type="default" r:id="rId86"/>
      <w:footerReference w:type="even" r:id="rId87"/>
      <w:footerReference w:type="default" r:id="rId88"/>
      <w:headerReference w:type="first" r:id="rId89"/>
      <w:footerReference w:type="first" r:id="rId90"/>
      <w:type w:val="continuous"/>
      <w:pgSz w:w="16838" w:h="11906" w:orient="landscape"/>
      <w:pgMar w:top="1814" w:right="737" w:bottom="1247" w:left="737" w:header="720" w:footer="720" w:gutter="0"/>
      <w:pgBorders w:zOrder="front" w:display="allPages" w:offsetFrom="text">
        <w:top w:val="nil"/>
        <w:left w:val="nil"/>
        <w:bottom w:val="nil"/>
        <w:right w:val="nil"/>
      </w:pgBorders>
      <w:cols w:num="2" w:space="709"/>
      <w:vAlign w:val="top"/>
      <w:titlePg w:val="0"/>
      <w:rtlGutter w:val="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Vrinda">
    <w:altName w:val="Vrinda"/>
    <w:panose1 w:val="00000400000000000000"/>
    <w:charset w:val="00"/>
    <w:family w:val="swiss"/>
    <w:pitch w:val="variable"/>
    <w:sig w:usb0="0001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Georgia,Italic">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suppressLineNumbers/>
      <w:spacing w:before="0" w:beforeAutospacing="0" w:after="0" w:afterAutospacing="0" w:line="14" w:lineRule="exact"/>
      <w:contextualSpacing/>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suppressLineNumbers/>
      <w:spacing w:before="0" w:beforeAutospacing="0" w:after="0" w:afterAutospacing="0" w:line="14" w:lineRule="exact"/>
      <w:contextualSpacing/>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suppressLineNumbers/>
      <w:spacing w:before="0" w:beforeAutospacing="0" w:after="0" w:afterAutospacing="0" w:line="14" w:lineRule="exact"/>
      <w:contextualSpacing/>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suppressLineNumbers/>
      <w:spacing w:before="0" w:beforeAutospacing="0" w:after="0" w:afterAutospacing="0" w:line="14" w:lineRule="exact"/>
      <w:contextualSpacing/>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suppressLineNumbers/>
      <w:spacing w:before="0" w:beforeAutospacing="0" w:after="0" w:afterAutospacing="0" w:line="14" w:lineRule="exact"/>
      <w:contextualSpacing/>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suppressLineNumbers/>
      <w:spacing w:before="0" w:beforeAutospacing="0" w:after="0" w:afterAutospacing="0" w:line="14" w:lineRule="exact"/>
      <w:contextualSpacing/>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suppressLineNumbers/>
      <w:spacing w:before="0" w:beforeAutospacing="0" w:after="0" w:afterAutospacing="0" w:line="14" w:lineRule="exact"/>
      <w:contextualSpacing/>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suppressLineNumbers/>
      <w:spacing w:before="0" w:beforeAutospacing="0" w:after="0" w:afterAutospacing="0" w:line="14" w:lineRule="exact"/>
      <w:contextualSpacing/>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suppressLineNumbers/>
      <w:spacing w:before="0" w:beforeAutospacing="0" w:after="0" w:afterAutospacing="0" w:line="14" w:lineRule="exact"/>
      <w:contextualSpacing/>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suppressLineNumbers/>
      <w:spacing w:before="0" w:beforeAutospacing="0" w:after="0" w:afterAutospacing="0" w:line="14" w:lineRule="exact"/>
      <w:contextualSpacing/>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suppressLineNumbers/>
      <w:spacing w:before="0" w:beforeAutospacing="0" w:after="0" w:afterAutospacing="0" w:line="14" w:lineRule="exact"/>
      <w:contextualSpacing/>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suppressLineNumbers/>
      <w:spacing w:before="0" w:beforeAutospacing="0" w:after="0" w:afterAutospacing="0" w:line="14" w:lineRule="exact"/>
      <w:contextualSpacing/>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suppressLineNumbers/>
      <w:spacing w:before="0" w:beforeAutospacing="0" w:after="0" w:afterAutospacing="0" w:line="14" w:lineRule="exact"/>
      <w:contextualSpacing/>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suppressLineNumbers/>
      <w:spacing w:before="0" w:beforeAutospacing="0" w:after="0" w:afterAutospacing="0" w:line="14" w:lineRule="exact"/>
      <w:contextualSpacing/>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suppressLineNumbers/>
      <w:spacing w:before="0" w:beforeAutospacing="0" w:after="0" w:afterAutospacing="0" w:line="14" w:lineRule="exact"/>
      <w:contextualSpacing/>
    </w:pP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suppressLineNumbers/>
      <w:spacing w:before="0" w:beforeAutospacing="0" w:after="0" w:afterAutospacing="0" w:line="14" w:lineRule="exact"/>
      <w:contextualSpacing/>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suppressLineNumbers/>
      <w:spacing w:before="0" w:beforeAutospacing="0" w:after="0" w:afterAutospacing="0" w:line="14" w:lineRule="exact"/>
      <w:contextualSpacing/>
    </w:pP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suppressLineNumbers/>
      <w:spacing w:before="0" w:beforeAutospacing="0" w:after="0" w:afterAutospacing="0" w:line="14" w:lineRule="exact"/>
      <w:contextualSpacing/>
    </w:pP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suppressLineNumbers/>
      <w:spacing w:before="0" w:beforeAutospacing="0" w:after="0" w:afterAutospacing="0" w:line="14" w:lineRule="exact"/>
      <w:contextualSpacing/>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suppressLineNumbers/>
      <w:spacing w:before="0" w:beforeAutospacing="0" w:after="0" w:afterAutospacing="0" w:line="14" w:lineRule="exact"/>
      <w:contextualSpacing/>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suppressLineNumbers/>
      <w:spacing w:before="0" w:beforeAutospacing="0" w:after="0" w:afterAutospacing="0" w:line="14" w:lineRule="exact"/>
      <w:contextualSpacing/>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suppressLineNumbers/>
      <w:spacing w:before="0" w:beforeAutospacing="0" w:after="0" w:afterAutospacing="0" w:line="14" w:lineRule="exact"/>
      <w:contextualSpacing/>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3D6C" w:rsidRPr="00284DC3" w:rsidP="008C292C" w14:paraId="1407E7A0" w14:textId="77777777">
    <w:pPr>
      <w:pStyle w:val="WNormal"/>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40" w:afterAutospacing="0" w:line="276" w:lineRule="auto"/>
      <w:ind w:left="0" w:right="0" w:firstLine="0"/>
      <w:contextualSpacing w:val="0"/>
      <w:jc w:val="left"/>
      <w:outlineLvl w:val="9"/>
      <w:rPr>
        <w:rFonts w:eastAsia="Calibri"/>
        <w:b w:val="0"/>
        <w:bCs w:val="0"/>
        <w:i w:val="0"/>
        <w:iCs w:val="0"/>
        <w:caps w:val="0"/>
        <w:smallCaps w:val="0"/>
        <w:strike w:val="0"/>
        <w:dstrike w:val="0"/>
        <w:outline w:val="0"/>
        <w:shadow w:val="0"/>
        <w:emboss w:val="0"/>
        <w:imprint w:val="0"/>
        <w:noProof w:val="0"/>
        <w:vanish w:val="0"/>
        <w:w w:val="100"/>
        <w:kern w:val="0"/>
        <w:position w:val="0"/>
        <w:szCs w:val="17"/>
        <w:highlight w:val="none"/>
        <w:u w:val="none"/>
        <w:effect w:val="none"/>
        <w:bdr w:val="none" w:sz="0" w:space="0" w:color="auto"/>
        <w:shd w:val="clear" w:color="auto" w:fill="auto"/>
        <w:vertAlign w:val="baseline"/>
        <w:rtl w:val="0"/>
        <w:cs w:val="0"/>
        <w:lang w:val="en-GB" w:eastAsia="en-US" w:bidi="ar-SA"/>
      </w:rPr>
    </w:pPr>
    <w:r w:rsidRPr="00B359C1">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drawing>
        <wp:anchor distT="0" distB="0" distL="114300" distR="114300" simplePos="0" relativeHeight="251702272" behindDoc="0" locked="0" layoutInCell="1" allowOverlap="1">
          <wp:simplePos x="0" y="0"/>
          <wp:positionH relativeFrom="page">
            <wp:posOffset>421005</wp:posOffset>
          </wp:positionH>
          <wp:positionV relativeFrom="page">
            <wp:posOffset>114935</wp:posOffset>
          </wp:positionV>
          <wp:extent cx="1080000" cy="687600"/>
          <wp:effectExtent l="0" t="0" r="6350" b="0"/>
          <wp:wrapNone/>
          <wp:docPr id="64157863" name="Picture 1"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807152" name="Picture 1" descr="Logo, company name&#10;&#10;Description automatically generated"/>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1080000" cy="687600"/>
                  </a:xfrm>
                  <a:prstGeom prst="rect">
                    <a:avLst/>
                  </a:prstGeom>
                </pic:spPr>
              </pic:pic>
            </a:graphicData>
          </a:graphic>
          <wp14:sizeRelH relativeFrom="page">
            <wp14:pctWidth>0</wp14:pctWidth>
          </wp14:sizeRelH>
          <wp14:sizeRelV relativeFrom="page">
            <wp14:pctHeight>0</wp14:pctHeight>
          </wp14:sizeRelV>
        </wp:anchor>
      </w:drawing>
    </w:r>
    <w:r w:rsidRPr="002A658B" w:rsidR="000119B7">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mc:AlternateContent>
        <mc:Choice Requires="wps">
          <w:drawing>
            <wp:anchor distT="45720" distB="45720" distL="114300" distR="114300" simplePos="0" relativeHeight="251661312" behindDoc="0" locked="0" layoutInCell="1" allowOverlap="1">
              <wp:simplePos x="0" y="0"/>
              <wp:positionH relativeFrom="page">
                <wp:posOffset>4984115</wp:posOffset>
              </wp:positionH>
              <wp:positionV relativeFrom="page">
                <wp:posOffset>433499</wp:posOffset>
              </wp:positionV>
              <wp:extent cx="5432400" cy="648000"/>
              <wp:effectExtent l="0" t="0" r="0" b="0"/>
              <wp:wrapNone/>
              <wp:docPr id="373806932" name="Text Box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5432400" cy="648000"/>
                      </a:xfrm>
                      <a:prstGeom prst="rect">
                        <a:avLst/>
                      </a:prstGeom>
                      <a:solidFill>
                        <a:srgbClr val="FFFFFF"/>
                      </a:solidFill>
                      <a:ln w="9525">
                        <a:noFill/>
                        <a:miter lim="800000"/>
                        <a:headEnd/>
                        <a:tailEnd/>
                      </a:ln>
                    </wps:spPr>
                    <wps:txbx>
                      <w:txbxContent>
                        <w:p w:rsidR="002A658B" w:rsidRPr="009969BF" w:rsidP="00F32AA6" w14:textId="528003EC">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eastAsia="en-US" w:bidi="ar-SA"/>
                            </w:rPr>
                          </w:pPr>
                          <w:hyperlink w:anchor="This_is_Wärtsilä" w:history="1">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w:t>
                            </w:r>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ämä on</w:t>
                            </w:r>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Wärtsilä     </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Sustainability"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Kestävä</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kehitys</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Governance"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Hallinnointi</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hyperlink w:anchor="Financial_review"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Taloudellinen</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katsaus</w:t>
                          </w:r>
                        </w:p>
                        <w:p w:rsidR="002A658B" w:rsidRPr="009969BF"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fi-FI" w:eastAsia="en-US" w:bidi="ar-SA"/>
                            </w:rPr>
                          </w:pP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2049" type="#_x0000_t202" style="width:427.75pt;height:51.02pt;margin-top:34.13pt;margin-left:392.45pt;mso-height-percent:0;mso-height-relative:margin;mso-position-horizontal-relative:page;mso-position-vertical-relative:page;mso-width-percent:0;mso-width-relative:margin;mso-wrap-distance-bottom:3.6pt;mso-wrap-distance-left:9pt;mso-wrap-distance-right:9pt;mso-wrap-distance-top:3.6pt;position:absolute;v-text-anchor:top;z-index:251660288" fillcolor="white" stroked="f" strokeweight="0.75pt">
              <v:textbox>
                <w:txbxContent>
                  <w:p w:rsidR="002A658B" w:rsidRPr="009969BF" w:rsidP="00F32AA6" w14:textId="528003EC">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eastAsia="en-US" w:bidi="ar-SA"/>
                      </w:rPr>
                    </w:pPr>
                    <w:hyperlink w:anchor="This_is_Wärtsilä" w:history="1">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w:t>
                      </w:r>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ämä on</w:t>
                      </w:r>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Wärtsilä     </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Sustainability"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Kestävä</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kehitys</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Governance"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Hallinnointi</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hyperlink w:anchor="Financial_review"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Taloudellinen</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katsaus</w:t>
                    </w:r>
                  </w:p>
                  <w:p w:rsidR="002A658B" w:rsidRPr="009969BF"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fi-FI" w:eastAsia="en-US" w:bidi="ar-SA"/>
                      </w:rPr>
                    </w:pPr>
                  </w:p>
                </w:txbxContent>
              </v:textbox>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3D6C" w:rsidRPr="00284DC3" w:rsidP="008C292C" w14:textId="77777777">
    <w:pPr>
      <w:pStyle w:val="WNormal"/>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40" w:afterAutospacing="0" w:line="276" w:lineRule="auto"/>
      <w:ind w:left="0" w:right="0" w:firstLine="0"/>
      <w:contextualSpacing w:val="0"/>
      <w:jc w:val="left"/>
      <w:outlineLvl w:val="9"/>
      <w:rPr>
        <w:rFonts w:eastAsia="Calibri"/>
        <w:b w:val="0"/>
        <w:bCs w:val="0"/>
        <w:i w:val="0"/>
        <w:iCs w:val="0"/>
        <w:caps w:val="0"/>
        <w:smallCaps w:val="0"/>
        <w:strike w:val="0"/>
        <w:dstrike w:val="0"/>
        <w:outline w:val="0"/>
        <w:shadow w:val="0"/>
        <w:emboss w:val="0"/>
        <w:imprint w:val="0"/>
        <w:noProof w:val="0"/>
        <w:vanish w:val="0"/>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pPr>
    <w:r w:rsidRPr="00B359C1">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drawing>
        <wp:anchor distT="0" distB="0" distL="114300" distR="114300" simplePos="0" relativeHeight="251708416" behindDoc="0" locked="0" layoutInCell="1" allowOverlap="1">
          <wp:simplePos x="0" y="0"/>
          <wp:positionH relativeFrom="page">
            <wp:posOffset>421005</wp:posOffset>
          </wp:positionH>
          <wp:positionV relativeFrom="page">
            <wp:posOffset>114935</wp:posOffset>
          </wp:positionV>
          <wp:extent cx="1080000" cy="687600"/>
          <wp:effectExtent l="0" t="0" r="6350" b="0"/>
          <wp:wrapNone/>
          <wp:docPr id="1556143591" name="Picture 1"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68631" name="Picture 1" descr="Logo, company name&#10;&#10;Description automatically generated"/>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1080000" cy="687600"/>
                  </a:xfrm>
                  <a:prstGeom prst="rect">
                    <a:avLst/>
                  </a:prstGeom>
                </pic:spPr>
              </pic:pic>
            </a:graphicData>
          </a:graphic>
          <wp14:sizeRelH relativeFrom="page">
            <wp14:pctWidth>0</wp14:pctWidth>
          </wp14:sizeRelH>
          <wp14:sizeRelV relativeFrom="page">
            <wp14:pctHeight>0</wp14:pctHeight>
          </wp14:sizeRelV>
        </wp:anchor>
      </w:drawing>
    </w:r>
    <w:r w:rsidRPr="002A658B" w:rsidR="000119B7">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mc:AlternateContent>
        <mc:Choice Requires="wps">
          <w:drawing>
            <wp:anchor distT="45720" distB="45720" distL="114300" distR="114300" simplePos="0" relativeHeight="251673600" behindDoc="0" locked="0" layoutInCell="1" allowOverlap="1">
              <wp:simplePos x="0" y="0"/>
              <wp:positionH relativeFrom="page">
                <wp:posOffset>4984115</wp:posOffset>
              </wp:positionH>
              <wp:positionV relativeFrom="page">
                <wp:posOffset>433499</wp:posOffset>
              </wp:positionV>
              <wp:extent cx="5432400" cy="648000"/>
              <wp:effectExtent l="0" t="0" r="0" b="0"/>
              <wp:wrapNone/>
              <wp:docPr id="1953069937" name="Text Box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5432400" cy="648000"/>
                      </a:xfrm>
                      <a:prstGeom prst="rect">
                        <a:avLst/>
                      </a:prstGeom>
                      <a:solidFill>
                        <a:srgbClr val="FFFFFF"/>
                      </a:solidFill>
                      <a:ln w="9525">
                        <a:noFill/>
                        <a:miter lim="800000"/>
                        <a:headEnd/>
                        <a:tailEnd/>
                      </a:ln>
                    </wps:spPr>
                    <wps:txbx>
                      <w:txbxContent>
                        <w:p w:rsidR="002A658B" w:rsidRPr="009969BF" w:rsidP="00F32AA6" w14:textId="528003EC">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eastAsia="en-US" w:bidi="ar-SA"/>
                            </w:rPr>
                          </w:pPr>
                          <w:hyperlink w:anchor="This_is_Wärtsilä" w:history="1">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w:t>
                            </w:r>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ämä on</w:t>
                            </w:r>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Wärtsilä     </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Sustainability"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Kestävä</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kehitys</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Governance"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Hallinnointi</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hyperlink w:anchor="Financial_review"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Taloudellinen</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katsaus</w:t>
                          </w:r>
                        </w:p>
                        <w:p w:rsidR="002A658B" w:rsidRPr="009969BF"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fi-FI" w:eastAsia="en-US" w:bidi="ar-SA"/>
                            </w:rPr>
                          </w:pP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2055" type="#_x0000_t202" style="width:427.75pt;height:51.02pt;margin-top:34.13pt;margin-left:392.45pt;mso-height-percent:0;mso-height-relative:margin;mso-position-horizontal-relative:page;mso-position-vertical-relative:page;mso-width-percent:0;mso-width-relative:margin;mso-wrap-distance-bottom:3.6pt;mso-wrap-distance-left:9pt;mso-wrap-distance-right:9pt;mso-wrap-distance-top:3.6pt;position:absolute;v-text-anchor:top;z-index:251672576" fillcolor="white" stroked="f" strokeweight="0.75pt">
              <v:textbox>
                <w:txbxContent>
                  <w:p w:rsidR="002A658B" w:rsidRPr="009969BF" w:rsidP="00F32AA6" w14:textId="528003EC">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eastAsia="en-US" w:bidi="ar-SA"/>
                      </w:rPr>
                    </w:pPr>
                    <w:hyperlink w:anchor="This_is_Wärtsilä" w:history="1">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w:t>
                      </w:r>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ämä on</w:t>
                      </w:r>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Wärtsilä     </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Sustainability"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Kestävä</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kehitys</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Governance"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Hallinnointi</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hyperlink w:anchor="Financial_review"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Taloudellinen</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katsaus</w:t>
                    </w:r>
                  </w:p>
                  <w:p w:rsidR="002A658B" w:rsidRPr="009969BF"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fi-FI" w:eastAsia="en-US" w:bidi="ar-SA"/>
                      </w:rPr>
                    </w:pPr>
                  </w:p>
                </w:txbxContent>
              </v:textbox>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3D6C" w:rsidRPr="00284DC3" w:rsidP="008C292C" w14:textId="77777777">
    <w:pPr>
      <w:pStyle w:val="WNormal"/>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40" w:afterAutospacing="0" w:line="276" w:lineRule="auto"/>
      <w:ind w:left="0" w:right="0" w:firstLine="0"/>
      <w:contextualSpacing w:val="0"/>
      <w:jc w:val="left"/>
      <w:outlineLvl w:val="9"/>
      <w:rPr>
        <w:rFonts w:eastAsia="Calibri"/>
        <w:b w:val="0"/>
        <w:bCs w:val="0"/>
        <w:i w:val="0"/>
        <w:iCs w:val="0"/>
        <w:caps w:val="0"/>
        <w:smallCaps w:val="0"/>
        <w:strike w:val="0"/>
        <w:dstrike w:val="0"/>
        <w:outline w:val="0"/>
        <w:shadow w:val="0"/>
        <w:emboss w:val="0"/>
        <w:imprint w:val="0"/>
        <w:noProof w:val="0"/>
        <w:vanish w:val="0"/>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pPr>
    <w:r w:rsidRPr="00B359C1">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drawing>
        <wp:anchor distT="0" distB="0" distL="114300" distR="114300" simplePos="0" relativeHeight="251707392" behindDoc="0" locked="0" layoutInCell="1" allowOverlap="1">
          <wp:simplePos x="0" y="0"/>
          <wp:positionH relativeFrom="page">
            <wp:posOffset>421005</wp:posOffset>
          </wp:positionH>
          <wp:positionV relativeFrom="page">
            <wp:posOffset>114935</wp:posOffset>
          </wp:positionV>
          <wp:extent cx="1080000" cy="687600"/>
          <wp:effectExtent l="0" t="0" r="6350" b="0"/>
          <wp:wrapNone/>
          <wp:docPr id="1208051827" name="Picture 1"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960139" name="Picture 1" descr="Logo, company name&#10;&#10;Description automatically generated"/>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1080000" cy="687600"/>
                  </a:xfrm>
                  <a:prstGeom prst="rect">
                    <a:avLst/>
                  </a:prstGeom>
                </pic:spPr>
              </pic:pic>
            </a:graphicData>
          </a:graphic>
          <wp14:sizeRelH relativeFrom="page">
            <wp14:pctWidth>0</wp14:pctWidth>
          </wp14:sizeRelH>
          <wp14:sizeRelV relativeFrom="page">
            <wp14:pctHeight>0</wp14:pctHeight>
          </wp14:sizeRelV>
        </wp:anchor>
      </w:drawing>
    </w:r>
    <w:r w:rsidRPr="002A658B" w:rsidR="000119B7">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mc:AlternateContent>
        <mc:Choice Requires="wps">
          <w:drawing>
            <wp:anchor distT="45720" distB="45720" distL="114300" distR="114300" simplePos="0" relativeHeight="251671552" behindDoc="0" locked="0" layoutInCell="1" allowOverlap="1">
              <wp:simplePos x="0" y="0"/>
              <wp:positionH relativeFrom="page">
                <wp:posOffset>4984115</wp:posOffset>
              </wp:positionH>
              <wp:positionV relativeFrom="page">
                <wp:posOffset>433499</wp:posOffset>
              </wp:positionV>
              <wp:extent cx="5432400" cy="648000"/>
              <wp:effectExtent l="0" t="0" r="0" b="0"/>
              <wp:wrapNone/>
              <wp:docPr id="1337798392" name="Text Box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5432400" cy="648000"/>
                      </a:xfrm>
                      <a:prstGeom prst="rect">
                        <a:avLst/>
                      </a:prstGeom>
                      <a:solidFill>
                        <a:srgbClr val="FFFFFF"/>
                      </a:solidFill>
                      <a:ln w="9525">
                        <a:noFill/>
                        <a:miter lim="800000"/>
                        <a:headEnd/>
                        <a:tailEnd/>
                      </a:ln>
                    </wps:spPr>
                    <wps:txbx>
                      <w:txbxContent>
                        <w:p w:rsidR="002A658B" w:rsidRPr="009969BF" w:rsidP="00F32AA6" w14:textId="528003EC">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eastAsia="en-US" w:bidi="ar-SA"/>
                            </w:rPr>
                          </w:pPr>
                          <w:hyperlink w:anchor="This_is_Wärtsilä" w:history="1">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w:t>
                            </w:r>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ämä on</w:t>
                            </w:r>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Wärtsilä     </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Sustainability"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Kestävä</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kehitys</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Governance"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Hallinnointi</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hyperlink w:anchor="Financial_review"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Taloudellinen</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katsaus</w:t>
                          </w:r>
                        </w:p>
                        <w:p w:rsidR="002A658B" w:rsidRPr="009969BF"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fi-FI" w:eastAsia="en-US" w:bidi="ar-SA"/>
                            </w:rPr>
                          </w:pP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2056" type="#_x0000_t202" style="width:427.75pt;height:51.02pt;margin-top:34.13pt;margin-left:392.45pt;mso-height-percent:0;mso-height-relative:margin;mso-position-horizontal-relative:page;mso-position-vertical-relative:page;mso-width-percent:0;mso-width-relative:margin;mso-wrap-distance-bottom:3.6pt;mso-wrap-distance-left:9pt;mso-wrap-distance-right:9pt;mso-wrap-distance-top:3.6pt;position:absolute;v-text-anchor:top;z-index:251670528" fillcolor="white" stroked="f" strokeweight="0.75pt">
              <v:textbox>
                <w:txbxContent>
                  <w:p w:rsidR="002A658B" w:rsidRPr="009969BF" w:rsidP="00F32AA6" w14:textId="528003EC">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eastAsia="en-US" w:bidi="ar-SA"/>
                      </w:rPr>
                    </w:pPr>
                    <w:hyperlink w:anchor="This_is_Wärtsilä" w:history="1">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w:t>
                      </w:r>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ämä on</w:t>
                      </w:r>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Wärtsilä     </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Sustainability"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Kestävä</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kehitys</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Governance"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Hallinnointi</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hyperlink w:anchor="Financial_review"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Taloudellinen</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katsaus</w:t>
                    </w:r>
                  </w:p>
                  <w:p w:rsidR="002A658B" w:rsidRPr="009969BF"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fi-FI" w:eastAsia="en-US" w:bidi="ar-SA"/>
                      </w:rPr>
                    </w:pPr>
                  </w:p>
                </w:txbxContent>
              </v:textbox>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3D6C" w:rsidRPr="00284DC3" w:rsidP="008C292C" w14:textId="77777777">
    <w:pPr>
      <w:pStyle w:val="WNormal"/>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40" w:afterAutospacing="0" w:line="276" w:lineRule="auto"/>
      <w:ind w:left="0" w:right="0" w:firstLine="0"/>
      <w:contextualSpacing w:val="0"/>
      <w:jc w:val="left"/>
      <w:outlineLvl w:val="9"/>
      <w:rPr>
        <w:rFonts w:eastAsia="Calibri"/>
        <w:b w:val="0"/>
        <w:bCs w:val="0"/>
        <w:i w:val="0"/>
        <w:iCs w:val="0"/>
        <w:caps w:val="0"/>
        <w:smallCaps w:val="0"/>
        <w:strike w:val="0"/>
        <w:dstrike w:val="0"/>
        <w:outline w:val="0"/>
        <w:shadow w:val="0"/>
        <w:emboss w:val="0"/>
        <w:imprint w:val="0"/>
        <w:noProof w:val="0"/>
        <w:vanish w:val="0"/>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pPr>
    <w:r w:rsidRPr="00B359C1">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drawing>
        <wp:anchor distT="0" distB="0" distL="114300" distR="114300" simplePos="0" relativeHeight="251710464" behindDoc="0" locked="0" layoutInCell="1" allowOverlap="1">
          <wp:simplePos x="0" y="0"/>
          <wp:positionH relativeFrom="page">
            <wp:posOffset>421005</wp:posOffset>
          </wp:positionH>
          <wp:positionV relativeFrom="page">
            <wp:posOffset>114935</wp:posOffset>
          </wp:positionV>
          <wp:extent cx="1080000" cy="687600"/>
          <wp:effectExtent l="0" t="0" r="6350" b="0"/>
          <wp:wrapNone/>
          <wp:docPr id="1342939260" name="Picture 1"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972712" name="Picture 1" descr="Logo, company name&#10;&#10;Description automatically generated"/>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1080000" cy="687600"/>
                  </a:xfrm>
                  <a:prstGeom prst="rect">
                    <a:avLst/>
                  </a:prstGeom>
                </pic:spPr>
              </pic:pic>
            </a:graphicData>
          </a:graphic>
          <wp14:sizeRelH relativeFrom="page">
            <wp14:pctWidth>0</wp14:pctWidth>
          </wp14:sizeRelH>
          <wp14:sizeRelV relativeFrom="page">
            <wp14:pctHeight>0</wp14:pctHeight>
          </wp14:sizeRelV>
        </wp:anchor>
      </w:drawing>
    </w:r>
    <w:r w:rsidRPr="002A658B" w:rsidR="000119B7">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mc:AlternateContent>
        <mc:Choice Requires="wps">
          <w:drawing>
            <wp:anchor distT="45720" distB="45720" distL="114300" distR="114300" simplePos="0" relativeHeight="251677696" behindDoc="0" locked="0" layoutInCell="1" allowOverlap="1">
              <wp:simplePos x="0" y="0"/>
              <wp:positionH relativeFrom="page">
                <wp:posOffset>4984115</wp:posOffset>
              </wp:positionH>
              <wp:positionV relativeFrom="page">
                <wp:posOffset>433499</wp:posOffset>
              </wp:positionV>
              <wp:extent cx="5432400" cy="648000"/>
              <wp:effectExtent l="0" t="0" r="0" b="0"/>
              <wp:wrapNone/>
              <wp:docPr id="1195108545" name="Text Box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5432400" cy="648000"/>
                      </a:xfrm>
                      <a:prstGeom prst="rect">
                        <a:avLst/>
                      </a:prstGeom>
                      <a:solidFill>
                        <a:srgbClr val="FFFFFF"/>
                      </a:solidFill>
                      <a:ln w="9525">
                        <a:noFill/>
                        <a:miter lim="800000"/>
                        <a:headEnd/>
                        <a:tailEnd/>
                      </a:ln>
                    </wps:spPr>
                    <wps:txbx>
                      <w:txbxContent>
                        <w:p w:rsidR="002A658B" w:rsidRPr="009969BF" w:rsidP="00F32AA6" w14:textId="528003EC">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eastAsia="en-US" w:bidi="ar-SA"/>
                            </w:rPr>
                          </w:pPr>
                          <w:hyperlink w:anchor="This_is_Wärtsilä" w:history="1">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w:t>
                            </w:r>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ämä on</w:t>
                            </w:r>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Wärtsilä     </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Sustainability"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Kestävä</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kehitys</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Governance"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Hallinnointi</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hyperlink w:anchor="Financial_review"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Taloudellinen</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katsaus</w:t>
                          </w:r>
                        </w:p>
                        <w:p w:rsidR="002A658B" w:rsidRPr="009969BF"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fi-FI" w:eastAsia="en-US" w:bidi="ar-SA"/>
                            </w:rPr>
                          </w:pP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2057" type="#_x0000_t202" style="width:427.75pt;height:51.02pt;margin-top:34.13pt;margin-left:392.45pt;mso-height-percent:0;mso-height-relative:margin;mso-position-horizontal-relative:page;mso-position-vertical-relative:page;mso-width-percent:0;mso-width-relative:margin;mso-wrap-distance-bottom:3.6pt;mso-wrap-distance-left:9pt;mso-wrap-distance-right:9pt;mso-wrap-distance-top:3.6pt;position:absolute;v-text-anchor:top;z-index:251676672" fillcolor="white" stroked="f" strokeweight="0.75pt">
              <v:textbox>
                <w:txbxContent>
                  <w:p w:rsidR="002A658B" w:rsidRPr="009969BF" w:rsidP="00F32AA6" w14:textId="528003EC">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eastAsia="en-US" w:bidi="ar-SA"/>
                      </w:rPr>
                    </w:pPr>
                    <w:hyperlink w:anchor="This_is_Wärtsilä" w:history="1">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w:t>
                      </w:r>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ämä on</w:t>
                      </w:r>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Wärtsilä     </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Sustainability"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Kestävä</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kehitys</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Governance"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Hallinnointi</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hyperlink w:anchor="Financial_review"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Taloudellinen</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katsaus</w:t>
                    </w:r>
                  </w:p>
                  <w:p w:rsidR="002A658B" w:rsidRPr="009969BF"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fi-FI" w:eastAsia="en-US" w:bidi="ar-SA"/>
                      </w:rPr>
                    </w:pPr>
                  </w:p>
                </w:txbxContent>
              </v:textbox>
            </v:shape>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3D6C" w:rsidRPr="00284DC3" w:rsidP="008C292C" w14:textId="77777777">
    <w:pPr>
      <w:pStyle w:val="WNormal"/>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40" w:afterAutospacing="0" w:line="276" w:lineRule="auto"/>
      <w:ind w:left="0" w:right="0" w:firstLine="0"/>
      <w:contextualSpacing w:val="0"/>
      <w:jc w:val="left"/>
      <w:outlineLvl w:val="9"/>
      <w:rPr>
        <w:rFonts w:eastAsia="Calibri"/>
        <w:b w:val="0"/>
        <w:bCs w:val="0"/>
        <w:i w:val="0"/>
        <w:iCs w:val="0"/>
        <w:caps w:val="0"/>
        <w:smallCaps w:val="0"/>
        <w:strike w:val="0"/>
        <w:dstrike w:val="0"/>
        <w:outline w:val="0"/>
        <w:shadow w:val="0"/>
        <w:emboss w:val="0"/>
        <w:imprint w:val="0"/>
        <w:noProof w:val="0"/>
        <w:vanish w:val="0"/>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pPr>
    <w:r w:rsidRPr="00B359C1">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drawing>
        <wp:anchor distT="0" distB="0" distL="114300" distR="114300" simplePos="0" relativeHeight="251709440" behindDoc="0" locked="0" layoutInCell="1" allowOverlap="1">
          <wp:simplePos x="0" y="0"/>
          <wp:positionH relativeFrom="page">
            <wp:posOffset>421005</wp:posOffset>
          </wp:positionH>
          <wp:positionV relativeFrom="page">
            <wp:posOffset>114935</wp:posOffset>
          </wp:positionV>
          <wp:extent cx="1080000" cy="687600"/>
          <wp:effectExtent l="0" t="0" r="6350" b="0"/>
          <wp:wrapNone/>
          <wp:docPr id="1009576495" name="Picture 1"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528424" name="Picture 1" descr="Logo, company name&#10;&#10;Description automatically generated"/>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1080000" cy="687600"/>
                  </a:xfrm>
                  <a:prstGeom prst="rect">
                    <a:avLst/>
                  </a:prstGeom>
                </pic:spPr>
              </pic:pic>
            </a:graphicData>
          </a:graphic>
          <wp14:sizeRelH relativeFrom="page">
            <wp14:pctWidth>0</wp14:pctWidth>
          </wp14:sizeRelH>
          <wp14:sizeRelV relativeFrom="page">
            <wp14:pctHeight>0</wp14:pctHeight>
          </wp14:sizeRelV>
        </wp:anchor>
      </w:drawing>
    </w:r>
    <w:r w:rsidRPr="002A658B" w:rsidR="000119B7">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mc:AlternateContent>
        <mc:Choice Requires="wps">
          <w:drawing>
            <wp:anchor distT="45720" distB="45720" distL="114300" distR="114300" simplePos="0" relativeHeight="251675648" behindDoc="0" locked="0" layoutInCell="1" allowOverlap="1">
              <wp:simplePos x="0" y="0"/>
              <wp:positionH relativeFrom="page">
                <wp:posOffset>4984115</wp:posOffset>
              </wp:positionH>
              <wp:positionV relativeFrom="page">
                <wp:posOffset>433499</wp:posOffset>
              </wp:positionV>
              <wp:extent cx="5432400" cy="648000"/>
              <wp:effectExtent l="0" t="0" r="0" b="0"/>
              <wp:wrapNone/>
              <wp:docPr id="301493814" name="Text Box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5432400" cy="648000"/>
                      </a:xfrm>
                      <a:prstGeom prst="rect">
                        <a:avLst/>
                      </a:prstGeom>
                      <a:solidFill>
                        <a:srgbClr val="FFFFFF"/>
                      </a:solidFill>
                      <a:ln w="9525">
                        <a:noFill/>
                        <a:miter lim="800000"/>
                        <a:headEnd/>
                        <a:tailEnd/>
                      </a:ln>
                    </wps:spPr>
                    <wps:txbx>
                      <w:txbxContent>
                        <w:p w:rsidR="002A658B" w:rsidRPr="009969BF" w:rsidP="00F32AA6" w14:textId="528003EC">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eastAsia="en-US" w:bidi="ar-SA"/>
                            </w:rPr>
                          </w:pPr>
                          <w:hyperlink w:anchor="This_is_Wärtsilä" w:history="1">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w:t>
                            </w:r>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ämä on</w:t>
                            </w:r>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Wärtsilä     </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Sustainability"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Kestävä</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kehitys</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Governance"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Hallinnointi</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hyperlink w:anchor="Financial_review"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Taloudellinen</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katsaus</w:t>
                          </w:r>
                        </w:p>
                        <w:p w:rsidR="002A658B" w:rsidRPr="009969BF"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fi-FI" w:eastAsia="en-US" w:bidi="ar-SA"/>
                            </w:rPr>
                          </w:pP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2058" type="#_x0000_t202" style="width:427.75pt;height:51.02pt;margin-top:34.13pt;margin-left:392.45pt;mso-height-percent:0;mso-height-relative:margin;mso-position-horizontal-relative:page;mso-position-vertical-relative:page;mso-width-percent:0;mso-width-relative:margin;mso-wrap-distance-bottom:3.6pt;mso-wrap-distance-left:9pt;mso-wrap-distance-right:9pt;mso-wrap-distance-top:3.6pt;position:absolute;v-text-anchor:top;z-index:251674624" fillcolor="white" stroked="f" strokeweight="0.75pt">
              <v:textbox>
                <w:txbxContent>
                  <w:p w:rsidR="002A658B" w:rsidRPr="009969BF" w:rsidP="00F32AA6" w14:textId="528003EC">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eastAsia="en-US" w:bidi="ar-SA"/>
                      </w:rPr>
                    </w:pPr>
                    <w:hyperlink w:anchor="This_is_Wärtsilä" w:history="1">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w:t>
                      </w:r>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ämä on</w:t>
                      </w:r>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Wärtsilä     </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Sustainability"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Kestävä</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kehitys</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Governance"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Hallinnointi</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hyperlink w:anchor="Financial_review"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Taloudellinen</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katsaus</w:t>
                    </w:r>
                  </w:p>
                  <w:p w:rsidR="002A658B" w:rsidRPr="009969BF"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fi-FI" w:eastAsia="en-US" w:bidi="ar-SA"/>
                      </w:rPr>
                    </w:pPr>
                  </w:p>
                </w:txbxContent>
              </v:textbox>
            </v:shape>
          </w:pict>
        </mc:Fallback>
      </mc:AlternateConten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3D6C" w:rsidRPr="00284DC3" w:rsidP="008C292C" w14:textId="77777777">
    <w:pPr>
      <w:pStyle w:val="WNormal"/>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40" w:afterAutospacing="0" w:line="276" w:lineRule="auto"/>
      <w:ind w:left="0" w:right="0" w:firstLine="0"/>
      <w:contextualSpacing w:val="0"/>
      <w:jc w:val="left"/>
      <w:outlineLvl w:val="9"/>
      <w:rPr>
        <w:rFonts w:eastAsia="Calibri"/>
        <w:b w:val="0"/>
        <w:bCs w:val="0"/>
        <w:i w:val="0"/>
        <w:iCs w:val="0"/>
        <w:caps w:val="0"/>
        <w:smallCaps w:val="0"/>
        <w:strike w:val="0"/>
        <w:dstrike w:val="0"/>
        <w:outline w:val="0"/>
        <w:shadow w:val="0"/>
        <w:emboss w:val="0"/>
        <w:imprint w:val="0"/>
        <w:noProof w:val="0"/>
        <w:vanish w:val="0"/>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pPr>
    <w:r w:rsidRPr="00B359C1">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drawing>
        <wp:anchor distT="0" distB="0" distL="114300" distR="114300" simplePos="0" relativeHeight="251712512" behindDoc="0" locked="0" layoutInCell="1" allowOverlap="1">
          <wp:simplePos x="0" y="0"/>
          <wp:positionH relativeFrom="page">
            <wp:posOffset>421005</wp:posOffset>
          </wp:positionH>
          <wp:positionV relativeFrom="page">
            <wp:posOffset>114935</wp:posOffset>
          </wp:positionV>
          <wp:extent cx="1080000" cy="687600"/>
          <wp:effectExtent l="0" t="0" r="6350" b="0"/>
          <wp:wrapNone/>
          <wp:docPr id="329072984" name="Picture 1"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707416" name="Picture 1" descr="Logo, company name&#10;&#10;Description automatically generated"/>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1080000" cy="687600"/>
                  </a:xfrm>
                  <a:prstGeom prst="rect">
                    <a:avLst/>
                  </a:prstGeom>
                </pic:spPr>
              </pic:pic>
            </a:graphicData>
          </a:graphic>
          <wp14:sizeRelH relativeFrom="page">
            <wp14:pctWidth>0</wp14:pctWidth>
          </wp14:sizeRelH>
          <wp14:sizeRelV relativeFrom="page">
            <wp14:pctHeight>0</wp14:pctHeight>
          </wp14:sizeRelV>
        </wp:anchor>
      </w:drawing>
    </w:r>
    <w:r w:rsidRPr="002A658B" w:rsidR="000119B7">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mc:AlternateContent>
        <mc:Choice Requires="wps">
          <w:drawing>
            <wp:anchor distT="45720" distB="45720" distL="114300" distR="114300" simplePos="0" relativeHeight="251681792" behindDoc="0" locked="0" layoutInCell="1" allowOverlap="1">
              <wp:simplePos x="0" y="0"/>
              <wp:positionH relativeFrom="page">
                <wp:posOffset>4984115</wp:posOffset>
              </wp:positionH>
              <wp:positionV relativeFrom="page">
                <wp:posOffset>433499</wp:posOffset>
              </wp:positionV>
              <wp:extent cx="5432400" cy="648000"/>
              <wp:effectExtent l="0" t="0" r="0" b="0"/>
              <wp:wrapNone/>
              <wp:docPr id="1000355473" name="Text Box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5432400" cy="648000"/>
                      </a:xfrm>
                      <a:prstGeom prst="rect">
                        <a:avLst/>
                      </a:prstGeom>
                      <a:solidFill>
                        <a:srgbClr val="FFFFFF"/>
                      </a:solidFill>
                      <a:ln w="9525">
                        <a:noFill/>
                        <a:miter lim="800000"/>
                        <a:headEnd/>
                        <a:tailEnd/>
                      </a:ln>
                    </wps:spPr>
                    <wps:txbx>
                      <w:txbxContent>
                        <w:p w:rsidR="002A658B" w:rsidRPr="009969BF" w:rsidP="00F32AA6" w14:textId="528003EC">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eastAsia="en-US" w:bidi="ar-SA"/>
                            </w:rPr>
                          </w:pPr>
                          <w:hyperlink w:anchor="This_is_Wärtsilä" w:history="1">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w:t>
                            </w:r>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ämä on</w:t>
                            </w:r>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Wärtsilä     </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Sustainability"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Kestävä</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kehitys</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Governance"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Hallinnointi</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hyperlink w:anchor="Financial_review"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Taloudellinen</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katsaus</w:t>
                          </w:r>
                        </w:p>
                        <w:p w:rsidR="002A658B" w:rsidRPr="009969BF"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fi-FI" w:eastAsia="en-US" w:bidi="ar-SA"/>
                            </w:rPr>
                          </w:pP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2059" type="#_x0000_t202" style="width:427.75pt;height:51.02pt;margin-top:34.13pt;margin-left:392.45pt;mso-height-percent:0;mso-height-relative:margin;mso-position-horizontal-relative:page;mso-position-vertical-relative:page;mso-width-percent:0;mso-width-relative:margin;mso-wrap-distance-bottom:3.6pt;mso-wrap-distance-left:9pt;mso-wrap-distance-right:9pt;mso-wrap-distance-top:3.6pt;position:absolute;v-text-anchor:top;z-index:251680768" fillcolor="white" stroked="f" strokeweight="0.75pt">
              <v:textbox>
                <w:txbxContent>
                  <w:p w:rsidR="002A658B" w:rsidRPr="009969BF" w:rsidP="00F32AA6" w14:textId="528003EC">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eastAsia="en-US" w:bidi="ar-SA"/>
                      </w:rPr>
                    </w:pPr>
                    <w:hyperlink w:anchor="This_is_Wärtsilä" w:history="1">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w:t>
                      </w:r>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ämä on</w:t>
                      </w:r>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Wärtsilä     </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Sustainability"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Kestävä</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kehitys</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Governance"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Hallinnointi</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hyperlink w:anchor="Financial_review"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Taloudellinen</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katsaus</w:t>
                    </w:r>
                  </w:p>
                  <w:p w:rsidR="002A658B" w:rsidRPr="009969BF"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fi-FI" w:eastAsia="en-US" w:bidi="ar-SA"/>
                      </w:rPr>
                    </w:pPr>
                  </w:p>
                </w:txbxContent>
              </v:textbox>
            </v:shape>
          </w:pict>
        </mc:Fallback>
      </mc:AlternateConten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3D6C" w:rsidRPr="00284DC3" w:rsidP="008C292C" w14:textId="77777777">
    <w:pPr>
      <w:pStyle w:val="WNormal"/>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40" w:afterAutospacing="0" w:line="276" w:lineRule="auto"/>
      <w:ind w:left="0" w:right="0" w:firstLine="0"/>
      <w:contextualSpacing w:val="0"/>
      <w:jc w:val="left"/>
      <w:outlineLvl w:val="9"/>
      <w:rPr>
        <w:rFonts w:eastAsia="Calibri"/>
        <w:b w:val="0"/>
        <w:bCs w:val="0"/>
        <w:i w:val="0"/>
        <w:iCs w:val="0"/>
        <w:caps w:val="0"/>
        <w:smallCaps w:val="0"/>
        <w:strike w:val="0"/>
        <w:dstrike w:val="0"/>
        <w:outline w:val="0"/>
        <w:shadow w:val="0"/>
        <w:emboss w:val="0"/>
        <w:imprint w:val="0"/>
        <w:noProof w:val="0"/>
        <w:vanish w:val="0"/>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pPr>
    <w:r w:rsidRPr="00B359C1">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drawing>
        <wp:anchor distT="0" distB="0" distL="114300" distR="114300" simplePos="0" relativeHeight="251711488" behindDoc="0" locked="0" layoutInCell="1" allowOverlap="1">
          <wp:simplePos x="0" y="0"/>
          <wp:positionH relativeFrom="page">
            <wp:posOffset>421005</wp:posOffset>
          </wp:positionH>
          <wp:positionV relativeFrom="page">
            <wp:posOffset>114935</wp:posOffset>
          </wp:positionV>
          <wp:extent cx="1080000" cy="687600"/>
          <wp:effectExtent l="0" t="0" r="6350" b="0"/>
          <wp:wrapNone/>
          <wp:docPr id="1021161469" name="Picture 1"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543174" name="Picture 1" descr="Logo, company name&#10;&#10;Description automatically generated"/>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1080000" cy="687600"/>
                  </a:xfrm>
                  <a:prstGeom prst="rect">
                    <a:avLst/>
                  </a:prstGeom>
                </pic:spPr>
              </pic:pic>
            </a:graphicData>
          </a:graphic>
          <wp14:sizeRelH relativeFrom="page">
            <wp14:pctWidth>0</wp14:pctWidth>
          </wp14:sizeRelH>
          <wp14:sizeRelV relativeFrom="page">
            <wp14:pctHeight>0</wp14:pctHeight>
          </wp14:sizeRelV>
        </wp:anchor>
      </w:drawing>
    </w:r>
    <w:r w:rsidRPr="002A658B" w:rsidR="000119B7">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mc:AlternateContent>
        <mc:Choice Requires="wps">
          <w:drawing>
            <wp:anchor distT="45720" distB="45720" distL="114300" distR="114300" simplePos="0" relativeHeight="251679744" behindDoc="0" locked="0" layoutInCell="1" allowOverlap="1">
              <wp:simplePos x="0" y="0"/>
              <wp:positionH relativeFrom="page">
                <wp:posOffset>4984115</wp:posOffset>
              </wp:positionH>
              <wp:positionV relativeFrom="page">
                <wp:posOffset>433499</wp:posOffset>
              </wp:positionV>
              <wp:extent cx="5432400" cy="648000"/>
              <wp:effectExtent l="0" t="0" r="0" b="0"/>
              <wp:wrapNone/>
              <wp:docPr id="1262362305" name="Text Box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5432400" cy="648000"/>
                      </a:xfrm>
                      <a:prstGeom prst="rect">
                        <a:avLst/>
                      </a:prstGeom>
                      <a:solidFill>
                        <a:srgbClr val="FFFFFF"/>
                      </a:solidFill>
                      <a:ln w="9525">
                        <a:noFill/>
                        <a:miter lim="800000"/>
                        <a:headEnd/>
                        <a:tailEnd/>
                      </a:ln>
                    </wps:spPr>
                    <wps:txbx>
                      <w:txbxContent>
                        <w:p w:rsidR="002A658B" w:rsidRPr="009969BF" w:rsidP="00F32AA6" w14:textId="528003EC">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eastAsia="en-US" w:bidi="ar-SA"/>
                            </w:rPr>
                          </w:pPr>
                          <w:hyperlink w:anchor="This_is_Wärtsilä" w:history="1">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w:t>
                            </w:r>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ämä on</w:t>
                            </w:r>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Wärtsilä     </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Sustainability"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Kestävä</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kehitys</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Governance"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Hallinnointi</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hyperlink w:anchor="Financial_review"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Taloudellinen</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katsaus</w:t>
                          </w:r>
                        </w:p>
                        <w:p w:rsidR="002A658B" w:rsidRPr="009969BF"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fi-FI" w:eastAsia="en-US" w:bidi="ar-SA"/>
                            </w:rPr>
                          </w:pP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2060" type="#_x0000_t202" style="width:427.75pt;height:51.02pt;margin-top:34.13pt;margin-left:392.45pt;mso-height-percent:0;mso-height-relative:margin;mso-position-horizontal-relative:page;mso-position-vertical-relative:page;mso-width-percent:0;mso-width-relative:margin;mso-wrap-distance-bottom:3.6pt;mso-wrap-distance-left:9pt;mso-wrap-distance-right:9pt;mso-wrap-distance-top:3.6pt;position:absolute;v-text-anchor:top;z-index:251678720" fillcolor="white" stroked="f" strokeweight="0.75pt">
              <v:textbox>
                <w:txbxContent>
                  <w:p w:rsidR="002A658B" w:rsidRPr="009969BF" w:rsidP="00F32AA6" w14:textId="528003EC">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eastAsia="en-US" w:bidi="ar-SA"/>
                      </w:rPr>
                    </w:pPr>
                    <w:hyperlink w:anchor="This_is_Wärtsilä" w:history="1">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w:t>
                      </w:r>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ämä on</w:t>
                      </w:r>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Wärtsilä     </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Sustainability"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Kestävä</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kehitys</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Governance"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Hallinnointi</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hyperlink w:anchor="Financial_review"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Taloudellinen</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katsaus</w:t>
                    </w:r>
                  </w:p>
                  <w:p w:rsidR="002A658B" w:rsidRPr="009969BF"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fi-FI" w:eastAsia="en-US" w:bidi="ar-SA"/>
                      </w:rPr>
                    </w:pPr>
                  </w:p>
                </w:txbxContent>
              </v:textbox>
            </v:shape>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3D6C" w:rsidRPr="00284DC3" w:rsidP="008C292C" w14:textId="77777777">
    <w:pPr>
      <w:pStyle w:val="WNormal"/>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40" w:afterAutospacing="0" w:line="276" w:lineRule="auto"/>
      <w:ind w:left="0" w:right="0" w:firstLine="0"/>
      <w:contextualSpacing w:val="0"/>
      <w:jc w:val="left"/>
      <w:outlineLvl w:val="9"/>
      <w:rPr>
        <w:rFonts w:eastAsia="Calibri"/>
        <w:b w:val="0"/>
        <w:bCs w:val="0"/>
        <w:i w:val="0"/>
        <w:iCs w:val="0"/>
        <w:caps w:val="0"/>
        <w:smallCaps w:val="0"/>
        <w:strike w:val="0"/>
        <w:dstrike w:val="0"/>
        <w:outline w:val="0"/>
        <w:shadow w:val="0"/>
        <w:emboss w:val="0"/>
        <w:imprint w:val="0"/>
        <w:noProof w:val="0"/>
        <w:vanish w:val="0"/>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pPr>
    <w:r w:rsidRPr="00B359C1">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drawing>
        <wp:anchor distT="0" distB="0" distL="114300" distR="114300" simplePos="0" relativeHeight="251714560" behindDoc="0" locked="0" layoutInCell="1" allowOverlap="1">
          <wp:simplePos x="0" y="0"/>
          <wp:positionH relativeFrom="page">
            <wp:posOffset>421005</wp:posOffset>
          </wp:positionH>
          <wp:positionV relativeFrom="page">
            <wp:posOffset>114935</wp:posOffset>
          </wp:positionV>
          <wp:extent cx="1080000" cy="687600"/>
          <wp:effectExtent l="0" t="0" r="6350" b="0"/>
          <wp:wrapNone/>
          <wp:docPr id="1032905591" name="Picture 1"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650837" name="Picture 1" descr="Logo, company name&#10;&#10;Description automatically generated"/>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1080000" cy="687600"/>
                  </a:xfrm>
                  <a:prstGeom prst="rect">
                    <a:avLst/>
                  </a:prstGeom>
                </pic:spPr>
              </pic:pic>
            </a:graphicData>
          </a:graphic>
          <wp14:sizeRelH relativeFrom="page">
            <wp14:pctWidth>0</wp14:pctWidth>
          </wp14:sizeRelH>
          <wp14:sizeRelV relativeFrom="page">
            <wp14:pctHeight>0</wp14:pctHeight>
          </wp14:sizeRelV>
        </wp:anchor>
      </w:drawing>
    </w:r>
    <w:r w:rsidRPr="002A658B" w:rsidR="000119B7">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mc:AlternateContent>
        <mc:Choice Requires="wps">
          <w:drawing>
            <wp:anchor distT="45720" distB="45720" distL="114300" distR="114300" simplePos="0" relativeHeight="251685888" behindDoc="0" locked="0" layoutInCell="1" allowOverlap="1">
              <wp:simplePos x="0" y="0"/>
              <wp:positionH relativeFrom="page">
                <wp:posOffset>4984115</wp:posOffset>
              </wp:positionH>
              <wp:positionV relativeFrom="page">
                <wp:posOffset>433499</wp:posOffset>
              </wp:positionV>
              <wp:extent cx="5432400" cy="648000"/>
              <wp:effectExtent l="0" t="0" r="0" b="0"/>
              <wp:wrapNone/>
              <wp:docPr id="1831202904" name="Text Box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5432400" cy="648000"/>
                      </a:xfrm>
                      <a:prstGeom prst="rect">
                        <a:avLst/>
                      </a:prstGeom>
                      <a:solidFill>
                        <a:srgbClr val="FFFFFF"/>
                      </a:solidFill>
                      <a:ln w="9525">
                        <a:noFill/>
                        <a:miter lim="800000"/>
                        <a:headEnd/>
                        <a:tailEnd/>
                      </a:ln>
                    </wps:spPr>
                    <wps:txbx>
                      <w:txbxContent>
                        <w:p w:rsidR="002A658B" w:rsidRPr="009969BF" w:rsidP="00F32AA6" w14:textId="528003EC">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eastAsia="en-US" w:bidi="ar-SA"/>
                            </w:rPr>
                          </w:pPr>
                          <w:hyperlink w:anchor="This_is_Wärtsilä" w:history="1">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w:t>
                            </w:r>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ämä on</w:t>
                            </w:r>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Wärtsilä     </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Sustainability"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Kestävä</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kehitys</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Governance"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Hallinnointi</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hyperlink w:anchor="Financial_review"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Taloudellinen</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katsaus</w:t>
                          </w:r>
                        </w:p>
                        <w:p w:rsidR="002A658B" w:rsidRPr="009969BF"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fi-FI" w:eastAsia="en-US" w:bidi="ar-SA"/>
                            </w:rPr>
                          </w:pP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2061" type="#_x0000_t202" style="width:427.75pt;height:51.02pt;margin-top:34.13pt;margin-left:392.45pt;mso-height-percent:0;mso-height-relative:margin;mso-position-horizontal-relative:page;mso-position-vertical-relative:page;mso-width-percent:0;mso-width-relative:margin;mso-wrap-distance-bottom:3.6pt;mso-wrap-distance-left:9pt;mso-wrap-distance-right:9pt;mso-wrap-distance-top:3.6pt;position:absolute;v-text-anchor:top;z-index:251684864" fillcolor="white" stroked="f" strokeweight="0.75pt">
              <v:textbox>
                <w:txbxContent>
                  <w:p w:rsidR="002A658B" w:rsidRPr="009969BF" w:rsidP="00F32AA6" w14:textId="528003EC">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eastAsia="en-US" w:bidi="ar-SA"/>
                      </w:rPr>
                    </w:pPr>
                    <w:hyperlink w:anchor="This_is_Wärtsilä" w:history="1">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w:t>
                      </w:r>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ämä on</w:t>
                      </w:r>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Wärtsilä     </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Sustainability"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Kestävä</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kehitys</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Governance"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Hallinnointi</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hyperlink w:anchor="Financial_review"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Taloudellinen</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katsaus</w:t>
                    </w:r>
                  </w:p>
                  <w:p w:rsidR="002A658B" w:rsidRPr="009969BF"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fi-FI" w:eastAsia="en-US" w:bidi="ar-SA"/>
                      </w:rPr>
                    </w:pPr>
                  </w:p>
                </w:txbxContent>
              </v:textbox>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3D6C" w:rsidRPr="00284DC3" w:rsidP="008C292C" w14:paraId="1407E7A0" w14:textId="77777777">
    <w:pPr>
      <w:pStyle w:val="WNormal"/>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40" w:afterAutospacing="0" w:line="276" w:lineRule="auto"/>
      <w:ind w:left="0" w:right="0" w:firstLine="0"/>
      <w:contextualSpacing w:val="0"/>
      <w:jc w:val="left"/>
      <w:outlineLvl w:val="9"/>
      <w:rPr>
        <w:rFonts w:eastAsia="Calibri"/>
        <w:b w:val="0"/>
        <w:bCs w:val="0"/>
        <w:i w:val="0"/>
        <w:iCs w:val="0"/>
        <w:caps w:val="0"/>
        <w:smallCaps w:val="0"/>
        <w:strike w:val="0"/>
        <w:dstrike w:val="0"/>
        <w:outline w:val="0"/>
        <w:shadow w:val="0"/>
        <w:emboss w:val="0"/>
        <w:imprint w:val="0"/>
        <w:noProof w:val="0"/>
        <w:vanish w:val="0"/>
        <w:w w:val="100"/>
        <w:kern w:val="0"/>
        <w:position w:val="0"/>
        <w:szCs w:val="17"/>
        <w:highlight w:val="none"/>
        <w:u w:val="none"/>
        <w:effect w:val="none"/>
        <w:bdr w:val="none" w:sz="0" w:space="0" w:color="auto"/>
        <w:shd w:val="clear" w:color="auto" w:fill="auto"/>
        <w:vertAlign w:val="baseline"/>
        <w:rtl w:val="0"/>
        <w:cs w:val="0"/>
        <w:lang w:val="en-GB" w:eastAsia="en-US" w:bidi="ar-SA"/>
      </w:rPr>
    </w:pPr>
    <w:r w:rsidRPr="00B359C1">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drawing>
        <wp:anchor distT="0" distB="0" distL="114300" distR="114300" simplePos="0" relativeHeight="251701248" behindDoc="0" locked="0" layoutInCell="1" allowOverlap="1">
          <wp:simplePos x="0" y="0"/>
          <wp:positionH relativeFrom="page">
            <wp:posOffset>421005</wp:posOffset>
          </wp:positionH>
          <wp:positionV relativeFrom="page">
            <wp:posOffset>114935</wp:posOffset>
          </wp:positionV>
          <wp:extent cx="1080000" cy="687600"/>
          <wp:effectExtent l="0" t="0" r="6350" b="0"/>
          <wp:wrapNone/>
          <wp:docPr id="1" name="Picture 1"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058062" name="Picture 1" descr="Logo, company name&#10;&#10;Description automatically generated"/>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1080000" cy="687600"/>
                  </a:xfrm>
                  <a:prstGeom prst="rect">
                    <a:avLst/>
                  </a:prstGeom>
                </pic:spPr>
              </pic:pic>
            </a:graphicData>
          </a:graphic>
          <wp14:sizeRelH relativeFrom="page">
            <wp14:pctWidth>0</wp14:pctWidth>
          </wp14:sizeRelH>
          <wp14:sizeRelV relativeFrom="page">
            <wp14:pctHeight>0</wp14:pctHeight>
          </wp14:sizeRelV>
        </wp:anchor>
      </w:drawing>
    </w:r>
    <w:r w:rsidRPr="002A658B" w:rsidR="000119B7">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mc:AlternateContent>
        <mc:Choice Requires="wps">
          <w:drawing>
            <wp:anchor distT="45720" distB="45720" distL="114300" distR="114300" simplePos="0" relativeHeight="251659264" behindDoc="0" locked="0" layoutInCell="1" allowOverlap="1">
              <wp:simplePos x="0" y="0"/>
              <wp:positionH relativeFrom="page">
                <wp:posOffset>4984115</wp:posOffset>
              </wp:positionH>
              <wp:positionV relativeFrom="page">
                <wp:posOffset>433499</wp:posOffset>
              </wp:positionV>
              <wp:extent cx="5432400" cy="648000"/>
              <wp:effectExtent l="0" t="0" r="0" b="0"/>
              <wp:wrapNone/>
              <wp:docPr id="217" name="Text Box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5432400" cy="648000"/>
                      </a:xfrm>
                      <a:prstGeom prst="rect">
                        <a:avLst/>
                      </a:prstGeom>
                      <a:solidFill>
                        <a:srgbClr val="FFFFFF"/>
                      </a:solidFill>
                      <a:ln w="9525">
                        <a:noFill/>
                        <a:miter lim="800000"/>
                        <a:headEnd/>
                        <a:tailEnd/>
                      </a:ln>
                    </wps:spPr>
                    <wps:txbx>
                      <w:txbxContent>
                        <w:p w:rsidR="002A658B" w:rsidRPr="009969BF" w:rsidP="00F32AA6" w14:textId="528003EC">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eastAsia="en-US" w:bidi="ar-SA"/>
                            </w:rPr>
                          </w:pPr>
                          <w:hyperlink w:anchor="This_is_Wärtsilä" w:history="1">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w:t>
                            </w:r>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ämä on</w:t>
                            </w:r>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Wärtsilä     </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Sustainability"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Kestävä</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kehitys</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Governance"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Hallinnointi</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hyperlink w:anchor="Financial_review"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Taloudellinen</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katsaus</w:t>
                          </w:r>
                        </w:p>
                        <w:p w:rsidR="002A658B" w:rsidRPr="009969BF"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fi-FI" w:eastAsia="en-US" w:bidi="ar-SA"/>
                            </w:rPr>
                          </w:pP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2050" type="#_x0000_t202" style="width:427.75pt;height:51.02pt;margin-top:34.13pt;margin-left:392.45pt;mso-height-percent:0;mso-height-relative:margin;mso-position-horizontal-relative:page;mso-position-vertical-relative:page;mso-width-percent:0;mso-width-relative:margin;mso-wrap-distance-bottom:3.6pt;mso-wrap-distance-left:9pt;mso-wrap-distance-right:9pt;mso-wrap-distance-top:3.6pt;position:absolute;v-text-anchor:top;z-index:251658240" fillcolor="white" stroked="f" strokeweight="0.75pt">
              <v:textbox>
                <w:txbxContent>
                  <w:p w:rsidR="002A658B" w:rsidRPr="009969BF" w:rsidP="00F32AA6" w14:textId="528003EC">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eastAsia="en-US" w:bidi="ar-SA"/>
                      </w:rPr>
                    </w:pPr>
                    <w:hyperlink w:anchor="This_is_Wärtsilä" w:history="1">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w:t>
                      </w:r>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ämä on</w:t>
                      </w:r>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Wärtsilä     </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Sustainability"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Kestävä</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kehitys</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Governance"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Hallinnointi</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hyperlink w:anchor="Financial_review"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Taloudellinen</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katsaus</w:t>
                    </w:r>
                  </w:p>
                  <w:p w:rsidR="002A658B" w:rsidRPr="009969BF"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fi-FI" w:eastAsia="en-US" w:bidi="ar-SA"/>
                      </w:rPr>
                    </w:pPr>
                  </w:p>
                </w:txbxContent>
              </v:textbox>
            </v:shape>
          </w:pict>
        </mc:Fallback>
      </mc:AlternateConten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3D6C" w:rsidRPr="00284DC3" w:rsidP="008C292C" w14:textId="77777777">
    <w:pPr>
      <w:pStyle w:val="WNormal"/>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40" w:afterAutospacing="0" w:line="276" w:lineRule="auto"/>
      <w:ind w:left="0" w:right="0" w:firstLine="0"/>
      <w:contextualSpacing w:val="0"/>
      <w:jc w:val="left"/>
      <w:outlineLvl w:val="9"/>
      <w:rPr>
        <w:rFonts w:eastAsia="Calibri"/>
        <w:b w:val="0"/>
        <w:bCs w:val="0"/>
        <w:i w:val="0"/>
        <w:iCs w:val="0"/>
        <w:caps w:val="0"/>
        <w:smallCaps w:val="0"/>
        <w:strike w:val="0"/>
        <w:dstrike w:val="0"/>
        <w:outline w:val="0"/>
        <w:shadow w:val="0"/>
        <w:emboss w:val="0"/>
        <w:imprint w:val="0"/>
        <w:noProof w:val="0"/>
        <w:vanish w:val="0"/>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pPr>
    <w:r w:rsidRPr="00B359C1">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drawing>
        <wp:anchor distT="0" distB="0" distL="114300" distR="114300" simplePos="0" relativeHeight="251713536" behindDoc="0" locked="0" layoutInCell="1" allowOverlap="1">
          <wp:simplePos x="0" y="0"/>
          <wp:positionH relativeFrom="page">
            <wp:posOffset>421005</wp:posOffset>
          </wp:positionH>
          <wp:positionV relativeFrom="page">
            <wp:posOffset>114935</wp:posOffset>
          </wp:positionV>
          <wp:extent cx="1080000" cy="687600"/>
          <wp:effectExtent l="0" t="0" r="6350" b="0"/>
          <wp:wrapNone/>
          <wp:docPr id="1108277354" name="Picture 1"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780963" name="Picture 1" descr="Logo, company name&#10;&#10;Description automatically generated"/>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1080000" cy="687600"/>
                  </a:xfrm>
                  <a:prstGeom prst="rect">
                    <a:avLst/>
                  </a:prstGeom>
                </pic:spPr>
              </pic:pic>
            </a:graphicData>
          </a:graphic>
          <wp14:sizeRelH relativeFrom="page">
            <wp14:pctWidth>0</wp14:pctWidth>
          </wp14:sizeRelH>
          <wp14:sizeRelV relativeFrom="page">
            <wp14:pctHeight>0</wp14:pctHeight>
          </wp14:sizeRelV>
        </wp:anchor>
      </w:drawing>
    </w:r>
    <w:r w:rsidRPr="002A658B" w:rsidR="000119B7">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mc:AlternateContent>
        <mc:Choice Requires="wps">
          <w:drawing>
            <wp:anchor distT="45720" distB="45720" distL="114300" distR="114300" simplePos="0" relativeHeight="251683840" behindDoc="0" locked="0" layoutInCell="1" allowOverlap="1">
              <wp:simplePos x="0" y="0"/>
              <wp:positionH relativeFrom="page">
                <wp:posOffset>4984115</wp:posOffset>
              </wp:positionH>
              <wp:positionV relativeFrom="page">
                <wp:posOffset>433499</wp:posOffset>
              </wp:positionV>
              <wp:extent cx="5432400" cy="648000"/>
              <wp:effectExtent l="0" t="0" r="0" b="0"/>
              <wp:wrapNone/>
              <wp:docPr id="1399648055" name="Text Box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5432400" cy="648000"/>
                      </a:xfrm>
                      <a:prstGeom prst="rect">
                        <a:avLst/>
                      </a:prstGeom>
                      <a:solidFill>
                        <a:srgbClr val="FFFFFF"/>
                      </a:solidFill>
                      <a:ln w="9525">
                        <a:noFill/>
                        <a:miter lim="800000"/>
                        <a:headEnd/>
                        <a:tailEnd/>
                      </a:ln>
                    </wps:spPr>
                    <wps:txbx>
                      <w:txbxContent>
                        <w:p w:rsidR="002A658B" w:rsidRPr="009969BF" w:rsidP="00F32AA6" w14:textId="528003EC">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eastAsia="en-US" w:bidi="ar-SA"/>
                            </w:rPr>
                          </w:pPr>
                          <w:hyperlink w:anchor="This_is_Wärtsilä" w:history="1">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w:t>
                            </w:r>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ämä on</w:t>
                            </w:r>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Wärtsilä     </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Sustainability"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Kestävä</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kehitys</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Governance"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Hallinnointi</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hyperlink w:anchor="Financial_review"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Taloudellinen</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katsaus</w:t>
                          </w:r>
                        </w:p>
                        <w:p w:rsidR="002A658B" w:rsidRPr="009969BF"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fi-FI" w:eastAsia="en-US" w:bidi="ar-SA"/>
                            </w:rPr>
                          </w:pP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2062" type="#_x0000_t202" style="width:427.75pt;height:51.02pt;margin-top:34.13pt;margin-left:392.45pt;mso-height-percent:0;mso-height-relative:margin;mso-position-horizontal-relative:page;mso-position-vertical-relative:page;mso-width-percent:0;mso-width-relative:margin;mso-wrap-distance-bottom:3.6pt;mso-wrap-distance-left:9pt;mso-wrap-distance-right:9pt;mso-wrap-distance-top:3.6pt;position:absolute;v-text-anchor:top;z-index:251682816" fillcolor="white" stroked="f" strokeweight="0.75pt">
              <v:textbox>
                <w:txbxContent>
                  <w:p w:rsidR="002A658B" w:rsidRPr="009969BF" w:rsidP="00F32AA6" w14:textId="528003EC">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eastAsia="en-US" w:bidi="ar-SA"/>
                      </w:rPr>
                    </w:pPr>
                    <w:hyperlink w:anchor="This_is_Wärtsilä" w:history="1">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w:t>
                      </w:r>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ämä on</w:t>
                      </w:r>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Wärtsilä     </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Sustainability"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Kestävä</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kehitys</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Governance"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Hallinnointi</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hyperlink w:anchor="Financial_review"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Taloudellinen</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katsaus</w:t>
                    </w:r>
                  </w:p>
                  <w:p w:rsidR="002A658B" w:rsidRPr="009969BF"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fi-FI" w:eastAsia="en-US" w:bidi="ar-SA"/>
                      </w:rPr>
                    </w:pPr>
                  </w:p>
                </w:txbxContent>
              </v:textbox>
            </v:shape>
          </w:pict>
        </mc:Fallback>
      </mc:AlternateConten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3D6C" w:rsidRPr="00284DC3" w:rsidP="008C292C" w14:textId="77777777">
    <w:pPr>
      <w:pStyle w:val="WNormal"/>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40" w:afterAutospacing="0" w:line="276" w:lineRule="auto"/>
      <w:ind w:left="0" w:right="0" w:firstLine="0"/>
      <w:contextualSpacing w:val="0"/>
      <w:jc w:val="left"/>
      <w:outlineLvl w:val="9"/>
      <w:rPr>
        <w:rFonts w:eastAsia="Calibri"/>
        <w:b w:val="0"/>
        <w:bCs w:val="0"/>
        <w:i w:val="0"/>
        <w:iCs w:val="0"/>
        <w:caps w:val="0"/>
        <w:smallCaps w:val="0"/>
        <w:strike w:val="0"/>
        <w:dstrike w:val="0"/>
        <w:outline w:val="0"/>
        <w:shadow w:val="0"/>
        <w:emboss w:val="0"/>
        <w:imprint w:val="0"/>
        <w:noProof w:val="0"/>
        <w:vanish w:val="0"/>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pPr>
    <w:r w:rsidRPr="00B359C1">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drawing>
        <wp:anchor distT="0" distB="0" distL="114300" distR="114300" simplePos="0" relativeHeight="251716608" behindDoc="0" locked="0" layoutInCell="1" allowOverlap="1">
          <wp:simplePos x="0" y="0"/>
          <wp:positionH relativeFrom="page">
            <wp:posOffset>421005</wp:posOffset>
          </wp:positionH>
          <wp:positionV relativeFrom="page">
            <wp:posOffset>114935</wp:posOffset>
          </wp:positionV>
          <wp:extent cx="1080000" cy="687600"/>
          <wp:effectExtent l="0" t="0" r="6350" b="0"/>
          <wp:wrapNone/>
          <wp:docPr id="1159697407" name="Picture 1"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198340" name="Picture 1" descr="Logo, company name&#10;&#10;Description automatically generated"/>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1080000" cy="687600"/>
                  </a:xfrm>
                  <a:prstGeom prst="rect">
                    <a:avLst/>
                  </a:prstGeom>
                </pic:spPr>
              </pic:pic>
            </a:graphicData>
          </a:graphic>
          <wp14:sizeRelH relativeFrom="page">
            <wp14:pctWidth>0</wp14:pctWidth>
          </wp14:sizeRelH>
          <wp14:sizeRelV relativeFrom="page">
            <wp14:pctHeight>0</wp14:pctHeight>
          </wp14:sizeRelV>
        </wp:anchor>
      </w:drawing>
    </w:r>
    <w:r w:rsidRPr="002A658B" w:rsidR="000119B7">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mc:AlternateContent>
        <mc:Choice Requires="wps">
          <w:drawing>
            <wp:anchor distT="45720" distB="45720" distL="114300" distR="114300" simplePos="0" relativeHeight="251689984" behindDoc="0" locked="0" layoutInCell="1" allowOverlap="1">
              <wp:simplePos x="0" y="0"/>
              <wp:positionH relativeFrom="page">
                <wp:posOffset>4984115</wp:posOffset>
              </wp:positionH>
              <wp:positionV relativeFrom="page">
                <wp:posOffset>433499</wp:posOffset>
              </wp:positionV>
              <wp:extent cx="5432400" cy="648000"/>
              <wp:effectExtent l="0" t="0" r="0" b="0"/>
              <wp:wrapNone/>
              <wp:docPr id="1973808321" name="Text Box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5432400" cy="648000"/>
                      </a:xfrm>
                      <a:prstGeom prst="rect">
                        <a:avLst/>
                      </a:prstGeom>
                      <a:solidFill>
                        <a:srgbClr val="FFFFFF"/>
                      </a:solidFill>
                      <a:ln w="9525">
                        <a:noFill/>
                        <a:miter lim="800000"/>
                        <a:headEnd/>
                        <a:tailEnd/>
                      </a:ln>
                    </wps:spPr>
                    <wps:txbx>
                      <w:txbxContent>
                        <w:p w:rsidR="002A658B" w:rsidRPr="009969BF" w:rsidP="00F32AA6" w14:textId="528003EC">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eastAsia="en-US" w:bidi="ar-SA"/>
                            </w:rPr>
                          </w:pPr>
                          <w:hyperlink w:anchor="This_is_Wärtsilä" w:history="1">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w:t>
                            </w:r>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ämä on</w:t>
                            </w:r>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Wärtsilä     </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Sustainability"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Kestävä</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kehitys</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Governance"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Hallinnointi</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hyperlink w:anchor="Financial_review"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Taloudellinen</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katsaus</w:t>
                          </w:r>
                        </w:p>
                        <w:p w:rsidR="002A658B" w:rsidRPr="009969BF"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fi-FI" w:eastAsia="en-US" w:bidi="ar-SA"/>
                            </w:rPr>
                          </w:pP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2063" type="#_x0000_t202" style="width:427.75pt;height:51.02pt;margin-top:34.13pt;margin-left:392.45pt;mso-height-percent:0;mso-height-relative:margin;mso-position-horizontal-relative:page;mso-position-vertical-relative:page;mso-width-percent:0;mso-width-relative:margin;mso-wrap-distance-bottom:3.6pt;mso-wrap-distance-left:9pt;mso-wrap-distance-right:9pt;mso-wrap-distance-top:3.6pt;position:absolute;v-text-anchor:top;z-index:251688960" fillcolor="white" stroked="f" strokeweight="0.75pt">
              <v:textbox>
                <w:txbxContent>
                  <w:p w:rsidR="002A658B" w:rsidRPr="009969BF" w:rsidP="00F32AA6" w14:textId="528003EC">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eastAsia="en-US" w:bidi="ar-SA"/>
                      </w:rPr>
                    </w:pPr>
                    <w:hyperlink w:anchor="This_is_Wärtsilä" w:history="1">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w:t>
                      </w:r>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ämä on</w:t>
                      </w:r>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Wärtsilä     </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Sustainability"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Kestävä</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kehitys</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Governance"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Hallinnointi</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hyperlink w:anchor="Financial_review"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Taloudellinen</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katsaus</w:t>
                    </w:r>
                  </w:p>
                  <w:p w:rsidR="002A658B" w:rsidRPr="009969BF"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fi-FI" w:eastAsia="en-US" w:bidi="ar-SA"/>
                      </w:rPr>
                    </w:pPr>
                  </w:p>
                </w:txbxContent>
              </v:textbox>
            </v:shape>
          </w:pict>
        </mc:Fallback>
      </mc:AlternateConten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3D6C" w:rsidRPr="00284DC3" w:rsidP="008C292C" w14:textId="77777777">
    <w:pPr>
      <w:pStyle w:val="WNormal"/>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40" w:afterAutospacing="0" w:line="276" w:lineRule="auto"/>
      <w:ind w:left="0" w:right="0" w:firstLine="0"/>
      <w:contextualSpacing w:val="0"/>
      <w:jc w:val="left"/>
      <w:outlineLvl w:val="9"/>
      <w:rPr>
        <w:rFonts w:eastAsia="Calibri"/>
        <w:b w:val="0"/>
        <w:bCs w:val="0"/>
        <w:i w:val="0"/>
        <w:iCs w:val="0"/>
        <w:caps w:val="0"/>
        <w:smallCaps w:val="0"/>
        <w:strike w:val="0"/>
        <w:dstrike w:val="0"/>
        <w:outline w:val="0"/>
        <w:shadow w:val="0"/>
        <w:emboss w:val="0"/>
        <w:imprint w:val="0"/>
        <w:noProof w:val="0"/>
        <w:vanish w:val="0"/>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pPr>
    <w:r w:rsidRPr="00B359C1">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drawing>
        <wp:anchor distT="0" distB="0" distL="114300" distR="114300" simplePos="0" relativeHeight="251715584" behindDoc="0" locked="0" layoutInCell="1" allowOverlap="1">
          <wp:simplePos x="0" y="0"/>
          <wp:positionH relativeFrom="page">
            <wp:posOffset>421005</wp:posOffset>
          </wp:positionH>
          <wp:positionV relativeFrom="page">
            <wp:posOffset>114935</wp:posOffset>
          </wp:positionV>
          <wp:extent cx="1080000" cy="687600"/>
          <wp:effectExtent l="0" t="0" r="6350" b="0"/>
          <wp:wrapNone/>
          <wp:docPr id="1925821933" name="Picture 1"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687892" name="Picture 1" descr="Logo, company name&#10;&#10;Description automatically generated"/>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1080000" cy="687600"/>
                  </a:xfrm>
                  <a:prstGeom prst="rect">
                    <a:avLst/>
                  </a:prstGeom>
                </pic:spPr>
              </pic:pic>
            </a:graphicData>
          </a:graphic>
          <wp14:sizeRelH relativeFrom="page">
            <wp14:pctWidth>0</wp14:pctWidth>
          </wp14:sizeRelH>
          <wp14:sizeRelV relativeFrom="page">
            <wp14:pctHeight>0</wp14:pctHeight>
          </wp14:sizeRelV>
        </wp:anchor>
      </w:drawing>
    </w:r>
    <w:r w:rsidRPr="002A658B" w:rsidR="000119B7">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mc:AlternateContent>
        <mc:Choice Requires="wps">
          <w:drawing>
            <wp:anchor distT="45720" distB="45720" distL="114300" distR="114300" simplePos="0" relativeHeight="251687936" behindDoc="0" locked="0" layoutInCell="1" allowOverlap="1">
              <wp:simplePos x="0" y="0"/>
              <wp:positionH relativeFrom="page">
                <wp:posOffset>4984115</wp:posOffset>
              </wp:positionH>
              <wp:positionV relativeFrom="page">
                <wp:posOffset>433499</wp:posOffset>
              </wp:positionV>
              <wp:extent cx="5432400" cy="648000"/>
              <wp:effectExtent l="0" t="0" r="0" b="0"/>
              <wp:wrapNone/>
              <wp:docPr id="25198548" name="Text Box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5432400" cy="648000"/>
                      </a:xfrm>
                      <a:prstGeom prst="rect">
                        <a:avLst/>
                      </a:prstGeom>
                      <a:solidFill>
                        <a:srgbClr val="FFFFFF"/>
                      </a:solidFill>
                      <a:ln w="9525">
                        <a:noFill/>
                        <a:miter lim="800000"/>
                        <a:headEnd/>
                        <a:tailEnd/>
                      </a:ln>
                    </wps:spPr>
                    <wps:txbx>
                      <w:txbxContent>
                        <w:p w:rsidR="002A658B" w:rsidRPr="009969BF" w:rsidP="00F32AA6" w14:textId="528003EC">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eastAsia="en-US" w:bidi="ar-SA"/>
                            </w:rPr>
                          </w:pPr>
                          <w:hyperlink w:anchor="This_is_Wärtsilä" w:history="1">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w:t>
                            </w:r>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ämä on</w:t>
                            </w:r>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Wärtsilä     </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Sustainability"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Kestävä</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kehitys</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Governance"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Hallinnointi</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hyperlink w:anchor="Financial_review"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Taloudellinen</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katsaus</w:t>
                          </w:r>
                        </w:p>
                        <w:p w:rsidR="002A658B" w:rsidRPr="009969BF"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fi-FI" w:eastAsia="en-US" w:bidi="ar-SA"/>
                            </w:rPr>
                          </w:pP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2064" type="#_x0000_t202" style="width:427.75pt;height:51.02pt;margin-top:34.13pt;margin-left:392.45pt;mso-height-percent:0;mso-height-relative:margin;mso-position-horizontal-relative:page;mso-position-vertical-relative:page;mso-width-percent:0;mso-width-relative:margin;mso-wrap-distance-bottom:3.6pt;mso-wrap-distance-left:9pt;mso-wrap-distance-right:9pt;mso-wrap-distance-top:3.6pt;position:absolute;v-text-anchor:top;z-index:251686912" fillcolor="white" stroked="f" strokeweight="0.75pt">
              <v:textbox>
                <w:txbxContent>
                  <w:p w:rsidR="002A658B" w:rsidRPr="009969BF" w:rsidP="00F32AA6" w14:textId="528003EC">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eastAsia="en-US" w:bidi="ar-SA"/>
                      </w:rPr>
                    </w:pPr>
                    <w:hyperlink w:anchor="This_is_Wärtsilä" w:history="1">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w:t>
                      </w:r>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ämä on</w:t>
                      </w:r>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Wärtsilä     </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Sustainability"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Kestävä</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kehitys</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Governance"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Hallinnointi</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hyperlink w:anchor="Financial_review"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Taloudellinen</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katsaus</w:t>
                    </w:r>
                  </w:p>
                  <w:p w:rsidR="002A658B" w:rsidRPr="009969BF"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fi-FI" w:eastAsia="en-US" w:bidi="ar-SA"/>
                      </w:rPr>
                    </w:pPr>
                  </w:p>
                </w:txbxContent>
              </v:textbox>
            </v:shape>
          </w:pict>
        </mc:Fallback>
      </mc:AlternateConten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3D6C" w:rsidRPr="00284DC3" w:rsidP="008C292C" w14:textId="77777777">
    <w:pPr>
      <w:pStyle w:val="WNormal"/>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40" w:afterAutospacing="0" w:line="276" w:lineRule="auto"/>
      <w:ind w:left="0" w:right="0" w:firstLine="0"/>
      <w:contextualSpacing w:val="0"/>
      <w:jc w:val="left"/>
      <w:outlineLvl w:val="9"/>
      <w:rPr>
        <w:rFonts w:eastAsia="Calibri"/>
        <w:b w:val="0"/>
        <w:bCs w:val="0"/>
        <w:i w:val="0"/>
        <w:iCs w:val="0"/>
        <w:caps w:val="0"/>
        <w:smallCaps w:val="0"/>
        <w:strike w:val="0"/>
        <w:dstrike w:val="0"/>
        <w:outline w:val="0"/>
        <w:shadow w:val="0"/>
        <w:emboss w:val="0"/>
        <w:imprint w:val="0"/>
        <w:noProof w:val="0"/>
        <w:vanish w:val="0"/>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pPr>
    <w:r w:rsidRPr="00B359C1">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drawing>
        <wp:anchor distT="0" distB="0" distL="114300" distR="114300" simplePos="0" relativeHeight="251718656" behindDoc="0" locked="0" layoutInCell="1" allowOverlap="1">
          <wp:simplePos x="0" y="0"/>
          <wp:positionH relativeFrom="page">
            <wp:posOffset>421005</wp:posOffset>
          </wp:positionH>
          <wp:positionV relativeFrom="page">
            <wp:posOffset>114935</wp:posOffset>
          </wp:positionV>
          <wp:extent cx="1080000" cy="687600"/>
          <wp:effectExtent l="0" t="0" r="6350" b="0"/>
          <wp:wrapNone/>
          <wp:docPr id="1645513694" name="Picture 1"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778063" name="Picture 1" descr="Logo, company name&#10;&#10;Description automatically generated"/>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1080000" cy="687600"/>
                  </a:xfrm>
                  <a:prstGeom prst="rect">
                    <a:avLst/>
                  </a:prstGeom>
                </pic:spPr>
              </pic:pic>
            </a:graphicData>
          </a:graphic>
          <wp14:sizeRelH relativeFrom="page">
            <wp14:pctWidth>0</wp14:pctWidth>
          </wp14:sizeRelH>
          <wp14:sizeRelV relativeFrom="page">
            <wp14:pctHeight>0</wp14:pctHeight>
          </wp14:sizeRelV>
        </wp:anchor>
      </w:drawing>
    </w:r>
    <w:r w:rsidRPr="002A658B" w:rsidR="000119B7">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mc:AlternateContent>
        <mc:Choice Requires="wps">
          <w:drawing>
            <wp:anchor distT="45720" distB="45720" distL="114300" distR="114300" simplePos="0" relativeHeight="251694080" behindDoc="0" locked="0" layoutInCell="1" allowOverlap="1">
              <wp:simplePos x="0" y="0"/>
              <wp:positionH relativeFrom="page">
                <wp:posOffset>4984115</wp:posOffset>
              </wp:positionH>
              <wp:positionV relativeFrom="page">
                <wp:posOffset>433499</wp:posOffset>
              </wp:positionV>
              <wp:extent cx="5432400" cy="648000"/>
              <wp:effectExtent l="0" t="0" r="0" b="0"/>
              <wp:wrapNone/>
              <wp:docPr id="1575024790" name="Text Box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5432400" cy="648000"/>
                      </a:xfrm>
                      <a:prstGeom prst="rect">
                        <a:avLst/>
                      </a:prstGeom>
                      <a:solidFill>
                        <a:srgbClr val="FFFFFF"/>
                      </a:solidFill>
                      <a:ln w="9525">
                        <a:noFill/>
                        <a:miter lim="800000"/>
                        <a:headEnd/>
                        <a:tailEnd/>
                      </a:ln>
                    </wps:spPr>
                    <wps:txbx>
                      <w:txbxContent>
                        <w:p w:rsidR="002A658B" w:rsidRPr="009969BF" w:rsidP="00F32AA6" w14:textId="528003EC">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eastAsia="en-US" w:bidi="ar-SA"/>
                            </w:rPr>
                          </w:pPr>
                          <w:hyperlink w:anchor="This_is_Wärtsilä" w:history="1">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w:t>
                            </w:r>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ämä on</w:t>
                            </w:r>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Wärtsilä     </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Sustainability"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Kestävä</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kehitys</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Governance"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Hallinnointi</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hyperlink w:anchor="Financial_review"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Taloudellinen</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katsaus</w:t>
                          </w:r>
                        </w:p>
                        <w:p w:rsidR="002A658B" w:rsidRPr="009969BF"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fi-FI" w:eastAsia="en-US" w:bidi="ar-SA"/>
                            </w:rPr>
                          </w:pP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2065" type="#_x0000_t202" style="width:427.75pt;height:51.02pt;margin-top:34.13pt;margin-left:392.45pt;mso-height-percent:0;mso-height-relative:margin;mso-position-horizontal-relative:page;mso-position-vertical-relative:page;mso-width-percent:0;mso-width-relative:margin;mso-wrap-distance-bottom:3.6pt;mso-wrap-distance-left:9pt;mso-wrap-distance-right:9pt;mso-wrap-distance-top:3.6pt;position:absolute;v-text-anchor:top;z-index:251693056" fillcolor="white" stroked="f" strokeweight="0.75pt">
              <v:textbox>
                <w:txbxContent>
                  <w:p w:rsidR="002A658B" w:rsidRPr="009969BF" w:rsidP="00F32AA6" w14:textId="528003EC">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eastAsia="en-US" w:bidi="ar-SA"/>
                      </w:rPr>
                    </w:pPr>
                    <w:hyperlink w:anchor="This_is_Wärtsilä" w:history="1">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w:t>
                      </w:r>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ämä on</w:t>
                      </w:r>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Wärtsilä     </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Sustainability"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Kestävä</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kehitys</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Governance"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Hallinnointi</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hyperlink w:anchor="Financial_review"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Taloudellinen</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katsaus</w:t>
                    </w:r>
                  </w:p>
                  <w:p w:rsidR="002A658B" w:rsidRPr="009969BF"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fi-FI" w:eastAsia="en-US" w:bidi="ar-SA"/>
                      </w:rPr>
                    </w:pPr>
                  </w:p>
                </w:txbxContent>
              </v:textbox>
            </v:shape>
          </w:pict>
        </mc:Fallback>
      </mc:AlternateConten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3D6C" w:rsidRPr="00284DC3" w:rsidP="008C292C" w14:textId="77777777">
    <w:pPr>
      <w:pStyle w:val="WNormal"/>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40" w:afterAutospacing="0" w:line="276" w:lineRule="auto"/>
      <w:ind w:left="0" w:right="0" w:firstLine="0"/>
      <w:contextualSpacing w:val="0"/>
      <w:jc w:val="left"/>
      <w:outlineLvl w:val="9"/>
      <w:rPr>
        <w:rFonts w:eastAsia="Calibri"/>
        <w:b w:val="0"/>
        <w:bCs w:val="0"/>
        <w:i w:val="0"/>
        <w:iCs w:val="0"/>
        <w:caps w:val="0"/>
        <w:smallCaps w:val="0"/>
        <w:strike w:val="0"/>
        <w:dstrike w:val="0"/>
        <w:outline w:val="0"/>
        <w:shadow w:val="0"/>
        <w:emboss w:val="0"/>
        <w:imprint w:val="0"/>
        <w:noProof w:val="0"/>
        <w:vanish w:val="0"/>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pPr>
    <w:r w:rsidRPr="00B359C1">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drawing>
        <wp:anchor distT="0" distB="0" distL="114300" distR="114300" simplePos="0" relativeHeight="251717632" behindDoc="0" locked="0" layoutInCell="1" allowOverlap="1">
          <wp:simplePos x="0" y="0"/>
          <wp:positionH relativeFrom="page">
            <wp:posOffset>421005</wp:posOffset>
          </wp:positionH>
          <wp:positionV relativeFrom="page">
            <wp:posOffset>114935</wp:posOffset>
          </wp:positionV>
          <wp:extent cx="1080000" cy="687600"/>
          <wp:effectExtent l="0" t="0" r="6350" b="0"/>
          <wp:wrapNone/>
          <wp:docPr id="1186973446" name="Picture 1"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353521" name="Picture 1" descr="Logo, company name&#10;&#10;Description automatically generated"/>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1080000" cy="687600"/>
                  </a:xfrm>
                  <a:prstGeom prst="rect">
                    <a:avLst/>
                  </a:prstGeom>
                </pic:spPr>
              </pic:pic>
            </a:graphicData>
          </a:graphic>
          <wp14:sizeRelH relativeFrom="page">
            <wp14:pctWidth>0</wp14:pctWidth>
          </wp14:sizeRelH>
          <wp14:sizeRelV relativeFrom="page">
            <wp14:pctHeight>0</wp14:pctHeight>
          </wp14:sizeRelV>
        </wp:anchor>
      </w:drawing>
    </w:r>
    <w:r w:rsidRPr="002A658B" w:rsidR="000119B7">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mc:AlternateContent>
        <mc:Choice Requires="wps">
          <w:drawing>
            <wp:anchor distT="45720" distB="45720" distL="114300" distR="114300" simplePos="0" relativeHeight="251692032" behindDoc="0" locked="0" layoutInCell="1" allowOverlap="1">
              <wp:simplePos x="0" y="0"/>
              <wp:positionH relativeFrom="page">
                <wp:posOffset>4984115</wp:posOffset>
              </wp:positionH>
              <wp:positionV relativeFrom="page">
                <wp:posOffset>433499</wp:posOffset>
              </wp:positionV>
              <wp:extent cx="5432400" cy="648000"/>
              <wp:effectExtent l="0" t="0" r="0" b="0"/>
              <wp:wrapNone/>
              <wp:docPr id="1894739284" name="Text Box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5432400" cy="648000"/>
                      </a:xfrm>
                      <a:prstGeom prst="rect">
                        <a:avLst/>
                      </a:prstGeom>
                      <a:solidFill>
                        <a:srgbClr val="FFFFFF"/>
                      </a:solidFill>
                      <a:ln w="9525">
                        <a:noFill/>
                        <a:miter lim="800000"/>
                        <a:headEnd/>
                        <a:tailEnd/>
                      </a:ln>
                    </wps:spPr>
                    <wps:txbx>
                      <w:txbxContent>
                        <w:p w:rsidR="002A658B" w:rsidRPr="009969BF" w:rsidP="00F32AA6" w14:textId="528003EC">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eastAsia="en-US" w:bidi="ar-SA"/>
                            </w:rPr>
                          </w:pPr>
                          <w:hyperlink w:anchor="This_is_Wärtsilä" w:history="1">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w:t>
                            </w:r>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ämä on</w:t>
                            </w:r>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Wärtsilä     </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Sustainability"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Kestävä</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kehitys</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Governance"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Hallinnointi</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hyperlink w:anchor="Financial_review"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Taloudellinen</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katsaus</w:t>
                          </w:r>
                        </w:p>
                        <w:p w:rsidR="002A658B" w:rsidRPr="009969BF"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fi-FI" w:eastAsia="en-US" w:bidi="ar-SA"/>
                            </w:rPr>
                          </w:pP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2066" type="#_x0000_t202" style="width:427.75pt;height:51.02pt;margin-top:34.13pt;margin-left:392.45pt;mso-height-percent:0;mso-height-relative:margin;mso-position-horizontal-relative:page;mso-position-vertical-relative:page;mso-width-percent:0;mso-width-relative:margin;mso-wrap-distance-bottom:3.6pt;mso-wrap-distance-left:9pt;mso-wrap-distance-right:9pt;mso-wrap-distance-top:3.6pt;position:absolute;v-text-anchor:top;z-index:251691008" fillcolor="white" stroked="f" strokeweight="0.75pt">
              <v:textbox>
                <w:txbxContent>
                  <w:p w:rsidR="002A658B" w:rsidRPr="009969BF" w:rsidP="00F32AA6" w14:textId="528003EC">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eastAsia="en-US" w:bidi="ar-SA"/>
                      </w:rPr>
                    </w:pPr>
                    <w:hyperlink w:anchor="This_is_Wärtsilä" w:history="1">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w:t>
                      </w:r>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ämä on</w:t>
                      </w:r>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Wärtsilä     </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Sustainability"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Kestävä</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kehitys</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Governance"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Hallinnointi</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hyperlink w:anchor="Financial_review"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Taloudellinen</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katsaus</w:t>
                    </w:r>
                  </w:p>
                  <w:p w:rsidR="002A658B" w:rsidRPr="009969BF"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fi-FI" w:eastAsia="en-US" w:bidi="ar-SA"/>
                      </w:rPr>
                    </w:pPr>
                  </w:p>
                </w:txbxContent>
              </v:textbox>
            </v:shape>
          </w:pict>
        </mc:Fallback>
      </mc:AlternateConten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3D6C" w:rsidRPr="00284DC3" w:rsidP="008C292C" w14:textId="77777777">
    <w:pPr>
      <w:pStyle w:val="WNormal"/>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40" w:afterAutospacing="0" w:line="276" w:lineRule="auto"/>
      <w:ind w:left="0" w:right="0" w:firstLine="0"/>
      <w:contextualSpacing w:val="0"/>
      <w:jc w:val="left"/>
      <w:outlineLvl w:val="9"/>
      <w:rPr>
        <w:rFonts w:eastAsia="Calibri"/>
        <w:b w:val="0"/>
        <w:bCs w:val="0"/>
        <w:i w:val="0"/>
        <w:iCs w:val="0"/>
        <w:caps w:val="0"/>
        <w:smallCaps w:val="0"/>
        <w:strike w:val="0"/>
        <w:dstrike w:val="0"/>
        <w:outline w:val="0"/>
        <w:shadow w:val="0"/>
        <w:emboss w:val="0"/>
        <w:imprint w:val="0"/>
        <w:noProof w:val="0"/>
        <w:vanish w:val="0"/>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pPr>
    <w:r w:rsidRPr="00B359C1">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drawing>
        <wp:anchor distT="0" distB="0" distL="114300" distR="114300" simplePos="0" relativeHeight="251720704" behindDoc="0" locked="0" layoutInCell="1" allowOverlap="1">
          <wp:simplePos x="0" y="0"/>
          <wp:positionH relativeFrom="page">
            <wp:posOffset>421005</wp:posOffset>
          </wp:positionH>
          <wp:positionV relativeFrom="page">
            <wp:posOffset>114935</wp:posOffset>
          </wp:positionV>
          <wp:extent cx="1080000" cy="687600"/>
          <wp:effectExtent l="0" t="0" r="6350" b="0"/>
          <wp:wrapNone/>
          <wp:docPr id="1360380813" name="Picture 1"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975131" name="Picture 1" descr="Logo, company name&#10;&#10;Description automatically generated"/>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1080000" cy="687600"/>
                  </a:xfrm>
                  <a:prstGeom prst="rect">
                    <a:avLst/>
                  </a:prstGeom>
                </pic:spPr>
              </pic:pic>
            </a:graphicData>
          </a:graphic>
          <wp14:sizeRelH relativeFrom="page">
            <wp14:pctWidth>0</wp14:pctWidth>
          </wp14:sizeRelH>
          <wp14:sizeRelV relativeFrom="page">
            <wp14:pctHeight>0</wp14:pctHeight>
          </wp14:sizeRelV>
        </wp:anchor>
      </w:drawing>
    </w:r>
    <w:r w:rsidRPr="002A658B" w:rsidR="000119B7">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mc:AlternateContent>
        <mc:Choice Requires="wps">
          <w:drawing>
            <wp:anchor distT="45720" distB="45720" distL="114300" distR="114300" simplePos="0" relativeHeight="251698176" behindDoc="0" locked="0" layoutInCell="1" allowOverlap="1">
              <wp:simplePos x="0" y="0"/>
              <wp:positionH relativeFrom="page">
                <wp:posOffset>4984115</wp:posOffset>
              </wp:positionH>
              <wp:positionV relativeFrom="page">
                <wp:posOffset>433499</wp:posOffset>
              </wp:positionV>
              <wp:extent cx="5432400" cy="648000"/>
              <wp:effectExtent l="0" t="0" r="0" b="0"/>
              <wp:wrapNone/>
              <wp:docPr id="2132031378" name="Text Box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5432400" cy="648000"/>
                      </a:xfrm>
                      <a:prstGeom prst="rect">
                        <a:avLst/>
                      </a:prstGeom>
                      <a:solidFill>
                        <a:srgbClr val="FFFFFF"/>
                      </a:solidFill>
                      <a:ln w="9525">
                        <a:noFill/>
                        <a:miter lim="800000"/>
                        <a:headEnd/>
                        <a:tailEnd/>
                      </a:ln>
                    </wps:spPr>
                    <wps:txbx>
                      <w:txbxContent>
                        <w:p w:rsidR="002A658B" w:rsidRPr="009969BF" w:rsidP="00F32AA6" w14:textId="528003EC">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eastAsia="en-US" w:bidi="ar-SA"/>
                            </w:rPr>
                          </w:pPr>
                          <w:hyperlink w:anchor="This_is_Wärtsilä" w:history="1">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w:t>
                            </w:r>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ämä on</w:t>
                            </w:r>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Wärtsilä     </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Sustainability"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Kestävä</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kehitys</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Governance"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Hallinnointi</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hyperlink w:anchor="Financial_review"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Taloudellinen</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katsaus</w:t>
                          </w:r>
                        </w:p>
                        <w:p w:rsidR="002A658B" w:rsidRPr="009969BF"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fi-FI" w:eastAsia="en-US" w:bidi="ar-SA"/>
                            </w:rPr>
                          </w:pP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2067" type="#_x0000_t202" style="width:427.75pt;height:51.02pt;margin-top:34.13pt;margin-left:392.45pt;mso-height-percent:0;mso-height-relative:margin;mso-position-horizontal-relative:page;mso-position-vertical-relative:page;mso-width-percent:0;mso-width-relative:margin;mso-wrap-distance-bottom:3.6pt;mso-wrap-distance-left:9pt;mso-wrap-distance-right:9pt;mso-wrap-distance-top:3.6pt;position:absolute;v-text-anchor:top;z-index:251697152" fillcolor="white" stroked="f" strokeweight="0.75pt">
              <v:textbox>
                <w:txbxContent>
                  <w:p w:rsidR="002A658B" w:rsidRPr="009969BF" w:rsidP="00F32AA6" w14:textId="528003EC">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eastAsia="en-US" w:bidi="ar-SA"/>
                      </w:rPr>
                    </w:pPr>
                    <w:hyperlink w:anchor="This_is_Wärtsilä" w:history="1">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w:t>
                      </w:r>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ämä on</w:t>
                      </w:r>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Wärtsilä     </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Sustainability"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Kestävä</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kehitys</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Governance"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Hallinnointi</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hyperlink w:anchor="Financial_review"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Taloudellinen</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katsaus</w:t>
                    </w:r>
                  </w:p>
                  <w:p w:rsidR="002A658B" w:rsidRPr="009969BF"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fi-FI" w:eastAsia="en-US" w:bidi="ar-SA"/>
                      </w:rPr>
                    </w:pPr>
                  </w:p>
                </w:txbxContent>
              </v:textbox>
            </v:shape>
          </w:pict>
        </mc:Fallback>
      </mc:AlternateContent>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3D6C" w:rsidRPr="00284DC3" w:rsidP="008C292C" w14:textId="77777777">
    <w:pPr>
      <w:pStyle w:val="WNormal"/>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40" w:afterAutospacing="0" w:line="276" w:lineRule="auto"/>
      <w:ind w:left="0" w:right="0" w:firstLine="0"/>
      <w:contextualSpacing w:val="0"/>
      <w:jc w:val="left"/>
      <w:outlineLvl w:val="9"/>
      <w:rPr>
        <w:rFonts w:eastAsia="Calibri"/>
        <w:b w:val="0"/>
        <w:bCs w:val="0"/>
        <w:i w:val="0"/>
        <w:iCs w:val="0"/>
        <w:caps w:val="0"/>
        <w:smallCaps w:val="0"/>
        <w:strike w:val="0"/>
        <w:dstrike w:val="0"/>
        <w:outline w:val="0"/>
        <w:shadow w:val="0"/>
        <w:emboss w:val="0"/>
        <w:imprint w:val="0"/>
        <w:noProof w:val="0"/>
        <w:vanish w:val="0"/>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pPr>
    <w:r w:rsidRPr="00B359C1">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drawing>
        <wp:anchor distT="0" distB="0" distL="114300" distR="114300" simplePos="0" relativeHeight="251719680" behindDoc="0" locked="0" layoutInCell="1" allowOverlap="1">
          <wp:simplePos x="0" y="0"/>
          <wp:positionH relativeFrom="page">
            <wp:posOffset>421005</wp:posOffset>
          </wp:positionH>
          <wp:positionV relativeFrom="page">
            <wp:posOffset>114935</wp:posOffset>
          </wp:positionV>
          <wp:extent cx="1080000" cy="687600"/>
          <wp:effectExtent l="0" t="0" r="6350" b="0"/>
          <wp:wrapNone/>
          <wp:docPr id="523227465" name="Picture 1"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498744" name="Picture 1" descr="Logo, company name&#10;&#10;Description automatically generated"/>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1080000" cy="687600"/>
                  </a:xfrm>
                  <a:prstGeom prst="rect">
                    <a:avLst/>
                  </a:prstGeom>
                </pic:spPr>
              </pic:pic>
            </a:graphicData>
          </a:graphic>
          <wp14:sizeRelH relativeFrom="page">
            <wp14:pctWidth>0</wp14:pctWidth>
          </wp14:sizeRelH>
          <wp14:sizeRelV relativeFrom="page">
            <wp14:pctHeight>0</wp14:pctHeight>
          </wp14:sizeRelV>
        </wp:anchor>
      </w:drawing>
    </w:r>
    <w:r w:rsidRPr="002A658B" w:rsidR="000119B7">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mc:AlternateContent>
        <mc:Choice Requires="wps">
          <w:drawing>
            <wp:anchor distT="45720" distB="45720" distL="114300" distR="114300" simplePos="0" relativeHeight="251696128" behindDoc="0" locked="0" layoutInCell="1" allowOverlap="1">
              <wp:simplePos x="0" y="0"/>
              <wp:positionH relativeFrom="page">
                <wp:posOffset>4984115</wp:posOffset>
              </wp:positionH>
              <wp:positionV relativeFrom="page">
                <wp:posOffset>433499</wp:posOffset>
              </wp:positionV>
              <wp:extent cx="5432400" cy="648000"/>
              <wp:effectExtent l="0" t="0" r="0" b="0"/>
              <wp:wrapNone/>
              <wp:docPr id="2052975949" name="Text Box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5432400" cy="648000"/>
                      </a:xfrm>
                      <a:prstGeom prst="rect">
                        <a:avLst/>
                      </a:prstGeom>
                      <a:solidFill>
                        <a:srgbClr val="FFFFFF"/>
                      </a:solidFill>
                      <a:ln w="9525">
                        <a:noFill/>
                        <a:miter lim="800000"/>
                        <a:headEnd/>
                        <a:tailEnd/>
                      </a:ln>
                    </wps:spPr>
                    <wps:txbx>
                      <w:txbxContent>
                        <w:p w:rsidR="002A658B" w:rsidRPr="009969BF" w:rsidP="00F32AA6" w14:textId="528003EC">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eastAsia="en-US" w:bidi="ar-SA"/>
                            </w:rPr>
                          </w:pPr>
                          <w:hyperlink w:anchor="This_is_Wärtsilä" w:history="1">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w:t>
                            </w:r>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ämä on</w:t>
                            </w:r>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Wärtsilä     </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Sustainability"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Kestävä</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kehitys</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Governance"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Hallinnointi</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hyperlink w:anchor="Financial_review"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Taloudellinen</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katsaus</w:t>
                          </w:r>
                        </w:p>
                        <w:p w:rsidR="002A658B" w:rsidRPr="009969BF"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fi-FI" w:eastAsia="en-US" w:bidi="ar-SA"/>
                            </w:rPr>
                          </w:pP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2068" type="#_x0000_t202" style="width:427.75pt;height:51.02pt;margin-top:34.13pt;margin-left:392.45pt;mso-height-percent:0;mso-height-relative:margin;mso-position-horizontal-relative:page;mso-position-vertical-relative:page;mso-width-percent:0;mso-width-relative:margin;mso-wrap-distance-bottom:3.6pt;mso-wrap-distance-left:9pt;mso-wrap-distance-right:9pt;mso-wrap-distance-top:3.6pt;position:absolute;v-text-anchor:top;z-index:251695104" fillcolor="white" stroked="f" strokeweight="0.75pt">
              <v:textbox>
                <w:txbxContent>
                  <w:p w:rsidR="002A658B" w:rsidRPr="009969BF" w:rsidP="00F32AA6" w14:textId="528003EC">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eastAsia="en-US" w:bidi="ar-SA"/>
                      </w:rPr>
                    </w:pPr>
                    <w:hyperlink w:anchor="This_is_Wärtsilä" w:history="1">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w:t>
                      </w:r>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ämä on</w:t>
                      </w:r>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Wärtsilä     </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Sustainability"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Kestävä</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kehitys</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Governance"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Hallinnointi</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hyperlink w:anchor="Financial_review"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Taloudellinen</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katsaus</w:t>
                    </w:r>
                  </w:p>
                  <w:p w:rsidR="002A658B" w:rsidRPr="009969BF"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fi-FI" w:eastAsia="en-US" w:bidi="ar-SA"/>
                      </w:rPr>
                    </w:pP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tbl>
    <w:tblPr>
      <w:tblStyle w:val="TableGrid"/>
      <w:tblpPr w:leftFromText="180" w:rightFromText="180" w:vertAnchor="page" w:horzAnchor="page" w:tblpX="5511" w:tblpY="1036"/>
      <w:tblW w:w="37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711"/>
      <w:gridCol w:w="1024"/>
    </w:tblGrid>
    <w:tr w14:paraId="071989A2" w14:textId="77777777" w:rsidTr="008B432D">
      <w:tblPrEx>
        <w:tblW w:w="37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2711" w:type="dxa"/>
          <w:vAlign w:val="center"/>
        </w:tcPr>
        <w:p w:rsidR="008B432D" w:rsidP="008B432D" w14:paraId="030CAD27" w14:textId="77777777">
          <w:pPr>
            <w:pStyle w:val="Header"/>
            <w:numPr>
              <w:ilvl w:val="0"/>
              <w:numId w:val="0"/>
            </w:numPr>
            <w:rPr>
              <w:rFonts w:ascii="Georgia" w:eastAsia="Arial" w:hAnsi="Georgia"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0"/>
              <w:szCs w:val="20"/>
              <w:highlight w:val="none"/>
              <w:u w:val="none"/>
              <w:effect w:val="none"/>
              <w:bdr w:val="none" w:sz="0" w:space="0" w:color="auto"/>
              <w:shd w:val="clear" w:color="auto" w:fill="auto"/>
              <w:vertAlign w:val="baseline"/>
              <w:rtl w:val="0"/>
              <w:cs w:val="0"/>
              <w:lang w:val="en-GB" w:eastAsia="en-US" w:bidi="ar-SA"/>
            </w:rPr>
          </w:pPr>
        </w:p>
      </w:tc>
      <w:tc>
        <w:tcPr>
          <w:tcW w:w="1024" w:type="dxa"/>
          <w:vAlign w:val="center"/>
        </w:tcPr>
        <w:p w:rsidR="008B432D" w:rsidP="008B432D" w14:paraId="185B7162" w14:textId="77777777">
          <w:pPr>
            <w:pStyle w:val="Footer"/>
            <w:numPr>
              <w:ilvl w:val="0"/>
              <w:numId w:val="0"/>
            </w:numPr>
            <w:jc w:val="right"/>
            <w:rPr>
              <w:rFonts w:ascii="Georgia" w:eastAsia="Arial" w:hAnsi="Georgia"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0"/>
              <w:szCs w:val="20"/>
              <w:highlight w:val="none"/>
              <w:u w:val="none"/>
              <w:effect w:val="none"/>
              <w:bdr w:val="none" w:sz="0" w:space="0" w:color="auto"/>
              <w:shd w:val="clear" w:color="auto" w:fill="auto"/>
              <w:vertAlign w:val="baseline"/>
              <w:rtl w:val="0"/>
              <w:cs w:val="0"/>
              <w:lang w:val="en-GB" w:eastAsia="en-US" w:bidi="ar-SA"/>
            </w:rPr>
          </w:pPr>
        </w:p>
      </w:tc>
    </w:tr>
  </w:tbl>
  <w:p w:rsidR="00F825C5" w:rsidRPr="00255C36" w:rsidP="007D64C1" w14:paraId="79C1CBD6" w14:textId="77777777">
    <w:pPr>
      <w:pStyle w:val="Heade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40" w:afterAutospacing="0" w:line="240" w:lineRule="auto"/>
      <w:ind w:left="0" w:right="0" w:firstLine="0"/>
      <w:contextualSpacing w:val="0"/>
      <w:jc w:val="left"/>
      <w:outlineLvl w:val="9"/>
      <w:rPr>
        <w:rFonts w:ascii="Georgia" w:eastAsia="Arial" w:hAnsi="Georgia"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0"/>
        <w:szCs w:val="20"/>
        <w:highlight w:val="none"/>
        <w:u w:val="none"/>
        <w:effect w:val="none"/>
        <w:bdr w:val="none" w:sz="0" w:space="0" w:color="auto"/>
        <w:shd w:val="clear" w:color="auto" w:fill="auto"/>
        <w:vertAlign w:val="baseline"/>
        <w:rtl w:val="0"/>
        <w:cs w:val="0"/>
        <w:lang w:val="en-GB" w:eastAsia="en-US" w:bidi="ar-SA"/>
      </w:rPr>
    </w:pPr>
    <w:r>
      <w:rPr>
        <w:rFonts w:ascii="Georgia" w:eastAsia="Arial" w:hAnsi="Georgia" w:cs="Times New Roman"/>
        <w:b w:val="0"/>
        <w:bCs w:val="0"/>
        <w:i w:val="0"/>
        <w:iCs w:val="0"/>
        <w:caps w:val="0"/>
        <w:smallCaps w:val="0"/>
        <w:strike w:val="0"/>
        <w:dstrike w:val="0"/>
        <w:outline w:val="0"/>
        <w:shadow w:val="0"/>
        <w:emboss w:val="0"/>
        <w:imprint w:val="0"/>
        <w:noProof/>
        <w:vanish w:val="0"/>
        <w:color w:val="auto"/>
        <w:spacing w:val="0"/>
        <w:w w:val="100"/>
        <w:kern w:val="0"/>
        <w:position w:val="0"/>
        <w:sz w:val="20"/>
        <w:szCs w:val="20"/>
        <w:highlight w:val="none"/>
        <w:u w:val="none"/>
        <w:effect w:val="none"/>
        <w:bdr w:val="none" w:sz="0" w:space="0" w:color="auto"/>
        <w:shd w:val="clear" w:color="auto" w:fill="auto"/>
        <w:vertAlign w:val="baseline"/>
        <w:rtl w:val="0"/>
        <w:cs w:val="0"/>
        <w:lang w:val="en-US" w:eastAsia="zh-CN" w:bidi="ar-SA"/>
      </w:rPr>
      <w:drawing>
        <wp:anchor distT="0" distB="0" distL="114300" distR="114300" simplePos="0" relativeHeight="251700224" behindDoc="0" locked="1" layoutInCell="1" allowOverlap="1">
          <wp:simplePos x="0" y="0"/>
          <wp:positionH relativeFrom="page">
            <wp:posOffset>428625</wp:posOffset>
          </wp:positionH>
          <wp:positionV relativeFrom="page">
            <wp:posOffset>205105</wp:posOffset>
          </wp:positionV>
          <wp:extent cx="1409700" cy="1190625"/>
          <wp:effectExtent l="0" t="0" r="0" b="0"/>
          <wp:wrapNone/>
          <wp:docPr id="1861789773" name="Picture 3" descr="PwC_fl_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372708" name="PwC_fl_c.png"/>
                  <pic:cNvPicPr/>
                </pic:nvPicPr>
                <pic:blipFill>
                  <a:blip xmlns:r="http://schemas.openxmlformats.org/officeDocument/2006/relationships" r:embed="rId1"/>
                  <a:stretch>
                    <a:fillRect/>
                  </a:stretch>
                </pic:blipFill>
                <pic:spPr>
                  <a:xfrm>
                    <a:off x="0" y="0"/>
                    <a:ext cx="1409700" cy="1190625"/>
                  </a:xfrm>
                  <a:prstGeom prst="rect">
                    <a:avLst/>
                  </a:prstGeom>
                </pic:spPr>
              </pic:pic>
            </a:graphicData>
          </a:graphic>
        </wp:anchor>
      </w:drawing>
    </w: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tbl>
    <w:tblPr>
      <w:tblStyle w:val="TableGrid"/>
      <w:tblpPr w:leftFromText="180" w:rightFromText="180" w:vertAnchor="page" w:horzAnchor="page" w:tblpX="5511" w:tblpY="1036"/>
      <w:tblW w:w="37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711"/>
      <w:gridCol w:w="1024"/>
    </w:tblGrid>
    <w:tr w14:paraId="071989A2" w14:textId="77777777" w:rsidTr="008B432D">
      <w:tblPrEx>
        <w:tblW w:w="37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c>
        <w:tcPr>
          <w:tcW w:w="2711" w:type="dxa"/>
          <w:vAlign w:val="center"/>
        </w:tcPr>
        <w:p w:rsidR="008B432D" w:rsidP="008B432D" w14:paraId="030CAD27" w14:textId="77777777">
          <w:pPr>
            <w:pStyle w:val="Header"/>
            <w:numPr>
              <w:ilvl w:val="0"/>
              <w:numId w:val="0"/>
            </w:numPr>
            <w:rPr>
              <w:rFonts w:ascii="Georgia" w:eastAsia="Arial" w:hAnsi="Georgia"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0"/>
              <w:szCs w:val="20"/>
              <w:highlight w:val="none"/>
              <w:u w:val="none"/>
              <w:effect w:val="none"/>
              <w:bdr w:val="none" w:sz="0" w:space="0" w:color="auto"/>
              <w:shd w:val="clear" w:color="auto" w:fill="auto"/>
              <w:vertAlign w:val="baseline"/>
              <w:rtl w:val="0"/>
              <w:cs w:val="0"/>
              <w:lang w:val="en-GB" w:eastAsia="en-US" w:bidi="ar-SA"/>
            </w:rPr>
          </w:pPr>
        </w:p>
      </w:tc>
      <w:tc>
        <w:tcPr>
          <w:tcW w:w="1024" w:type="dxa"/>
          <w:vAlign w:val="center"/>
        </w:tcPr>
        <w:p w:rsidR="008B432D" w:rsidP="008B432D" w14:paraId="185B7162" w14:textId="77777777">
          <w:pPr>
            <w:pStyle w:val="Footer"/>
            <w:numPr>
              <w:ilvl w:val="0"/>
              <w:numId w:val="0"/>
            </w:numPr>
            <w:jc w:val="right"/>
            <w:rPr>
              <w:rFonts w:ascii="Georgia" w:eastAsia="Arial" w:hAnsi="Georgia"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0"/>
              <w:szCs w:val="20"/>
              <w:highlight w:val="none"/>
              <w:u w:val="none"/>
              <w:effect w:val="none"/>
              <w:bdr w:val="none" w:sz="0" w:space="0" w:color="auto"/>
              <w:shd w:val="clear" w:color="auto" w:fill="auto"/>
              <w:vertAlign w:val="baseline"/>
              <w:rtl w:val="0"/>
              <w:cs w:val="0"/>
              <w:lang w:val="en-GB" w:eastAsia="en-US" w:bidi="ar-SA"/>
            </w:rPr>
          </w:pPr>
        </w:p>
      </w:tc>
    </w:tr>
  </w:tbl>
  <w:p w:rsidR="00F825C5" w:rsidRPr="00255C36" w:rsidP="007D64C1" w14:paraId="79C1CBD6" w14:textId="77777777">
    <w:pPr>
      <w:pStyle w:val="Heade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40" w:afterAutospacing="0" w:line="240" w:lineRule="auto"/>
      <w:ind w:left="0" w:right="0" w:firstLine="0"/>
      <w:contextualSpacing w:val="0"/>
      <w:jc w:val="left"/>
      <w:outlineLvl w:val="9"/>
      <w:rPr>
        <w:rFonts w:ascii="Georgia" w:eastAsia="Arial" w:hAnsi="Georgia"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0"/>
        <w:szCs w:val="20"/>
        <w:highlight w:val="none"/>
        <w:u w:val="none"/>
        <w:effect w:val="none"/>
        <w:bdr w:val="none" w:sz="0" w:space="0" w:color="auto"/>
        <w:shd w:val="clear" w:color="auto" w:fill="auto"/>
        <w:vertAlign w:val="baseline"/>
        <w:rtl w:val="0"/>
        <w:cs w:val="0"/>
        <w:lang w:val="en-GB" w:eastAsia="en-US" w:bidi="ar-SA"/>
      </w:rPr>
    </w:pPr>
    <w:r>
      <w:rPr>
        <w:rFonts w:ascii="Georgia" w:eastAsia="Arial" w:hAnsi="Georgia" w:cs="Times New Roman"/>
        <w:b w:val="0"/>
        <w:bCs w:val="0"/>
        <w:i w:val="0"/>
        <w:iCs w:val="0"/>
        <w:caps w:val="0"/>
        <w:smallCaps w:val="0"/>
        <w:strike w:val="0"/>
        <w:dstrike w:val="0"/>
        <w:outline w:val="0"/>
        <w:shadow w:val="0"/>
        <w:emboss w:val="0"/>
        <w:imprint w:val="0"/>
        <w:noProof/>
        <w:vanish w:val="0"/>
        <w:color w:val="auto"/>
        <w:spacing w:val="0"/>
        <w:w w:val="100"/>
        <w:kern w:val="0"/>
        <w:position w:val="0"/>
        <w:sz w:val="20"/>
        <w:szCs w:val="20"/>
        <w:highlight w:val="none"/>
        <w:u w:val="none"/>
        <w:effect w:val="none"/>
        <w:bdr w:val="none" w:sz="0" w:space="0" w:color="auto"/>
        <w:shd w:val="clear" w:color="auto" w:fill="auto"/>
        <w:vertAlign w:val="baseline"/>
        <w:rtl w:val="0"/>
        <w:cs w:val="0"/>
        <w:lang w:val="en-US" w:eastAsia="zh-CN" w:bidi="ar-SA"/>
      </w:rPr>
      <w:drawing>
        <wp:anchor distT="0" distB="0" distL="114300" distR="114300" simplePos="0" relativeHeight="251699200" behindDoc="0" locked="1" layoutInCell="1" allowOverlap="1">
          <wp:simplePos x="0" y="0"/>
          <wp:positionH relativeFrom="page">
            <wp:posOffset>428625</wp:posOffset>
          </wp:positionH>
          <wp:positionV relativeFrom="page">
            <wp:posOffset>205105</wp:posOffset>
          </wp:positionV>
          <wp:extent cx="1409700" cy="1190625"/>
          <wp:effectExtent l="0" t="0" r="0" b="0"/>
          <wp:wrapNone/>
          <wp:docPr id="554585687" name="Picture 3" descr="PwC_fl_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877949" name="PwC_fl_c.png"/>
                  <pic:cNvPicPr/>
                </pic:nvPicPr>
                <pic:blipFill>
                  <a:blip xmlns:r="http://schemas.openxmlformats.org/officeDocument/2006/relationships" r:embed="rId1"/>
                  <a:stretch>
                    <a:fillRect/>
                  </a:stretch>
                </pic:blipFill>
                <pic:spPr>
                  <a:xfrm>
                    <a:off x="0" y="0"/>
                    <a:ext cx="1409700" cy="1190625"/>
                  </a:xfrm>
                  <a:prstGeom prst="rect">
                    <a:avLst/>
                  </a:prstGeom>
                </pic:spPr>
              </pic:pic>
            </a:graphicData>
          </a:graphic>
        </wp:anchor>
      </w:drawing>
    </w: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3D6C" w:rsidRPr="00284DC3" w:rsidP="008C292C" w14:textId="77777777">
    <w:pPr>
      <w:pStyle w:val="WNormal"/>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40" w:afterAutospacing="0" w:line="276" w:lineRule="auto"/>
      <w:ind w:left="0" w:right="0" w:firstLine="0"/>
      <w:contextualSpacing w:val="0"/>
      <w:jc w:val="left"/>
      <w:outlineLvl w:val="9"/>
      <w:rPr>
        <w:rFonts w:eastAsia="Calibri"/>
        <w:b w:val="0"/>
        <w:bCs w:val="0"/>
        <w:i w:val="0"/>
        <w:iCs w:val="0"/>
        <w:caps w:val="0"/>
        <w:smallCaps w:val="0"/>
        <w:strike w:val="0"/>
        <w:dstrike w:val="0"/>
        <w:outline w:val="0"/>
        <w:shadow w:val="0"/>
        <w:emboss w:val="0"/>
        <w:imprint w:val="0"/>
        <w:noProof w:val="0"/>
        <w:vanish w:val="0"/>
        <w:w w:val="100"/>
        <w:kern w:val="0"/>
        <w:position w:val="0"/>
        <w:szCs w:val="17"/>
        <w:highlight w:val="none"/>
        <w:u w:val="none"/>
        <w:effect w:val="none"/>
        <w:bdr w:val="none" w:sz="0" w:space="0" w:color="auto"/>
        <w:shd w:val="clear" w:color="auto" w:fill="auto"/>
        <w:vertAlign w:val="baseline"/>
        <w:rtl w:val="0"/>
        <w:cs w:val="0"/>
        <w:lang w:val="en-GB" w:eastAsia="en-US" w:bidi="ar-SA"/>
      </w:rPr>
    </w:pPr>
    <w:r w:rsidRPr="00B359C1">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drawing>
        <wp:anchor distT="0" distB="0" distL="114300" distR="114300" simplePos="0" relativeHeight="251704320" behindDoc="0" locked="0" layoutInCell="1" allowOverlap="1">
          <wp:simplePos x="0" y="0"/>
          <wp:positionH relativeFrom="page">
            <wp:posOffset>421005</wp:posOffset>
          </wp:positionH>
          <wp:positionV relativeFrom="page">
            <wp:posOffset>114935</wp:posOffset>
          </wp:positionV>
          <wp:extent cx="1080000" cy="687600"/>
          <wp:effectExtent l="0" t="0" r="6350" b="0"/>
          <wp:wrapNone/>
          <wp:docPr id="1744614725" name="Picture 1"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815939" name="Picture 1" descr="Logo, company name&#10;&#10;Description automatically generated"/>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1080000" cy="687600"/>
                  </a:xfrm>
                  <a:prstGeom prst="rect">
                    <a:avLst/>
                  </a:prstGeom>
                </pic:spPr>
              </pic:pic>
            </a:graphicData>
          </a:graphic>
          <wp14:sizeRelH relativeFrom="page">
            <wp14:pctWidth>0</wp14:pctWidth>
          </wp14:sizeRelH>
          <wp14:sizeRelV relativeFrom="page">
            <wp14:pctHeight>0</wp14:pctHeight>
          </wp14:sizeRelV>
        </wp:anchor>
      </w:drawing>
    </w:r>
    <w:r w:rsidRPr="002A658B" w:rsidR="000119B7">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mc:AlternateContent>
        <mc:Choice Requires="wps">
          <w:drawing>
            <wp:anchor distT="45720" distB="45720" distL="114300" distR="114300" simplePos="0" relativeHeight="251665408" behindDoc="0" locked="0" layoutInCell="1" allowOverlap="1">
              <wp:simplePos x="0" y="0"/>
              <wp:positionH relativeFrom="page">
                <wp:posOffset>4984115</wp:posOffset>
              </wp:positionH>
              <wp:positionV relativeFrom="page">
                <wp:posOffset>433499</wp:posOffset>
              </wp:positionV>
              <wp:extent cx="5432400" cy="648000"/>
              <wp:effectExtent l="0" t="0" r="0" b="0"/>
              <wp:wrapNone/>
              <wp:docPr id="2076553864" name="Text Box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5432400" cy="648000"/>
                      </a:xfrm>
                      <a:prstGeom prst="rect">
                        <a:avLst/>
                      </a:prstGeom>
                      <a:solidFill>
                        <a:srgbClr val="FFFFFF"/>
                      </a:solidFill>
                      <a:ln w="9525">
                        <a:noFill/>
                        <a:miter lim="800000"/>
                        <a:headEnd/>
                        <a:tailEnd/>
                      </a:ln>
                    </wps:spPr>
                    <wps:txbx>
                      <w:txbxContent>
                        <w:p w:rsidR="002A658B" w:rsidRPr="009969BF" w:rsidP="00F32AA6" w14:textId="528003EC">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eastAsia="en-US" w:bidi="ar-SA"/>
                            </w:rPr>
                          </w:pPr>
                          <w:hyperlink w:anchor="This_is_Wärtsilä" w:history="1">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w:t>
                            </w:r>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ämä on</w:t>
                            </w:r>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Wärtsilä     </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Sustainability"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Kestävä</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kehitys</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Governance"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Hallinnointi</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hyperlink w:anchor="Financial_review"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Taloudellinen</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katsaus</w:t>
                          </w:r>
                        </w:p>
                        <w:p w:rsidR="002A658B" w:rsidRPr="009969BF"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fi-FI" w:eastAsia="en-US" w:bidi="ar-SA"/>
                            </w:rPr>
                          </w:pP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2051" type="#_x0000_t202" style="width:427.75pt;height:51.02pt;margin-top:34.13pt;margin-left:392.45pt;mso-height-percent:0;mso-height-relative:margin;mso-position-horizontal-relative:page;mso-position-vertical-relative:page;mso-width-percent:0;mso-width-relative:margin;mso-wrap-distance-bottom:3.6pt;mso-wrap-distance-left:9pt;mso-wrap-distance-right:9pt;mso-wrap-distance-top:3.6pt;position:absolute;v-text-anchor:top;z-index:251664384" fillcolor="white" stroked="f" strokeweight="0.75pt">
              <v:textbox>
                <w:txbxContent>
                  <w:p w:rsidR="002A658B" w:rsidRPr="009969BF" w:rsidP="00F32AA6" w14:textId="528003EC">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eastAsia="en-US" w:bidi="ar-SA"/>
                      </w:rPr>
                    </w:pPr>
                    <w:hyperlink w:anchor="This_is_Wärtsilä" w:history="1">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w:t>
                      </w:r>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ämä on</w:t>
                      </w:r>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Wärtsilä     </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Sustainability"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Kestävä</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kehitys</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Governance"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Hallinnointi</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hyperlink w:anchor="Financial_review"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Taloudellinen</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katsaus</w:t>
                    </w:r>
                  </w:p>
                  <w:p w:rsidR="002A658B" w:rsidRPr="009969BF"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fi-FI" w:eastAsia="en-US" w:bidi="ar-SA"/>
                      </w:rPr>
                    </w:pPr>
                  </w:p>
                </w:txbxContent>
              </v:textbox>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3D6C" w:rsidRPr="00284DC3" w:rsidP="008C292C" w14:textId="77777777">
    <w:pPr>
      <w:pStyle w:val="WNormal"/>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40" w:afterAutospacing="0" w:line="276" w:lineRule="auto"/>
      <w:ind w:left="0" w:right="0" w:firstLine="0"/>
      <w:contextualSpacing w:val="0"/>
      <w:jc w:val="left"/>
      <w:outlineLvl w:val="9"/>
      <w:rPr>
        <w:rFonts w:eastAsia="Calibri"/>
        <w:b w:val="0"/>
        <w:bCs w:val="0"/>
        <w:i w:val="0"/>
        <w:iCs w:val="0"/>
        <w:caps w:val="0"/>
        <w:smallCaps w:val="0"/>
        <w:strike w:val="0"/>
        <w:dstrike w:val="0"/>
        <w:outline w:val="0"/>
        <w:shadow w:val="0"/>
        <w:emboss w:val="0"/>
        <w:imprint w:val="0"/>
        <w:noProof w:val="0"/>
        <w:vanish w:val="0"/>
        <w:w w:val="100"/>
        <w:kern w:val="0"/>
        <w:position w:val="0"/>
        <w:szCs w:val="17"/>
        <w:highlight w:val="none"/>
        <w:u w:val="none"/>
        <w:effect w:val="none"/>
        <w:bdr w:val="none" w:sz="0" w:space="0" w:color="auto"/>
        <w:shd w:val="clear" w:color="auto" w:fill="auto"/>
        <w:vertAlign w:val="baseline"/>
        <w:rtl w:val="0"/>
        <w:cs w:val="0"/>
        <w:lang w:val="en-GB" w:eastAsia="en-US" w:bidi="ar-SA"/>
      </w:rPr>
    </w:pPr>
    <w:r w:rsidRPr="00B359C1">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drawing>
        <wp:anchor distT="0" distB="0" distL="114300" distR="114300" simplePos="0" relativeHeight="251703296" behindDoc="0" locked="0" layoutInCell="1" allowOverlap="1">
          <wp:simplePos x="0" y="0"/>
          <wp:positionH relativeFrom="page">
            <wp:posOffset>421005</wp:posOffset>
          </wp:positionH>
          <wp:positionV relativeFrom="page">
            <wp:posOffset>114935</wp:posOffset>
          </wp:positionV>
          <wp:extent cx="1080000" cy="687600"/>
          <wp:effectExtent l="0" t="0" r="6350" b="0"/>
          <wp:wrapNone/>
          <wp:docPr id="1157597048" name="Picture 1"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454236" name="Picture 1" descr="Logo, company name&#10;&#10;Description automatically generated"/>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1080000" cy="687600"/>
                  </a:xfrm>
                  <a:prstGeom prst="rect">
                    <a:avLst/>
                  </a:prstGeom>
                </pic:spPr>
              </pic:pic>
            </a:graphicData>
          </a:graphic>
          <wp14:sizeRelH relativeFrom="page">
            <wp14:pctWidth>0</wp14:pctWidth>
          </wp14:sizeRelH>
          <wp14:sizeRelV relativeFrom="page">
            <wp14:pctHeight>0</wp14:pctHeight>
          </wp14:sizeRelV>
        </wp:anchor>
      </w:drawing>
    </w:r>
    <w:r w:rsidRPr="002A658B" w:rsidR="000119B7">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mc:AlternateContent>
        <mc:Choice Requires="wps">
          <w:drawing>
            <wp:anchor distT="45720" distB="45720" distL="114300" distR="114300" simplePos="0" relativeHeight="251663360" behindDoc="0" locked="0" layoutInCell="1" allowOverlap="1">
              <wp:simplePos x="0" y="0"/>
              <wp:positionH relativeFrom="page">
                <wp:posOffset>4984115</wp:posOffset>
              </wp:positionH>
              <wp:positionV relativeFrom="page">
                <wp:posOffset>433499</wp:posOffset>
              </wp:positionV>
              <wp:extent cx="5432400" cy="648000"/>
              <wp:effectExtent l="0" t="0" r="0" b="0"/>
              <wp:wrapNone/>
              <wp:docPr id="1730229703" name="Text Box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5432400" cy="648000"/>
                      </a:xfrm>
                      <a:prstGeom prst="rect">
                        <a:avLst/>
                      </a:prstGeom>
                      <a:solidFill>
                        <a:srgbClr val="FFFFFF"/>
                      </a:solidFill>
                      <a:ln w="9525">
                        <a:noFill/>
                        <a:miter lim="800000"/>
                        <a:headEnd/>
                        <a:tailEnd/>
                      </a:ln>
                    </wps:spPr>
                    <wps:txbx>
                      <w:txbxContent>
                        <w:p w:rsidR="002A658B" w:rsidRPr="009969BF" w:rsidP="00F32AA6" w14:textId="528003EC">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eastAsia="en-US" w:bidi="ar-SA"/>
                            </w:rPr>
                          </w:pPr>
                          <w:hyperlink w:anchor="This_is_Wärtsilä" w:history="1">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w:t>
                            </w:r>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ämä on</w:t>
                            </w:r>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Wärtsilä     </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Sustainability"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Kestävä</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kehitys</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Governance"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Hallinnointi</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hyperlink w:anchor="Financial_review"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Taloudellinen</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katsaus</w:t>
                          </w:r>
                        </w:p>
                        <w:p w:rsidR="002A658B" w:rsidRPr="009969BF"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fi-FI" w:eastAsia="en-US" w:bidi="ar-SA"/>
                            </w:rPr>
                          </w:pP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2052" type="#_x0000_t202" style="width:427.75pt;height:51.02pt;margin-top:34.13pt;margin-left:392.45pt;mso-height-percent:0;mso-height-relative:margin;mso-position-horizontal-relative:page;mso-position-vertical-relative:page;mso-width-percent:0;mso-width-relative:margin;mso-wrap-distance-bottom:3.6pt;mso-wrap-distance-left:9pt;mso-wrap-distance-right:9pt;mso-wrap-distance-top:3.6pt;position:absolute;v-text-anchor:top;z-index:251662336" fillcolor="white" stroked="f" strokeweight="0.75pt">
              <v:textbox>
                <w:txbxContent>
                  <w:p w:rsidR="002A658B" w:rsidRPr="009969BF" w:rsidP="00F32AA6" w14:textId="528003EC">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eastAsia="en-US" w:bidi="ar-SA"/>
                      </w:rPr>
                    </w:pPr>
                    <w:hyperlink w:anchor="This_is_Wärtsilä" w:history="1">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w:t>
                      </w:r>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ämä on</w:t>
                      </w:r>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Wärtsilä     </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Sustainability"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Kestävä</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kehitys</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Governance"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Hallinnointi</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hyperlink w:anchor="Financial_review"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Taloudellinen</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katsaus</w:t>
                    </w:r>
                  </w:p>
                  <w:p w:rsidR="002A658B" w:rsidRPr="009969BF"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fi-FI" w:eastAsia="en-US" w:bidi="ar-SA"/>
                      </w:rPr>
                    </w:pPr>
                  </w:p>
                </w:txbxContent>
              </v:textbox>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3D6C" w:rsidRPr="00284DC3" w:rsidP="008C292C" w14:textId="77777777">
    <w:pPr>
      <w:pStyle w:val="WNormal"/>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40" w:afterAutospacing="0" w:line="276" w:lineRule="auto"/>
      <w:ind w:left="0" w:right="0" w:firstLine="0"/>
      <w:contextualSpacing w:val="0"/>
      <w:jc w:val="left"/>
      <w:outlineLvl w:val="9"/>
      <w:rPr>
        <w:rFonts w:eastAsia="Calibri"/>
        <w:b w:val="0"/>
        <w:bCs w:val="0"/>
        <w:i w:val="0"/>
        <w:iCs w:val="0"/>
        <w:caps w:val="0"/>
        <w:smallCaps w:val="0"/>
        <w:strike w:val="0"/>
        <w:dstrike w:val="0"/>
        <w:outline w:val="0"/>
        <w:shadow w:val="0"/>
        <w:emboss w:val="0"/>
        <w:imprint w:val="0"/>
        <w:noProof w:val="0"/>
        <w:vanish w:val="0"/>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pPr>
    <w:r w:rsidRPr="00B359C1">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drawing>
        <wp:anchor distT="0" distB="0" distL="114300" distR="114300" simplePos="0" relativeHeight="251706368" behindDoc="0" locked="0" layoutInCell="1" allowOverlap="1">
          <wp:simplePos x="0" y="0"/>
          <wp:positionH relativeFrom="page">
            <wp:posOffset>421005</wp:posOffset>
          </wp:positionH>
          <wp:positionV relativeFrom="page">
            <wp:posOffset>114935</wp:posOffset>
          </wp:positionV>
          <wp:extent cx="1080000" cy="687600"/>
          <wp:effectExtent l="0" t="0" r="6350" b="0"/>
          <wp:wrapNone/>
          <wp:docPr id="724379593" name="Picture 1"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219050" name="Picture 1" descr="Logo, company name&#10;&#10;Description automatically generated"/>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1080000" cy="687600"/>
                  </a:xfrm>
                  <a:prstGeom prst="rect">
                    <a:avLst/>
                  </a:prstGeom>
                </pic:spPr>
              </pic:pic>
            </a:graphicData>
          </a:graphic>
          <wp14:sizeRelH relativeFrom="page">
            <wp14:pctWidth>0</wp14:pctWidth>
          </wp14:sizeRelH>
          <wp14:sizeRelV relativeFrom="page">
            <wp14:pctHeight>0</wp14:pctHeight>
          </wp14:sizeRelV>
        </wp:anchor>
      </w:drawing>
    </w:r>
    <w:r w:rsidRPr="002A658B" w:rsidR="000119B7">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mc:AlternateContent>
        <mc:Choice Requires="wps">
          <w:drawing>
            <wp:anchor distT="45720" distB="45720" distL="114300" distR="114300" simplePos="0" relativeHeight="251669504" behindDoc="0" locked="0" layoutInCell="1" allowOverlap="1">
              <wp:simplePos x="0" y="0"/>
              <wp:positionH relativeFrom="page">
                <wp:posOffset>4984115</wp:posOffset>
              </wp:positionH>
              <wp:positionV relativeFrom="page">
                <wp:posOffset>433499</wp:posOffset>
              </wp:positionV>
              <wp:extent cx="5432400" cy="648000"/>
              <wp:effectExtent l="0" t="0" r="0" b="0"/>
              <wp:wrapNone/>
              <wp:docPr id="2067884507" name="Text Box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5432400" cy="648000"/>
                      </a:xfrm>
                      <a:prstGeom prst="rect">
                        <a:avLst/>
                      </a:prstGeom>
                      <a:solidFill>
                        <a:srgbClr val="FFFFFF"/>
                      </a:solidFill>
                      <a:ln w="9525">
                        <a:noFill/>
                        <a:miter lim="800000"/>
                        <a:headEnd/>
                        <a:tailEnd/>
                      </a:ln>
                    </wps:spPr>
                    <wps:txbx>
                      <w:txbxContent>
                        <w:p w:rsidR="002A658B" w:rsidRPr="009969BF" w:rsidP="00F32AA6" w14:textId="528003EC">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eastAsia="en-US" w:bidi="ar-SA"/>
                            </w:rPr>
                          </w:pPr>
                          <w:hyperlink w:anchor="This_is_Wärtsilä" w:history="1">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w:t>
                            </w:r>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ämä on</w:t>
                            </w:r>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Wärtsilä     </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Sustainability"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Kestävä</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kehitys</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Governance"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Hallinnointi</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hyperlink w:anchor="Financial_review"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Taloudellinen</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katsaus</w:t>
                          </w:r>
                        </w:p>
                        <w:p w:rsidR="002A658B" w:rsidRPr="009969BF"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fi-FI" w:eastAsia="en-US" w:bidi="ar-SA"/>
                            </w:rPr>
                          </w:pP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2053" type="#_x0000_t202" style="width:427.75pt;height:51.02pt;margin-top:34.13pt;margin-left:392.45pt;mso-height-percent:0;mso-height-relative:margin;mso-position-horizontal-relative:page;mso-position-vertical-relative:page;mso-width-percent:0;mso-width-relative:margin;mso-wrap-distance-bottom:3.6pt;mso-wrap-distance-left:9pt;mso-wrap-distance-right:9pt;mso-wrap-distance-top:3.6pt;position:absolute;v-text-anchor:top;z-index:251668480" fillcolor="white" stroked="f" strokeweight="0.75pt">
              <v:textbox>
                <w:txbxContent>
                  <w:p w:rsidR="002A658B" w:rsidRPr="009969BF" w:rsidP="00F32AA6" w14:textId="528003EC">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eastAsia="en-US" w:bidi="ar-SA"/>
                      </w:rPr>
                    </w:pPr>
                    <w:hyperlink w:anchor="This_is_Wärtsilä" w:history="1">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w:t>
                      </w:r>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ämä on</w:t>
                      </w:r>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Wärtsilä     </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Sustainability"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Kestävä</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kehitys</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Governance"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Hallinnointi</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hyperlink w:anchor="Financial_review"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Taloudellinen</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katsaus</w:t>
                    </w:r>
                  </w:p>
                  <w:p w:rsidR="002A658B" w:rsidRPr="009969BF"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fi-FI" w:eastAsia="en-US" w:bidi="ar-SA"/>
                      </w:rPr>
                    </w:pPr>
                  </w:p>
                </w:txbxContent>
              </v:textbox>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3D6C" w:rsidRPr="00284DC3" w:rsidP="008C292C" w14:textId="77777777">
    <w:pPr>
      <w:pStyle w:val="WNormal"/>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40" w:afterAutospacing="0" w:line="276" w:lineRule="auto"/>
      <w:ind w:left="0" w:right="0" w:firstLine="0"/>
      <w:contextualSpacing w:val="0"/>
      <w:jc w:val="left"/>
      <w:outlineLvl w:val="9"/>
      <w:rPr>
        <w:rFonts w:eastAsia="Calibri"/>
        <w:b w:val="0"/>
        <w:bCs w:val="0"/>
        <w:i w:val="0"/>
        <w:iCs w:val="0"/>
        <w:caps w:val="0"/>
        <w:smallCaps w:val="0"/>
        <w:strike w:val="0"/>
        <w:dstrike w:val="0"/>
        <w:outline w:val="0"/>
        <w:shadow w:val="0"/>
        <w:emboss w:val="0"/>
        <w:imprint w:val="0"/>
        <w:noProof w:val="0"/>
        <w:vanish w:val="0"/>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pPr>
    <w:r w:rsidRPr="00B359C1">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w:drawing>
        <wp:anchor distT="0" distB="0" distL="114300" distR="114300" simplePos="0" relativeHeight="251705344" behindDoc="0" locked="0" layoutInCell="1" allowOverlap="1">
          <wp:simplePos x="0" y="0"/>
          <wp:positionH relativeFrom="page">
            <wp:posOffset>421005</wp:posOffset>
          </wp:positionH>
          <wp:positionV relativeFrom="page">
            <wp:posOffset>114935</wp:posOffset>
          </wp:positionV>
          <wp:extent cx="1080000" cy="687600"/>
          <wp:effectExtent l="0" t="0" r="6350" b="0"/>
          <wp:wrapNone/>
          <wp:docPr id="960264585" name="Picture 1"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296600" name="Picture 1" descr="Logo, company name&#10;&#10;Description automatically generated"/>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1080000" cy="687600"/>
                  </a:xfrm>
                  <a:prstGeom prst="rect">
                    <a:avLst/>
                  </a:prstGeom>
                </pic:spPr>
              </pic:pic>
            </a:graphicData>
          </a:graphic>
          <wp14:sizeRelH relativeFrom="page">
            <wp14:pctWidth>0</wp14:pctWidth>
          </wp14:sizeRelH>
          <wp14:sizeRelV relativeFrom="page">
            <wp14:pctHeight>0</wp14:pctHeight>
          </wp14:sizeRelV>
        </wp:anchor>
      </w:drawing>
    </w:r>
    <w:r w:rsidRPr="002A658B" w:rsidR="000119B7">
      <w:rPr>
        <w:rFonts w:ascii="Arial" w:eastAsia="Calibri" w:hAnsi="Arial" w:cs="Arial"/>
        <w:b w:val="0"/>
        <w:bCs w:val="0"/>
        <w:i w:val="0"/>
        <w:iCs w:val="0"/>
        <w:caps w:val="0"/>
        <w:smallCaps w:val="0"/>
        <w:strike w:val="0"/>
        <w:dstrike w:val="0"/>
        <w:outline w:val="0"/>
        <w:shadow w:val="0"/>
        <w:emboss w:val="0"/>
        <w:imprint w:val="0"/>
        <w:noProof/>
        <w:vanish w:val="0"/>
        <w:color w:val="111111"/>
        <w:spacing w:val="2"/>
        <w:w w:val="100"/>
        <w:kern w:val="0"/>
        <w:position w:val="0"/>
        <w:sz w:val="17"/>
        <w:szCs w:val="17"/>
        <w:highlight w:val="none"/>
        <w:u w:val="none"/>
        <w:effect w:val="none"/>
        <w:bdr w:val="none" w:sz="0" w:space="0" w:color="auto"/>
        <w:shd w:val="clear" w:color="auto" w:fill="auto"/>
        <w:vertAlign w:val="baseline"/>
        <w:rtl w:val="0"/>
        <w:cs w:val="0"/>
        <w:lang w:val="en-GB" w:eastAsia="en-US" w:bidi="ar-SA"/>
      </w:rPr>
      <mc:AlternateContent>
        <mc:Choice Requires="wps">
          <w:drawing>
            <wp:anchor distT="45720" distB="45720" distL="114300" distR="114300" simplePos="0" relativeHeight="251667456" behindDoc="0" locked="0" layoutInCell="1" allowOverlap="1">
              <wp:simplePos x="0" y="0"/>
              <wp:positionH relativeFrom="page">
                <wp:posOffset>4984115</wp:posOffset>
              </wp:positionH>
              <wp:positionV relativeFrom="page">
                <wp:posOffset>433499</wp:posOffset>
              </wp:positionV>
              <wp:extent cx="5432400" cy="648000"/>
              <wp:effectExtent l="0" t="0" r="0" b="0"/>
              <wp:wrapNone/>
              <wp:docPr id="142729260" name="Text Box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5432400" cy="648000"/>
                      </a:xfrm>
                      <a:prstGeom prst="rect">
                        <a:avLst/>
                      </a:prstGeom>
                      <a:solidFill>
                        <a:srgbClr val="FFFFFF"/>
                      </a:solidFill>
                      <a:ln w="9525">
                        <a:noFill/>
                        <a:miter lim="800000"/>
                        <a:headEnd/>
                        <a:tailEnd/>
                      </a:ln>
                    </wps:spPr>
                    <wps:txbx>
                      <w:txbxContent>
                        <w:p w:rsidR="002A658B" w:rsidRPr="009969BF" w:rsidP="00F32AA6" w14:textId="528003EC">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eastAsia="en-US" w:bidi="ar-SA"/>
                            </w:rPr>
                          </w:pPr>
                          <w:hyperlink w:anchor="This_is_Wärtsilä" w:history="1">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w:t>
                            </w:r>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ämä on</w:t>
                            </w:r>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Wärtsilä     </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Sustainability"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Kestävä</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kehitys</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Governance"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Hallinnointi</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hyperlink w:anchor="Financial_review"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Taloudellinen</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katsaus</w:t>
                          </w:r>
                        </w:p>
                        <w:p w:rsidR="002A658B" w:rsidRPr="009969BF"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fi-FI" w:eastAsia="en-US" w:bidi="ar-SA"/>
                            </w:rPr>
                          </w:pPr>
                        </w:p>
                      </w:txbxContent>
                    </wps:txbx>
                    <wps:bodyPr rot="0" vert="horz" wrap="square" anchor="t" anchorCtr="0"/>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2054" type="#_x0000_t202" style="width:427.75pt;height:51.02pt;margin-top:34.13pt;margin-left:392.45pt;mso-height-percent:0;mso-height-relative:margin;mso-position-horizontal-relative:page;mso-position-vertical-relative:page;mso-width-percent:0;mso-width-relative:margin;mso-wrap-distance-bottom:3.6pt;mso-wrap-distance-left:9pt;mso-wrap-distance-right:9pt;mso-wrap-distance-top:3.6pt;position:absolute;v-text-anchor:top;z-index:251666432" fillcolor="white" stroked="f" strokeweight="0.75pt">
              <v:textbox>
                <w:txbxContent>
                  <w:p w:rsidR="002A658B" w:rsidRPr="009969BF" w:rsidP="00F32AA6" w14:textId="528003EC">
                    <w:pPr>
                      <w:pStyle w:val="WNormal"/>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tabs>
                        <w:tab w:val="left" w:pos="0"/>
                      </w:tabs>
                      <w:suppressAutoHyphens w:val="0"/>
                      <w:bidi w:val="0"/>
                      <w:spacing w:before="0" w:beforeAutospacing="0" w:after="100" w:afterAutospacing="0" w:line="259" w:lineRule="auto"/>
                      <w:ind w:left="0" w:right="0" w:firstLine="0"/>
                      <w:contextualSpacing w:val="0"/>
                      <w:jc w:val="right"/>
                      <w:outlineLvl w:val="9"/>
                      <w:rPr>
                        <w:rStyle w:val="Hyperlink"/>
                        <w:rFonts w:eastAsia="Calibri"/>
                        <w:b w:val="0"/>
                        <w:bCs w:val="0"/>
                        <w:i w:val="0"/>
                        <w:iCs w:val="0"/>
                        <w:caps w:val="0"/>
                        <w:smallCaps w:val="0"/>
                        <w:strike w:val="0"/>
                        <w:dstrike w:val="0"/>
                        <w:outline w:val="0"/>
                        <w:shadow w:val="0"/>
                        <w:emboss w:val="0"/>
                        <w:imprint w:val="0"/>
                        <w:noProof w:val="0"/>
                        <w:vanish w:val="0"/>
                        <w:color w:val="FF7321"/>
                        <w:spacing w:val="0"/>
                        <w:w w:val="100"/>
                        <w:kern w:val="0"/>
                        <w:position w:val="0"/>
                        <w:highlight w:val="none"/>
                        <w:u w:val="none"/>
                        <w:effect w:val="none"/>
                        <w:bdr w:val="none" w:sz="0" w:space="0" w:color="auto"/>
                        <w:shd w:val="clear" w:color="auto" w:fill="auto"/>
                        <w:vertAlign w:val="baseline"/>
                        <w:rtl w:val="0"/>
                        <w:cs w:val="0"/>
                        <w:lang w:eastAsia="en-US" w:bidi="ar-SA"/>
                      </w:rPr>
                    </w:pPr>
                    <w:hyperlink w:anchor="This_is_Wärtsilä" w:history="1">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w:t>
                      </w:r>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ämä on</w:t>
                      </w:r>
                      <w:r w:rsidRPr="009969BF" w:rsidR="008C292C">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Wärtsilä     </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Sustainability"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Kestävä</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kehitys</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      </w:t>
                    </w:r>
                    <w:hyperlink w:anchor="Governance"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Hallinnointi</w:t>
                      </w:r>
                    </w:hyperlink>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CCCCCC"/>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r w:rsidRPr="009969BF" w:rsidR="008C292C">
                      <w:rPr>
                        <w:rFonts w:ascii="Arial" w:eastAsia="Calibri" w:hAnsi="Arial" w:cs="Arial"/>
                        <w:b w:val="0"/>
                        <w:bCs w:val="0"/>
                        <w:i w:val="0"/>
                        <w:iCs w:val="0"/>
                        <w:caps w:val="0"/>
                        <w:smallCaps w:val="0"/>
                        <w:strike w:val="0"/>
                        <w:dstrike w:val="0"/>
                        <w:outline w:val="0"/>
                        <w:shadow w:val="0"/>
                        <w:emboss w:val="0"/>
                        <w:imprint w:val="0"/>
                        <w:noProof w:val="0"/>
                        <w:vanish w:val="0"/>
                        <w:color w:val="auto"/>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w:t>
                    </w:r>
                    <w:hyperlink w:anchor="Financial_review" w:history="1">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Taloudellinen</w:t>
                      </w:r>
                    </w:hyperlink>
                    <w:r w:rsidRPr="009969BF">
                      <w:rPr>
                        <w:rStyle w:val="Hyperlink"/>
                        <w:rFonts w:ascii="Arial" w:eastAsia="Calibri" w:hAnsi="Arial" w:cs="Arial"/>
                        <w:b w:val="0"/>
                        <w:bCs w:val="0"/>
                        <w:i w:val="0"/>
                        <w:iCs w:val="0"/>
                        <w:caps w:val="0"/>
                        <w:smallCaps w:val="0"/>
                        <w:strike w:val="0"/>
                        <w:dstrike w:val="0"/>
                        <w:outline w:val="0"/>
                        <w:shadow w:val="0"/>
                        <w:emboss w:val="0"/>
                        <w:imprint w:val="0"/>
                        <w:noProof w:val="0"/>
                        <w:vanish w:val="0"/>
                        <w:color w:val="0F162B"/>
                        <w:spacing w:val="4"/>
                        <w:w w:val="100"/>
                        <w:kern w:val="0"/>
                        <w:position w:val="0"/>
                        <w:sz w:val="18"/>
                        <w:szCs w:val="18"/>
                        <w:highlight w:val="none"/>
                        <w:u w:val="none"/>
                        <w:effect w:val="none"/>
                        <w:bdr w:val="none" w:sz="0" w:space="0" w:color="auto"/>
                        <w:shd w:val="clear" w:color="auto" w:fill="auto"/>
                        <w:vertAlign w:val="baseline"/>
                        <w:rtl w:val="0"/>
                        <w:cs w:val="0"/>
                        <w:lang w:val="fi-FI" w:eastAsia="en-US" w:bidi="ar-SA"/>
                      </w:rPr>
                      <w:t xml:space="preserve"> katsaus</w:t>
                    </w:r>
                  </w:p>
                  <w:p w:rsidR="002A658B" w:rsidRPr="009969BF" w14:textId="77777777">
                    <w:pPr>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9" w:lineRule="auto"/>
                      <w:ind w:left="0" w:right="0" w:firstLine="0"/>
                      <w:contextualSpacing w:val="0"/>
                      <w:jc w:val="lef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fi-FI" w:eastAsia="en-US" w:bidi="ar-SA"/>
                      </w:rPr>
                    </w:pPr>
                  </w:p>
                </w:txbxContent>
              </v:textbox>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1BD20270"/>
    <w:multiLevelType w:val="multilevel"/>
    <w:tmpl w:val="8D86BC78"/>
    <w:styleLink w:val="TableListNumber"/>
    <w:lvl w:ilvl="0">
      <w:start w:val="1"/>
      <w:numFmt w:val="none"/>
      <w:suff w:val="nothing"/>
      <w:lvlJc w:val="left"/>
      <w:pPr>
        <w:ind w:left="0" w:firstLine="0"/>
      </w:pPr>
      <w:rPr>
        <w:rFonts w:hint="default"/>
      </w:rPr>
    </w:lvl>
    <w:lvl w:ilvl="1">
      <w:start w:val="1"/>
      <w:numFmt w:val="decimal"/>
      <w:lvlText w:val="%2"/>
      <w:lvlJc w:val="left"/>
      <w:pPr>
        <w:tabs>
          <w:tab w:val="num" w:pos="397"/>
        </w:tabs>
        <w:ind w:left="397" w:hanging="397"/>
      </w:pPr>
      <w:rPr>
        <w:rFonts w:hint="default"/>
      </w:rPr>
    </w:lvl>
    <w:lvl w:ilvl="2">
      <w:start w:val="1"/>
      <w:numFmt w:val="lowerLetter"/>
      <w:lvlText w:val="%3"/>
      <w:lvlJc w:val="left"/>
      <w:pPr>
        <w:tabs>
          <w:tab w:val="num" w:pos="794"/>
        </w:tabs>
        <w:ind w:left="794" w:hanging="397"/>
      </w:pPr>
      <w:rPr>
        <w:rFonts w:hint="default"/>
      </w:rPr>
    </w:lvl>
    <w:lvl w:ilvl="3">
      <w:start w:val="1"/>
      <w:numFmt w:val="bullet"/>
      <w:lvlText w:val=""/>
      <w:lvlJc w:val="left"/>
      <w:pPr>
        <w:tabs>
          <w:tab w:val="num" w:pos="1191"/>
        </w:tabs>
        <w:ind w:left="1191" w:hanging="397"/>
      </w:pPr>
      <w:rPr>
        <w:rFonts w:ascii="Symbol" w:hAnsi="Symbol" w:hint="default"/>
        <w:color w:val="auto"/>
      </w:rPr>
    </w:lvl>
    <w:lvl w:ilvl="4">
      <w:start w:val="1"/>
      <w:numFmt w:val="none"/>
      <w:lvlJc w:val="left"/>
      <w:pPr>
        <w:tabs>
          <w:tab w:val="num" w:pos="1985"/>
        </w:tabs>
        <w:ind w:left="1985" w:hanging="397"/>
      </w:pPr>
      <w:rPr>
        <w:rFonts w:hint="default"/>
      </w:rPr>
    </w:lvl>
    <w:lvl w:ilvl="5">
      <w:start w:val="1"/>
      <w:numFmt w:val="lowerRoman"/>
      <w:lvlText w:val="(%6)"/>
      <w:lvlJc w:val="left"/>
      <w:pPr>
        <w:tabs>
          <w:tab w:val="num" w:pos="2382"/>
        </w:tabs>
        <w:ind w:left="1985" w:firstLine="0"/>
      </w:pPr>
      <w:rPr>
        <w:rFonts w:hint="default"/>
      </w:rPr>
    </w:lvl>
    <w:lvl w:ilvl="6">
      <w:start w:val="1"/>
      <w:numFmt w:val="decimal"/>
      <w:lvlText w:val="%7."/>
      <w:lvlJc w:val="left"/>
      <w:pPr>
        <w:tabs>
          <w:tab w:val="num" w:pos="2779"/>
        </w:tabs>
        <w:ind w:left="2382" w:firstLine="0"/>
      </w:pPr>
      <w:rPr>
        <w:rFonts w:hint="default"/>
      </w:rPr>
    </w:lvl>
    <w:lvl w:ilvl="7">
      <w:start w:val="1"/>
      <w:numFmt w:val="lowerLetter"/>
      <w:lvlText w:val="%8."/>
      <w:lvlJc w:val="left"/>
      <w:pPr>
        <w:tabs>
          <w:tab w:val="num" w:pos="3176"/>
        </w:tabs>
        <w:ind w:left="2779" w:firstLine="0"/>
      </w:pPr>
      <w:rPr>
        <w:rFonts w:hint="default"/>
      </w:rPr>
    </w:lvl>
    <w:lvl w:ilvl="8">
      <w:start w:val="1"/>
      <w:numFmt w:val="lowerRoman"/>
      <w:lvlText w:val="%9."/>
      <w:lvlJc w:val="left"/>
      <w:pPr>
        <w:tabs>
          <w:tab w:val="num" w:pos="3573"/>
        </w:tabs>
        <w:ind w:left="3176" w:firstLine="0"/>
      </w:pPr>
      <w:rPr>
        <w:rFonts w:hint="default"/>
      </w:rPr>
    </w:lvl>
  </w:abstractNum>
  <w:abstractNum w:abstractNumId="1">
    <w:nsid w:val="28905486"/>
    <w:multiLevelType w:val="multilevel"/>
    <w:tmpl w:val="EB1C10DA"/>
    <w:lvl w:ilvl="0">
      <w:start w:val="1"/>
      <w:numFmt w:val="bullet"/>
      <w:pStyle w:val="ListBullet"/>
      <w:lvlText w:val=""/>
      <w:lvlJc w:val="left"/>
      <w:pPr>
        <w:ind w:left="360" w:hanging="360"/>
      </w:pPr>
      <w:rPr>
        <w:rFonts w:ascii="Symbol" w:hAnsi="Symbol" w:hint="default"/>
      </w:rPr>
    </w:lvl>
    <w:lvl w:ilvl="1">
      <w:start w:val="1"/>
      <w:numFmt w:val="bullet"/>
      <w:pStyle w:val="ListBullet2"/>
      <w:lvlText w:val=""/>
      <w:lvlJc w:val="left"/>
      <w:pPr>
        <w:tabs>
          <w:tab w:val="num" w:pos="1134"/>
        </w:tabs>
        <w:ind w:left="1134" w:hanging="567"/>
      </w:pPr>
      <w:rPr>
        <w:rFonts w:ascii="Symbol" w:hAnsi="Symbol" w:hint="default"/>
      </w:rPr>
    </w:lvl>
    <w:lvl w:ilvl="2">
      <w:start w:val="1"/>
      <w:numFmt w:val="bullet"/>
      <w:lvlText w:val="◦"/>
      <w:lvlJc w:val="left"/>
      <w:pPr>
        <w:tabs>
          <w:tab w:val="num" w:pos="1701"/>
        </w:tabs>
        <w:ind w:left="1701" w:hanging="567"/>
      </w:pPr>
      <w:rPr>
        <w:rFonts w:ascii="Georgia" w:hAnsi="Georgia" w:hint="default"/>
        <w:b/>
      </w:rPr>
    </w:lvl>
    <w:lvl w:ilvl="3">
      <w:start w:val="1"/>
      <w:numFmt w:val="bullet"/>
      <w:pStyle w:val="ListBullet4"/>
      <w:lvlText w:val=""/>
      <w:lvlJc w:val="left"/>
      <w:pPr>
        <w:tabs>
          <w:tab w:val="num" w:pos="2268"/>
        </w:tabs>
        <w:ind w:left="2268" w:hanging="567"/>
      </w:pPr>
      <w:rPr>
        <w:rFonts w:ascii="Symbol" w:hAnsi="Symbol" w:hint="default"/>
      </w:rPr>
    </w:lvl>
    <w:lvl w:ilvl="4">
      <w:start w:val="1"/>
      <w:numFmt w:val="bullet"/>
      <w:pStyle w:val="ListBullet5"/>
      <w:lvlText w:val="~"/>
      <w:lvlJc w:val="left"/>
      <w:pPr>
        <w:tabs>
          <w:tab w:val="num" w:pos="2835"/>
        </w:tabs>
        <w:ind w:left="2835" w:hanging="567"/>
      </w:pPr>
      <w:rPr>
        <w:rFonts w:ascii="Georgia" w:hAnsi="Georgia" w:hint="default"/>
      </w:rPr>
    </w:lvl>
    <w:lvl w:ilvl="5">
      <w:start w:val="1"/>
      <w:numFmt w:val="bullet"/>
      <w:lvlText w:val=""/>
      <w:lvlJc w:val="left"/>
      <w:pPr>
        <w:tabs>
          <w:tab w:val="num" w:pos="3402"/>
        </w:tabs>
        <w:ind w:left="3402" w:hanging="567"/>
      </w:pPr>
      <w:rPr>
        <w:rFonts w:ascii="Symbol" w:hAnsi="Symbol" w:hint="default"/>
      </w:rPr>
    </w:lvl>
    <w:lvl w:ilvl="6">
      <w:start w:val="1"/>
      <w:numFmt w:val="bullet"/>
      <w:lvlText w:val=""/>
      <w:lvlJc w:val="left"/>
      <w:pPr>
        <w:tabs>
          <w:tab w:val="num" w:pos="3969"/>
        </w:tabs>
        <w:ind w:left="3969" w:hanging="567"/>
      </w:pPr>
      <w:rPr>
        <w:rFonts w:ascii="Symbol" w:hAnsi="Symbol" w:hint="default"/>
      </w:rPr>
    </w:lvl>
    <w:lvl w:ilvl="7">
      <w:start w:val="1"/>
      <w:numFmt w:val="bullet"/>
      <w:lvlText w:val=""/>
      <w:lvlJc w:val="left"/>
      <w:pPr>
        <w:tabs>
          <w:tab w:val="num" w:pos="4536"/>
        </w:tabs>
        <w:ind w:left="4536" w:hanging="567"/>
      </w:pPr>
      <w:rPr>
        <w:rFonts w:ascii="Symbol" w:hAnsi="Symbol" w:hint="default"/>
      </w:rPr>
    </w:lvl>
    <w:lvl w:ilvl="8">
      <w:start w:val="1"/>
      <w:numFmt w:val="bullet"/>
      <w:lvlText w:val=""/>
      <w:lvlJc w:val="left"/>
      <w:pPr>
        <w:tabs>
          <w:tab w:val="num" w:pos="5103"/>
        </w:tabs>
        <w:ind w:left="5103" w:hanging="567"/>
      </w:pPr>
      <w:rPr>
        <w:rFonts w:ascii="Symbol" w:hAnsi="Symbol" w:hint="default"/>
      </w:rPr>
    </w:lvl>
  </w:abstractNum>
  <w:abstractNum w:abstractNumId="2">
    <w:nsid w:val="40CC1813"/>
    <w:multiLevelType w:val="multilevel"/>
    <w:tmpl w:val="8D86BC78"/>
    <w:numStyleLink w:val="TableListNumber"/>
  </w:abstractNum>
  <w:abstractNum w:abstractNumId="3">
    <w:nsid w:val="417901F7"/>
    <w:multiLevelType w:val="hybridMultilevel"/>
    <w:tmpl w:val="1B2261EC"/>
    <w:lvl w:ilvl="0">
      <w:start w:val="0"/>
      <w:numFmt w:val="bullet"/>
      <w:lvlText w:val="-"/>
      <w:lvlJc w:val="left"/>
      <w:pPr>
        <w:ind w:left="360" w:hanging="360"/>
      </w:pPr>
      <w:rPr>
        <w:rFonts w:ascii="Calibri" w:hAnsi="Calibri" w:eastAsiaTheme="minorEastAsia" w:cstheme="minorBidi" w:hint="default"/>
      </w:rPr>
    </w:lvl>
    <w:lvl w:ilvl="1" w:tentative="1">
      <w:start w:val="1"/>
      <w:numFmt w:val="bullet"/>
      <w:lvlText w:val="o"/>
      <w:lvlJc w:val="left"/>
      <w:pPr>
        <w:ind w:left="1080" w:hanging="360"/>
      </w:pPr>
      <w:rPr>
        <w:rFonts w:ascii="Courier New" w:hAnsi="Courier New" w:cs="Courier New" w:hint="default"/>
      </w:rPr>
    </w:lvl>
    <w:lvl w:ilvl="2" w:tentative="1">
      <w:start w:val="1"/>
      <w:numFmt w:val="bullet"/>
      <w:lvlText w:val=""/>
      <w:lvlJc w:val="left"/>
      <w:pPr>
        <w:ind w:left="1800" w:hanging="360"/>
      </w:pPr>
      <w:rPr>
        <w:rFonts w:ascii="Wingdings" w:hAnsi="Wingdings" w:hint="default"/>
      </w:rPr>
    </w:lvl>
    <w:lvl w:ilvl="3" w:tentative="1">
      <w:start w:val="1"/>
      <w:numFmt w:val="bullet"/>
      <w:lvlText w:val=""/>
      <w:lvlJc w:val="left"/>
      <w:pPr>
        <w:ind w:left="2520" w:hanging="360"/>
      </w:pPr>
      <w:rPr>
        <w:rFonts w:ascii="Symbol" w:hAnsi="Symbol" w:hint="default"/>
      </w:rPr>
    </w:lvl>
    <w:lvl w:ilvl="4" w:tentative="1">
      <w:start w:val="1"/>
      <w:numFmt w:val="bullet"/>
      <w:lvlText w:val="o"/>
      <w:lvlJc w:val="left"/>
      <w:pPr>
        <w:ind w:left="3240" w:hanging="360"/>
      </w:pPr>
      <w:rPr>
        <w:rFonts w:ascii="Courier New" w:hAnsi="Courier New" w:cs="Courier New" w:hint="default"/>
      </w:rPr>
    </w:lvl>
    <w:lvl w:ilvl="5" w:tentative="1">
      <w:start w:val="1"/>
      <w:numFmt w:val="bullet"/>
      <w:lvlText w:val=""/>
      <w:lvlJc w:val="left"/>
      <w:pPr>
        <w:ind w:left="3960" w:hanging="360"/>
      </w:pPr>
      <w:rPr>
        <w:rFonts w:ascii="Wingdings" w:hAnsi="Wingdings" w:hint="default"/>
      </w:rPr>
    </w:lvl>
    <w:lvl w:ilvl="6" w:tentative="1">
      <w:start w:val="1"/>
      <w:numFmt w:val="bullet"/>
      <w:lvlText w:val=""/>
      <w:lvlJc w:val="left"/>
      <w:pPr>
        <w:ind w:left="4680" w:hanging="360"/>
      </w:pPr>
      <w:rPr>
        <w:rFonts w:ascii="Symbol" w:hAnsi="Symbol" w:hint="default"/>
      </w:rPr>
    </w:lvl>
    <w:lvl w:ilvl="7" w:tentative="1">
      <w:start w:val="1"/>
      <w:numFmt w:val="bullet"/>
      <w:lvlText w:val="o"/>
      <w:lvlJc w:val="left"/>
      <w:pPr>
        <w:ind w:left="5400" w:hanging="360"/>
      </w:pPr>
      <w:rPr>
        <w:rFonts w:ascii="Courier New" w:hAnsi="Courier New" w:cs="Courier New" w:hint="default"/>
      </w:rPr>
    </w:lvl>
    <w:lvl w:ilvl="8" w:tentative="1">
      <w:start w:val="1"/>
      <w:numFmt w:val="bullet"/>
      <w:lvlText w:val=""/>
      <w:lvlJc w:val="left"/>
      <w:pPr>
        <w:ind w:left="6120" w:hanging="360"/>
      </w:pPr>
      <w:rPr>
        <w:rFonts w:ascii="Wingdings" w:hAnsi="Wingdings" w:hint="default"/>
      </w:rPr>
    </w:lvl>
  </w:abstractNum>
  <w:abstractNum w:abstractNumId="4">
    <w:nsid w:val="49050105"/>
    <w:multiLevelType w:val="hybridMultilevel"/>
    <w:tmpl w:val="7EAC0FA6"/>
    <w:lvl w:ilvl="0">
      <w:start w:val="1"/>
      <w:numFmt w:val="bullet"/>
      <w:lvlText w:val=""/>
      <w:lvlJc w:val="left"/>
      <w:pPr>
        <w:ind w:left="1080" w:hanging="72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5">
    <w:nsid w:val="51B42091"/>
    <w:multiLevelType w:val="multilevel"/>
    <w:tmpl w:val="5DA87028"/>
    <w:lvl w:ilvl="0">
      <w:start w:val="1"/>
      <w:numFmt w:val="bullet"/>
      <w:pStyle w:val="TableBodyListBullet"/>
      <w:lvlText w:val=""/>
      <w:lvlJc w:val="left"/>
      <w:pPr>
        <w:tabs>
          <w:tab w:val="num" w:pos="397"/>
        </w:tabs>
        <w:ind w:left="397" w:hanging="397"/>
      </w:pPr>
      <w:rPr>
        <w:rFonts w:ascii="Symbol" w:hAnsi="Symbol" w:hint="default"/>
        <w:color w:val="auto"/>
      </w:rPr>
    </w:lvl>
    <w:lvl w:ilvl="1">
      <w:start w:val="1"/>
      <w:numFmt w:val="bullet"/>
      <w:lvlText w:val="­"/>
      <w:lvlJc w:val="left"/>
      <w:pPr>
        <w:tabs>
          <w:tab w:val="num" w:pos="794"/>
        </w:tabs>
        <w:ind w:left="794" w:hanging="397"/>
      </w:pPr>
      <w:rPr>
        <w:rFonts w:ascii="Courier New" w:hAnsi="Courier New" w:hint="default"/>
        <w:color w:val="44546A" w:themeColor="text2"/>
      </w:rPr>
    </w:lvl>
    <w:lvl w:ilvl="2">
      <w:start w:val="1"/>
      <w:numFmt w:val="bullet"/>
      <w:lvlText w:val="­"/>
      <w:lvlJc w:val="left"/>
      <w:pPr>
        <w:tabs>
          <w:tab w:val="num" w:pos="794"/>
        </w:tabs>
        <w:ind w:left="794" w:hanging="397"/>
      </w:pPr>
      <w:rPr>
        <w:rFonts w:ascii="Courier New" w:hAnsi="Courier New" w:hint="default"/>
        <w:color w:val="auto"/>
      </w:rPr>
    </w:lvl>
    <w:lvl w:ilvl="3">
      <w:start w:val="1"/>
      <w:numFmt w:val="decimal"/>
      <w:lvlText w:val="(%4)"/>
      <w:lvlJc w:val="left"/>
      <w:pPr>
        <w:tabs>
          <w:tab w:val="num" w:pos="1191"/>
        </w:tabs>
        <w:ind w:left="1191" w:hanging="397"/>
      </w:pPr>
      <w:rPr>
        <w:rFonts w:hint="default"/>
      </w:rPr>
    </w:lvl>
    <w:lvl w:ilvl="4">
      <w:start w:val="1"/>
      <w:numFmt w:val="lowerLetter"/>
      <w:lvlText w:val="(%5)"/>
      <w:lvlJc w:val="left"/>
      <w:pPr>
        <w:tabs>
          <w:tab w:val="num" w:pos="1985"/>
        </w:tabs>
        <w:ind w:left="1985" w:hanging="397"/>
      </w:pPr>
      <w:rPr>
        <w:rFonts w:hint="default"/>
      </w:rPr>
    </w:lvl>
    <w:lvl w:ilvl="5">
      <w:start w:val="1"/>
      <w:numFmt w:val="lowerRoman"/>
      <w:lvlText w:val="(%6)"/>
      <w:lvlJc w:val="left"/>
      <w:pPr>
        <w:tabs>
          <w:tab w:val="num" w:pos="2382"/>
        </w:tabs>
        <w:ind w:left="1985" w:firstLine="0"/>
      </w:pPr>
      <w:rPr>
        <w:rFonts w:hint="default"/>
      </w:rPr>
    </w:lvl>
    <w:lvl w:ilvl="6">
      <w:start w:val="1"/>
      <w:numFmt w:val="decimal"/>
      <w:lvlText w:val="%7."/>
      <w:lvlJc w:val="left"/>
      <w:pPr>
        <w:tabs>
          <w:tab w:val="num" w:pos="2779"/>
        </w:tabs>
        <w:ind w:left="2382" w:firstLine="0"/>
      </w:pPr>
      <w:rPr>
        <w:rFonts w:hint="default"/>
      </w:rPr>
    </w:lvl>
    <w:lvl w:ilvl="7">
      <w:start w:val="1"/>
      <w:numFmt w:val="lowerLetter"/>
      <w:lvlText w:val="%8."/>
      <w:lvlJc w:val="left"/>
      <w:pPr>
        <w:tabs>
          <w:tab w:val="num" w:pos="3176"/>
        </w:tabs>
        <w:ind w:left="2779" w:firstLine="0"/>
      </w:pPr>
      <w:rPr>
        <w:rFonts w:hint="default"/>
      </w:rPr>
    </w:lvl>
    <w:lvl w:ilvl="8">
      <w:start w:val="1"/>
      <w:numFmt w:val="lowerRoman"/>
      <w:lvlText w:val="%9."/>
      <w:lvlJc w:val="left"/>
      <w:pPr>
        <w:tabs>
          <w:tab w:val="num" w:pos="3573"/>
        </w:tabs>
        <w:ind w:left="3176" w:firstLine="0"/>
      </w:pPr>
      <w:rPr>
        <w:rFonts w:hint="default"/>
      </w:rPr>
    </w:lvl>
  </w:abstractNum>
  <w:abstractNum w:abstractNumId="6">
    <w:nsid w:val="569265D2"/>
    <w:multiLevelType w:val="hybridMultilevel"/>
    <w:tmpl w:val="C8A4FA56"/>
    <w:lvl w:ilvl="0">
      <w:start w:val="0"/>
      <w:numFmt w:val="bullet"/>
      <w:lvlText w:val="-"/>
      <w:lvlJc w:val="left"/>
      <w:pPr>
        <w:ind w:left="360" w:hanging="360"/>
      </w:pPr>
      <w:rPr>
        <w:rFonts w:ascii="Calibri" w:hAnsi="Calibri" w:eastAsiaTheme="minorEastAsia" w:cstheme="minorBidi" w:hint="default"/>
      </w:rPr>
    </w:lvl>
    <w:lvl w:ilvl="1" w:tentative="1">
      <w:start w:val="1"/>
      <w:numFmt w:val="bullet"/>
      <w:lvlText w:val="o"/>
      <w:lvlJc w:val="left"/>
      <w:pPr>
        <w:ind w:left="1080" w:hanging="360"/>
      </w:pPr>
      <w:rPr>
        <w:rFonts w:ascii="Courier New" w:hAnsi="Courier New" w:cs="Courier New" w:hint="default"/>
      </w:rPr>
    </w:lvl>
    <w:lvl w:ilvl="2" w:tentative="1">
      <w:start w:val="1"/>
      <w:numFmt w:val="bullet"/>
      <w:lvlText w:val=""/>
      <w:lvlJc w:val="left"/>
      <w:pPr>
        <w:ind w:left="1800" w:hanging="360"/>
      </w:pPr>
      <w:rPr>
        <w:rFonts w:ascii="Wingdings" w:hAnsi="Wingdings" w:hint="default"/>
      </w:rPr>
    </w:lvl>
    <w:lvl w:ilvl="3" w:tentative="1">
      <w:start w:val="1"/>
      <w:numFmt w:val="bullet"/>
      <w:lvlText w:val=""/>
      <w:lvlJc w:val="left"/>
      <w:pPr>
        <w:ind w:left="2520" w:hanging="360"/>
      </w:pPr>
      <w:rPr>
        <w:rFonts w:ascii="Symbol" w:hAnsi="Symbol" w:hint="default"/>
      </w:rPr>
    </w:lvl>
    <w:lvl w:ilvl="4" w:tentative="1">
      <w:start w:val="1"/>
      <w:numFmt w:val="bullet"/>
      <w:lvlText w:val="o"/>
      <w:lvlJc w:val="left"/>
      <w:pPr>
        <w:ind w:left="3240" w:hanging="360"/>
      </w:pPr>
      <w:rPr>
        <w:rFonts w:ascii="Courier New" w:hAnsi="Courier New" w:cs="Courier New" w:hint="default"/>
      </w:rPr>
    </w:lvl>
    <w:lvl w:ilvl="5" w:tentative="1">
      <w:start w:val="1"/>
      <w:numFmt w:val="bullet"/>
      <w:lvlText w:val=""/>
      <w:lvlJc w:val="left"/>
      <w:pPr>
        <w:ind w:left="3960" w:hanging="360"/>
      </w:pPr>
      <w:rPr>
        <w:rFonts w:ascii="Wingdings" w:hAnsi="Wingdings" w:hint="default"/>
      </w:rPr>
    </w:lvl>
    <w:lvl w:ilvl="6" w:tentative="1">
      <w:start w:val="1"/>
      <w:numFmt w:val="bullet"/>
      <w:lvlText w:val=""/>
      <w:lvlJc w:val="left"/>
      <w:pPr>
        <w:ind w:left="4680" w:hanging="360"/>
      </w:pPr>
      <w:rPr>
        <w:rFonts w:ascii="Symbol" w:hAnsi="Symbol" w:hint="default"/>
      </w:rPr>
    </w:lvl>
    <w:lvl w:ilvl="7" w:tentative="1">
      <w:start w:val="1"/>
      <w:numFmt w:val="bullet"/>
      <w:lvlText w:val="o"/>
      <w:lvlJc w:val="left"/>
      <w:pPr>
        <w:ind w:left="5400" w:hanging="360"/>
      </w:pPr>
      <w:rPr>
        <w:rFonts w:ascii="Courier New" w:hAnsi="Courier New" w:cs="Courier New" w:hint="default"/>
      </w:rPr>
    </w:lvl>
    <w:lvl w:ilvl="8" w:tentative="1">
      <w:start w:val="1"/>
      <w:numFmt w:val="bullet"/>
      <w:lvlText w:val=""/>
      <w:lvlJc w:val="left"/>
      <w:pPr>
        <w:ind w:left="6120" w:hanging="360"/>
      </w:pPr>
      <w:rPr>
        <w:rFonts w:ascii="Wingdings" w:hAnsi="Wingdings" w:hint="default"/>
      </w:rPr>
    </w:lvl>
  </w:abstractNum>
  <w:abstractNum w:abstractNumId="7">
    <w:nsid w:val="59B71CF5"/>
    <w:multiLevelType w:val="hybridMultilevel"/>
    <w:tmpl w:val="2F0A0260"/>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8">
    <w:nsid w:val="627904ED"/>
    <w:multiLevelType w:val="hybridMultilevel"/>
    <w:tmpl w:val="C9C8A992"/>
    <w:lvl w:ilvl="0">
      <w:start w:val="1"/>
      <w:numFmt w:val="bullet"/>
      <w:lvlText w:val="-"/>
      <w:lvlJc w:val="left"/>
      <w:pPr>
        <w:ind w:left="360" w:hanging="360"/>
      </w:pPr>
      <w:rPr>
        <w:rFonts w:ascii="Arial" w:hAnsi="Arial" w:eastAsiaTheme="minorHAnsi"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nsid w:val="72377675"/>
    <w:multiLevelType w:val="hybridMultilevel"/>
    <w:tmpl w:val="D6E24900"/>
    <w:lvl w:ilvl="0">
      <w:start w:val="0"/>
      <w:numFmt w:val="bullet"/>
      <w:lvlText w:val="•"/>
      <w:lvlJc w:val="left"/>
      <w:pPr>
        <w:ind w:left="720" w:hanging="360"/>
      </w:pPr>
      <w:rPr>
        <w:rFonts w:ascii="Arial" w:hAnsi="Arial" w:eastAsiaTheme="minorHAnsi" w:cs="Aria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num w:numId="1">
    <w:abstractNumId w:val="9"/>
  </w:num>
  <w:num w:numId="2">
    <w:abstractNumId w:val="8"/>
  </w:num>
  <w:num w:numId="3">
    <w:abstractNumId w:val="1"/>
  </w:num>
  <w:num w:numId="4">
    <w:abstractNumId w:val="5"/>
  </w:num>
  <w:num w:numId="5">
    <w:abstractNumId w:val="2"/>
  </w:num>
  <w:num w:numId="6">
    <w:abstractNumId w:val="0"/>
  </w:num>
  <w:num w:numId="7">
    <w:abstractNumId w:val="6"/>
  </w:num>
  <w:num w:numId="8">
    <w:abstractNumId w:val="3"/>
  </w:num>
  <w:num w:numId="9">
    <w:abstractNumId w:val="4"/>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efaultTabStop w:val="284"/>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2D7D"/>
    <w:rsid w:val="000047D6"/>
    <w:rsid w:val="000108AA"/>
    <w:rsid w:val="000119B7"/>
    <w:rsid w:val="00012998"/>
    <w:rsid w:val="0001456E"/>
    <w:rsid w:val="0001627E"/>
    <w:rsid w:val="00017CE2"/>
    <w:rsid w:val="00023191"/>
    <w:rsid w:val="0002412B"/>
    <w:rsid w:val="00024588"/>
    <w:rsid w:val="00024D0C"/>
    <w:rsid w:val="00030F0B"/>
    <w:rsid w:val="000331A0"/>
    <w:rsid w:val="000345FF"/>
    <w:rsid w:val="00034CC3"/>
    <w:rsid w:val="00036B5D"/>
    <w:rsid w:val="0004013D"/>
    <w:rsid w:val="00040672"/>
    <w:rsid w:val="00040FD4"/>
    <w:rsid w:val="00042899"/>
    <w:rsid w:val="00043B43"/>
    <w:rsid w:val="00044FAC"/>
    <w:rsid w:val="000452E2"/>
    <w:rsid w:val="00046D0D"/>
    <w:rsid w:val="00050751"/>
    <w:rsid w:val="00052A68"/>
    <w:rsid w:val="00060298"/>
    <w:rsid w:val="00062108"/>
    <w:rsid w:val="000623F5"/>
    <w:rsid w:val="000633DC"/>
    <w:rsid w:val="0006513D"/>
    <w:rsid w:val="00066ABD"/>
    <w:rsid w:val="00072222"/>
    <w:rsid w:val="00080D1A"/>
    <w:rsid w:val="000816FE"/>
    <w:rsid w:val="00081B6A"/>
    <w:rsid w:val="00082954"/>
    <w:rsid w:val="00083182"/>
    <w:rsid w:val="00084EA5"/>
    <w:rsid w:val="00085206"/>
    <w:rsid w:val="00086092"/>
    <w:rsid w:val="00090AA9"/>
    <w:rsid w:val="00092568"/>
    <w:rsid w:val="0009553E"/>
    <w:rsid w:val="0009561B"/>
    <w:rsid w:val="000A0EFF"/>
    <w:rsid w:val="000A3BC5"/>
    <w:rsid w:val="000A5898"/>
    <w:rsid w:val="000B00D3"/>
    <w:rsid w:val="000B0EB2"/>
    <w:rsid w:val="000B312C"/>
    <w:rsid w:val="000B36F1"/>
    <w:rsid w:val="000B38D6"/>
    <w:rsid w:val="000B3926"/>
    <w:rsid w:val="000B44F7"/>
    <w:rsid w:val="000B7B5D"/>
    <w:rsid w:val="000C2C06"/>
    <w:rsid w:val="000C483E"/>
    <w:rsid w:val="000C56A4"/>
    <w:rsid w:val="000C6BA7"/>
    <w:rsid w:val="000C6E13"/>
    <w:rsid w:val="000C7B5D"/>
    <w:rsid w:val="000D0BF2"/>
    <w:rsid w:val="000D2F5B"/>
    <w:rsid w:val="000D36FF"/>
    <w:rsid w:val="000D6EC7"/>
    <w:rsid w:val="000E0CC0"/>
    <w:rsid w:val="000F4B13"/>
    <w:rsid w:val="0010272A"/>
    <w:rsid w:val="00102AF0"/>
    <w:rsid w:val="00103CCF"/>
    <w:rsid w:val="00104FD9"/>
    <w:rsid w:val="001062DB"/>
    <w:rsid w:val="00114613"/>
    <w:rsid w:val="00116433"/>
    <w:rsid w:val="00123047"/>
    <w:rsid w:val="00124770"/>
    <w:rsid w:val="0012573E"/>
    <w:rsid w:val="00126FBB"/>
    <w:rsid w:val="001354D2"/>
    <w:rsid w:val="00135605"/>
    <w:rsid w:val="00137450"/>
    <w:rsid w:val="00140E6B"/>
    <w:rsid w:val="00141345"/>
    <w:rsid w:val="00142591"/>
    <w:rsid w:val="001439B2"/>
    <w:rsid w:val="00145434"/>
    <w:rsid w:val="0014754D"/>
    <w:rsid w:val="00150B39"/>
    <w:rsid w:val="00150B58"/>
    <w:rsid w:val="00151C28"/>
    <w:rsid w:val="001617F3"/>
    <w:rsid w:val="00162145"/>
    <w:rsid w:val="00164D7D"/>
    <w:rsid w:val="0017602D"/>
    <w:rsid w:val="00176084"/>
    <w:rsid w:val="00176AD6"/>
    <w:rsid w:val="00180B6E"/>
    <w:rsid w:val="001819C2"/>
    <w:rsid w:val="00185E42"/>
    <w:rsid w:val="00186455"/>
    <w:rsid w:val="0019007A"/>
    <w:rsid w:val="001935EE"/>
    <w:rsid w:val="001940A7"/>
    <w:rsid w:val="0019489C"/>
    <w:rsid w:val="001952D3"/>
    <w:rsid w:val="001A1A48"/>
    <w:rsid w:val="001A6156"/>
    <w:rsid w:val="001A6548"/>
    <w:rsid w:val="001A7C7A"/>
    <w:rsid w:val="001B28EB"/>
    <w:rsid w:val="001C00F4"/>
    <w:rsid w:val="001C208A"/>
    <w:rsid w:val="001C44EE"/>
    <w:rsid w:val="001D0996"/>
    <w:rsid w:val="001D140F"/>
    <w:rsid w:val="001D18D8"/>
    <w:rsid w:val="001D1D9D"/>
    <w:rsid w:val="001D35AE"/>
    <w:rsid w:val="001D5B5C"/>
    <w:rsid w:val="001D7267"/>
    <w:rsid w:val="001E13A7"/>
    <w:rsid w:val="001E3209"/>
    <w:rsid w:val="001E6E37"/>
    <w:rsid w:val="001E7D0E"/>
    <w:rsid w:val="001F6EBC"/>
    <w:rsid w:val="00203438"/>
    <w:rsid w:val="00204C93"/>
    <w:rsid w:val="00205468"/>
    <w:rsid w:val="00205E2E"/>
    <w:rsid w:val="0020616A"/>
    <w:rsid w:val="00213558"/>
    <w:rsid w:val="00213D96"/>
    <w:rsid w:val="00215BC6"/>
    <w:rsid w:val="00215EAC"/>
    <w:rsid w:val="002164AB"/>
    <w:rsid w:val="00216C08"/>
    <w:rsid w:val="00217798"/>
    <w:rsid w:val="002207B9"/>
    <w:rsid w:val="00223151"/>
    <w:rsid w:val="00224CB7"/>
    <w:rsid w:val="0022534C"/>
    <w:rsid w:val="00225DC5"/>
    <w:rsid w:val="002303FA"/>
    <w:rsid w:val="00232A17"/>
    <w:rsid w:val="00251326"/>
    <w:rsid w:val="00252075"/>
    <w:rsid w:val="00253764"/>
    <w:rsid w:val="00255C36"/>
    <w:rsid w:val="0026008C"/>
    <w:rsid w:val="00261CDC"/>
    <w:rsid w:val="00261D76"/>
    <w:rsid w:val="002642EE"/>
    <w:rsid w:val="00264F8A"/>
    <w:rsid w:val="0026591C"/>
    <w:rsid w:val="00275510"/>
    <w:rsid w:val="00280319"/>
    <w:rsid w:val="002818EE"/>
    <w:rsid w:val="0028485C"/>
    <w:rsid w:val="00284DC3"/>
    <w:rsid w:val="0028665A"/>
    <w:rsid w:val="00287047"/>
    <w:rsid w:val="002920E7"/>
    <w:rsid w:val="0029566B"/>
    <w:rsid w:val="00295940"/>
    <w:rsid w:val="002968CD"/>
    <w:rsid w:val="002A4EF3"/>
    <w:rsid w:val="002A590E"/>
    <w:rsid w:val="002A5F98"/>
    <w:rsid w:val="002A658B"/>
    <w:rsid w:val="002B096E"/>
    <w:rsid w:val="002B09EE"/>
    <w:rsid w:val="002C03BF"/>
    <w:rsid w:val="002C52C2"/>
    <w:rsid w:val="002D0A0D"/>
    <w:rsid w:val="002D1EB5"/>
    <w:rsid w:val="002D54FF"/>
    <w:rsid w:val="002D5580"/>
    <w:rsid w:val="002D56D5"/>
    <w:rsid w:val="002D61E0"/>
    <w:rsid w:val="002E091E"/>
    <w:rsid w:val="002E1646"/>
    <w:rsid w:val="002E1CC5"/>
    <w:rsid w:val="002E2975"/>
    <w:rsid w:val="002E49A1"/>
    <w:rsid w:val="002E67A6"/>
    <w:rsid w:val="002F015B"/>
    <w:rsid w:val="002F024D"/>
    <w:rsid w:val="002F3EF8"/>
    <w:rsid w:val="002F4B2C"/>
    <w:rsid w:val="002F6308"/>
    <w:rsid w:val="00300011"/>
    <w:rsid w:val="00300563"/>
    <w:rsid w:val="00303341"/>
    <w:rsid w:val="003052BC"/>
    <w:rsid w:val="00305AFC"/>
    <w:rsid w:val="00305BEB"/>
    <w:rsid w:val="00314073"/>
    <w:rsid w:val="00316930"/>
    <w:rsid w:val="0031731B"/>
    <w:rsid w:val="00320B29"/>
    <w:rsid w:val="00324C4A"/>
    <w:rsid w:val="00326EFD"/>
    <w:rsid w:val="00334E6F"/>
    <w:rsid w:val="003379AB"/>
    <w:rsid w:val="00341A20"/>
    <w:rsid w:val="0034298C"/>
    <w:rsid w:val="00350191"/>
    <w:rsid w:val="00350728"/>
    <w:rsid w:val="00350E32"/>
    <w:rsid w:val="00351519"/>
    <w:rsid w:val="003525A7"/>
    <w:rsid w:val="0035563C"/>
    <w:rsid w:val="00356656"/>
    <w:rsid w:val="003648A8"/>
    <w:rsid w:val="00365A6D"/>
    <w:rsid w:val="0037143B"/>
    <w:rsid w:val="0037202A"/>
    <w:rsid w:val="00372D5D"/>
    <w:rsid w:val="0037463E"/>
    <w:rsid w:val="003761D9"/>
    <w:rsid w:val="00382358"/>
    <w:rsid w:val="0039239E"/>
    <w:rsid w:val="003953BB"/>
    <w:rsid w:val="00397641"/>
    <w:rsid w:val="00397E7D"/>
    <w:rsid w:val="003A0370"/>
    <w:rsid w:val="003A7F3F"/>
    <w:rsid w:val="003B1B22"/>
    <w:rsid w:val="003B228E"/>
    <w:rsid w:val="003B2B33"/>
    <w:rsid w:val="003B2F0C"/>
    <w:rsid w:val="003B56FB"/>
    <w:rsid w:val="003B5952"/>
    <w:rsid w:val="003C0E8D"/>
    <w:rsid w:val="003C1CF2"/>
    <w:rsid w:val="003C4448"/>
    <w:rsid w:val="003C5B8F"/>
    <w:rsid w:val="003D1D6A"/>
    <w:rsid w:val="003D5F42"/>
    <w:rsid w:val="003E004C"/>
    <w:rsid w:val="003E221D"/>
    <w:rsid w:val="003E6415"/>
    <w:rsid w:val="003E7096"/>
    <w:rsid w:val="003E7575"/>
    <w:rsid w:val="003F2116"/>
    <w:rsid w:val="003F3042"/>
    <w:rsid w:val="003F4DB7"/>
    <w:rsid w:val="003F635E"/>
    <w:rsid w:val="00403A4D"/>
    <w:rsid w:val="00403AA6"/>
    <w:rsid w:val="0040557D"/>
    <w:rsid w:val="00410C60"/>
    <w:rsid w:val="00414822"/>
    <w:rsid w:val="0041758E"/>
    <w:rsid w:val="00417C02"/>
    <w:rsid w:val="00423DED"/>
    <w:rsid w:val="00424CBF"/>
    <w:rsid w:val="00424EAE"/>
    <w:rsid w:val="00432649"/>
    <w:rsid w:val="00432E25"/>
    <w:rsid w:val="00433794"/>
    <w:rsid w:val="004411BC"/>
    <w:rsid w:val="004415ED"/>
    <w:rsid w:val="0044388C"/>
    <w:rsid w:val="00445F66"/>
    <w:rsid w:val="0044773C"/>
    <w:rsid w:val="00457246"/>
    <w:rsid w:val="00464E69"/>
    <w:rsid w:val="00465435"/>
    <w:rsid w:val="00465AC8"/>
    <w:rsid w:val="00467635"/>
    <w:rsid w:val="00471A94"/>
    <w:rsid w:val="00473FAF"/>
    <w:rsid w:val="004758A2"/>
    <w:rsid w:val="00486E69"/>
    <w:rsid w:val="00487577"/>
    <w:rsid w:val="00494386"/>
    <w:rsid w:val="00494B8A"/>
    <w:rsid w:val="00495B9E"/>
    <w:rsid w:val="00497467"/>
    <w:rsid w:val="004977E7"/>
    <w:rsid w:val="00497D7A"/>
    <w:rsid w:val="00497F7D"/>
    <w:rsid w:val="004A0DF2"/>
    <w:rsid w:val="004A206B"/>
    <w:rsid w:val="004A49BC"/>
    <w:rsid w:val="004B34D5"/>
    <w:rsid w:val="004B60DD"/>
    <w:rsid w:val="004B6E54"/>
    <w:rsid w:val="004B7A95"/>
    <w:rsid w:val="004C30D4"/>
    <w:rsid w:val="004C47C2"/>
    <w:rsid w:val="004C619D"/>
    <w:rsid w:val="004E0952"/>
    <w:rsid w:val="004E24A2"/>
    <w:rsid w:val="004E42D5"/>
    <w:rsid w:val="004E4C7A"/>
    <w:rsid w:val="004E6C8E"/>
    <w:rsid w:val="004F0A14"/>
    <w:rsid w:val="004F1014"/>
    <w:rsid w:val="004F323A"/>
    <w:rsid w:val="004F79AC"/>
    <w:rsid w:val="005009A2"/>
    <w:rsid w:val="005019BE"/>
    <w:rsid w:val="00512B87"/>
    <w:rsid w:val="00512E67"/>
    <w:rsid w:val="00514678"/>
    <w:rsid w:val="00514B1C"/>
    <w:rsid w:val="0051591B"/>
    <w:rsid w:val="00517566"/>
    <w:rsid w:val="00521073"/>
    <w:rsid w:val="00530887"/>
    <w:rsid w:val="00532155"/>
    <w:rsid w:val="00532BF9"/>
    <w:rsid w:val="005335AD"/>
    <w:rsid w:val="005341DE"/>
    <w:rsid w:val="0053698E"/>
    <w:rsid w:val="00540F6F"/>
    <w:rsid w:val="00541238"/>
    <w:rsid w:val="00542575"/>
    <w:rsid w:val="00542C05"/>
    <w:rsid w:val="00545125"/>
    <w:rsid w:val="00546D29"/>
    <w:rsid w:val="00550A3C"/>
    <w:rsid w:val="005523E4"/>
    <w:rsid w:val="0056166A"/>
    <w:rsid w:val="00563C5C"/>
    <w:rsid w:val="0056698B"/>
    <w:rsid w:val="0057246D"/>
    <w:rsid w:val="00573F67"/>
    <w:rsid w:val="00574AED"/>
    <w:rsid w:val="005758DA"/>
    <w:rsid w:val="005827E7"/>
    <w:rsid w:val="005848B2"/>
    <w:rsid w:val="00585537"/>
    <w:rsid w:val="00585940"/>
    <w:rsid w:val="00591ADC"/>
    <w:rsid w:val="00591E05"/>
    <w:rsid w:val="005977FF"/>
    <w:rsid w:val="005A17CE"/>
    <w:rsid w:val="005A3332"/>
    <w:rsid w:val="005A3CAD"/>
    <w:rsid w:val="005A57E4"/>
    <w:rsid w:val="005A606D"/>
    <w:rsid w:val="005A6290"/>
    <w:rsid w:val="005A7A09"/>
    <w:rsid w:val="005B11DA"/>
    <w:rsid w:val="005B5449"/>
    <w:rsid w:val="005B612C"/>
    <w:rsid w:val="005B648E"/>
    <w:rsid w:val="005B6D21"/>
    <w:rsid w:val="005B7694"/>
    <w:rsid w:val="005C3410"/>
    <w:rsid w:val="005C4BCB"/>
    <w:rsid w:val="005D57B8"/>
    <w:rsid w:val="005E1EB3"/>
    <w:rsid w:val="005E2470"/>
    <w:rsid w:val="005E2B4C"/>
    <w:rsid w:val="005E4162"/>
    <w:rsid w:val="005E503C"/>
    <w:rsid w:val="005E6B1C"/>
    <w:rsid w:val="005E7747"/>
    <w:rsid w:val="005F0E6E"/>
    <w:rsid w:val="005F6726"/>
    <w:rsid w:val="005F7DFB"/>
    <w:rsid w:val="006070B9"/>
    <w:rsid w:val="00610BA0"/>
    <w:rsid w:val="00612800"/>
    <w:rsid w:val="006140AB"/>
    <w:rsid w:val="0061425D"/>
    <w:rsid w:val="00614AB1"/>
    <w:rsid w:val="00616CC4"/>
    <w:rsid w:val="00617761"/>
    <w:rsid w:val="00623F0C"/>
    <w:rsid w:val="00624596"/>
    <w:rsid w:val="0062491A"/>
    <w:rsid w:val="00624C3F"/>
    <w:rsid w:val="006365D6"/>
    <w:rsid w:val="00636960"/>
    <w:rsid w:val="006378B8"/>
    <w:rsid w:val="00640D46"/>
    <w:rsid w:val="00642B87"/>
    <w:rsid w:val="0064770A"/>
    <w:rsid w:val="006505F6"/>
    <w:rsid w:val="00651511"/>
    <w:rsid w:val="00652F58"/>
    <w:rsid w:val="00656ADE"/>
    <w:rsid w:val="00657085"/>
    <w:rsid w:val="006570C1"/>
    <w:rsid w:val="006573BA"/>
    <w:rsid w:val="00666999"/>
    <w:rsid w:val="0067022A"/>
    <w:rsid w:val="00672708"/>
    <w:rsid w:val="00672B4E"/>
    <w:rsid w:val="006775F8"/>
    <w:rsid w:val="006779C0"/>
    <w:rsid w:val="00682771"/>
    <w:rsid w:val="00687285"/>
    <w:rsid w:val="00687358"/>
    <w:rsid w:val="00687B3B"/>
    <w:rsid w:val="00690DE9"/>
    <w:rsid w:val="00693A60"/>
    <w:rsid w:val="00694707"/>
    <w:rsid w:val="006950D0"/>
    <w:rsid w:val="00696EA8"/>
    <w:rsid w:val="006A159A"/>
    <w:rsid w:val="006A17C2"/>
    <w:rsid w:val="006A38A2"/>
    <w:rsid w:val="006A3AD0"/>
    <w:rsid w:val="006A4066"/>
    <w:rsid w:val="006A582C"/>
    <w:rsid w:val="006A7C9A"/>
    <w:rsid w:val="006B20CB"/>
    <w:rsid w:val="006B4F3D"/>
    <w:rsid w:val="006C28E0"/>
    <w:rsid w:val="006C36EB"/>
    <w:rsid w:val="006C3D11"/>
    <w:rsid w:val="006C4727"/>
    <w:rsid w:val="006C5926"/>
    <w:rsid w:val="006D06BF"/>
    <w:rsid w:val="006D0E1A"/>
    <w:rsid w:val="006D49A6"/>
    <w:rsid w:val="006D4DC4"/>
    <w:rsid w:val="006D4E54"/>
    <w:rsid w:val="006E3465"/>
    <w:rsid w:val="006E374E"/>
    <w:rsid w:val="006E5129"/>
    <w:rsid w:val="006E6BEA"/>
    <w:rsid w:val="006F03EC"/>
    <w:rsid w:val="006F0C4E"/>
    <w:rsid w:val="006F3642"/>
    <w:rsid w:val="006F46A5"/>
    <w:rsid w:val="006F5FE9"/>
    <w:rsid w:val="007040EF"/>
    <w:rsid w:val="00704D0D"/>
    <w:rsid w:val="00705109"/>
    <w:rsid w:val="007074AA"/>
    <w:rsid w:val="00714335"/>
    <w:rsid w:val="00714F23"/>
    <w:rsid w:val="0071700E"/>
    <w:rsid w:val="00725B55"/>
    <w:rsid w:val="007263FF"/>
    <w:rsid w:val="0072798D"/>
    <w:rsid w:val="007315D0"/>
    <w:rsid w:val="00734592"/>
    <w:rsid w:val="00736448"/>
    <w:rsid w:val="007457F7"/>
    <w:rsid w:val="007467E8"/>
    <w:rsid w:val="00752E09"/>
    <w:rsid w:val="007543CC"/>
    <w:rsid w:val="007552D9"/>
    <w:rsid w:val="007573B9"/>
    <w:rsid w:val="007579DC"/>
    <w:rsid w:val="0076044C"/>
    <w:rsid w:val="00760CF5"/>
    <w:rsid w:val="007620F4"/>
    <w:rsid w:val="00771019"/>
    <w:rsid w:val="0077128F"/>
    <w:rsid w:val="00774B54"/>
    <w:rsid w:val="00782299"/>
    <w:rsid w:val="007858F5"/>
    <w:rsid w:val="00787E04"/>
    <w:rsid w:val="00787ED5"/>
    <w:rsid w:val="00792914"/>
    <w:rsid w:val="00793153"/>
    <w:rsid w:val="00795F2F"/>
    <w:rsid w:val="007A070E"/>
    <w:rsid w:val="007A2759"/>
    <w:rsid w:val="007A4855"/>
    <w:rsid w:val="007A79EE"/>
    <w:rsid w:val="007A7E06"/>
    <w:rsid w:val="007B07F5"/>
    <w:rsid w:val="007B63AA"/>
    <w:rsid w:val="007B7277"/>
    <w:rsid w:val="007B744F"/>
    <w:rsid w:val="007C2B24"/>
    <w:rsid w:val="007C6C5F"/>
    <w:rsid w:val="007C6D01"/>
    <w:rsid w:val="007C7ADA"/>
    <w:rsid w:val="007D3EB3"/>
    <w:rsid w:val="007D4A82"/>
    <w:rsid w:val="007D550D"/>
    <w:rsid w:val="007D64C1"/>
    <w:rsid w:val="007D68A5"/>
    <w:rsid w:val="007D6DAF"/>
    <w:rsid w:val="007D770E"/>
    <w:rsid w:val="007E073F"/>
    <w:rsid w:val="007E1656"/>
    <w:rsid w:val="007E3858"/>
    <w:rsid w:val="007E471C"/>
    <w:rsid w:val="007E5E6B"/>
    <w:rsid w:val="007E6680"/>
    <w:rsid w:val="007F5800"/>
    <w:rsid w:val="007F5932"/>
    <w:rsid w:val="007F6214"/>
    <w:rsid w:val="007F6626"/>
    <w:rsid w:val="008102C8"/>
    <w:rsid w:val="00810E2F"/>
    <w:rsid w:val="00814679"/>
    <w:rsid w:val="008212C5"/>
    <w:rsid w:val="00821B78"/>
    <w:rsid w:val="00821FDF"/>
    <w:rsid w:val="008224C0"/>
    <w:rsid w:val="008278E4"/>
    <w:rsid w:val="00830D4F"/>
    <w:rsid w:val="00831659"/>
    <w:rsid w:val="00842C9A"/>
    <w:rsid w:val="008534E5"/>
    <w:rsid w:val="00860837"/>
    <w:rsid w:val="0086214E"/>
    <w:rsid w:val="00862617"/>
    <w:rsid w:val="00862CFB"/>
    <w:rsid w:val="00871B13"/>
    <w:rsid w:val="0087536A"/>
    <w:rsid w:val="00882F71"/>
    <w:rsid w:val="00883426"/>
    <w:rsid w:val="0088375F"/>
    <w:rsid w:val="00883D12"/>
    <w:rsid w:val="008846B9"/>
    <w:rsid w:val="00884C16"/>
    <w:rsid w:val="008850A0"/>
    <w:rsid w:val="00890DA8"/>
    <w:rsid w:val="00893505"/>
    <w:rsid w:val="008A116B"/>
    <w:rsid w:val="008A28A4"/>
    <w:rsid w:val="008A61E0"/>
    <w:rsid w:val="008A709C"/>
    <w:rsid w:val="008A7CA0"/>
    <w:rsid w:val="008B15A1"/>
    <w:rsid w:val="008B2ABD"/>
    <w:rsid w:val="008B432D"/>
    <w:rsid w:val="008C033D"/>
    <w:rsid w:val="008C1893"/>
    <w:rsid w:val="008C292C"/>
    <w:rsid w:val="008C2B25"/>
    <w:rsid w:val="008C2BAD"/>
    <w:rsid w:val="008C5467"/>
    <w:rsid w:val="008C7BF2"/>
    <w:rsid w:val="008D1CE7"/>
    <w:rsid w:val="008D299A"/>
    <w:rsid w:val="008D481A"/>
    <w:rsid w:val="008D5108"/>
    <w:rsid w:val="008E0126"/>
    <w:rsid w:val="008E06D9"/>
    <w:rsid w:val="008E1830"/>
    <w:rsid w:val="008E2412"/>
    <w:rsid w:val="008E30CD"/>
    <w:rsid w:val="008E6277"/>
    <w:rsid w:val="008E7F32"/>
    <w:rsid w:val="008F505F"/>
    <w:rsid w:val="008F5C33"/>
    <w:rsid w:val="00900DF6"/>
    <w:rsid w:val="00903D6C"/>
    <w:rsid w:val="00903EA4"/>
    <w:rsid w:val="00906117"/>
    <w:rsid w:val="00907FD2"/>
    <w:rsid w:val="009150CD"/>
    <w:rsid w:val="009166DC"/>
    <w:rsid w:val="009170E9"/>
    <w:rsid w:val="00921345"/>
    <w:rsid w:val="009215FC"/>
    <w:rsid w:val="009217AC"/>
    <w:rsid w:val="0092227B"/>
    <w:rsid w:val="0092347C"/>
    <w:rsid w:val="009237E1"/>
    <w:rsid w:val="00924973"/>
    <w:rsid w:val="00926B8E"/>
    <w:rsid w:val="00927CD2"/>
    <w:rsid w:val="009339E4"/>
    <w:rsid w:val="00933B4F"/>
    <w:rsid w:val="00940B34"/>
    <w:rsid w:val="00941A53"/>
    <w:rsid w:val="0094539F"/>
    <w:rsid w:val="00947754"/>
    <w:rsid w:val="00950C76"/>
    <w:rsid w:val="00956F46"/>
    <w:rsid w:val="00973BFE"/>
    <w:rsid w:val="00975C6C"/>
    <w:rsid w:val="00976719"/>
    <w:rsid w:val="00981411"/>
    <w:rsid w:val="00983961"/>
    <w:rsid w:val="009921DA"/>
    <w:rsid w:val="00994247"/>
    <w:rsid w:val="009958A1"/>
    <w:rsid w:val="009969BF"/>
    <w:rsid w:val="00997309"/>
    <w:rsid w:val="009A0B17"/>
    <w:rsid w:val="009A0F23"/>
    <w:rsid w:val="009A21E0"/>
    <w:rsid w:val="009A33B4"/>
    <w:rsid w:val="009A6E25"/>
    <w:rsid w:val="009A6F36"/>
    <w:rsid w:val="009A73FB"/>
    <w:rsid w:val="009A7631"/>
    <w:rsid w:val="009A7B21"/>
    <w:rsid w:val="009B17B0"/>
    <w:rsid w:val="009B7557"/>
    <w:rsid w:val="009C2320"/>
    <w:rsid w:val="009C255F"/>
    <w:rsid w:val="009C3C97"/>
    <w:rsid w:val="009C433B"/>
    <w:rsid w:val="009C562D"/>
    <w:rsid w:val="009C64BD"/>
    <w:rsid w:val="009C6AC2"/>
    <w:rsid w:val="009D0A15"/>
    <w:rsid w:val="009D19D0"/>
    <w:rsid w:val="009D4992"/>
    <w:rsid w:val="009D6164"/>
    <w:rsid w:val="009E0962"/>
    <w:rsid w:val="009E2194"/>
    <w:rsid w:val="009E528F"/>
    <w:rsid w:val="009E7660"/>
    <w:rsid w:val="009E7B0C"/>
    <w:rsid w:val="009F192A"/>
    <w:rsid w:val="009F2F39"/>
    <w:rsid w:val="009F48CB"/>
    <w:rsid w:val="009F7A88"/>
    <w:rsid w:val="00A055A5"/>
    <w:rsid w:val="00A05CCB"/>
    <w:rsid w:val="00A06160"/>
    <w:rsid w:val="00A0680A"/>
    <w:rsid w:val="00A10E42"/>
    <w:rsid w:val="00A13EF8"/>
    <w:rsid w:val="00A17469"/>
    <w:rsid w:val="00A20198"/>
    <w:rsid w:val="00A21D9E"/>
    <w:rsid w:val="00A2407A"/>
    <w:rsid w:val="00A24353"/>
    <w:rsid w:val="00A317BA"/>
    <w:rsid w:val="00A405CC"/>
    <w:rsid w:val="00A43CD8"/>
    <w:rsid w:val="00A44D6A"/>
    <w:rsid w:val="00A46417"/>
    <w:rsid w:val="00A50D3F"/>
    <w:rsid w:val="00A52490"/>
    <w:rsid w:val="00A54CD1"/>
    <w:rsid w:val="00A560E4"/>
    <w:rsid w:val="00A5642B"/>
    <w:rsid w:val="00A571E2"/>
    <w:rsid w:val="00A67995"/>
    <w:rsid w:val="00A74BE5"/>
    <w:rsid w:val="00A77D9E"/>
    <w:rsid w:val="00A77F9D"/>
    <w:rsid w:val="00A8308F"/>
    <w:rsid w:val="00A843BC"/>
    <w:rsid w:val="00A84596"/>
    <w:rsid w:val="00A84628"/>
    <w:rsid w:val="00A84C66"/>
    <w:rsid w:val="00A8662A"/>
    <w:rsid w:val="00A93106"/>
    <w:rsid w:val="00A932E7"/>
    <w:rsid w:val="00A9507E"/>
    <w:rsid w:val="00A95810"/>
    <w:rsid w:val="00A970B9"/>
    <w:rsid w:val="00AA1270"/>
    <w:rsid w:val="00AA2867"/>
    <w:rsid w:val="00AA294D"/>
    <w:rsid w:val="00AB7792"/>
    <w:rsid w:val="00AC21B7"/>
    <w:rsid w:val="00AC6497"/>
    <w:rsid w:val="00AD57B2"/>
    <w:rsid w:val="00AD6911"/>
    <w:rsid w:val="00AE25C3"/>
    <w:rsid w:val="00AE28F0"/>
    <w:rsid w:val="00AE38CA"/>
    <w:rsid w:val="00AE4A48"/>
    <w:rsid w:val="00AF5D20"/>
    <w:rsid w:val="00B00E6F"/>
    <w:rsid w:val="00B01828"/>
    <w:rsid w:val="00B01AA6"/>
    <w:rsid w:val="00B02072"/>
    <w:rsid w:val="00B06999"/>
    <w:rsid w:val="00B06D2A"/>
    <w:rsid w:val="00B10026"/>
    <w:rsid w:val="00B14028"/>
    <w:rsid w:val="00B20FA4"/>
    <w:rsid w:val="00B212F3"/>
    <w:rsid w:val="00B21AB7"/>
    <w:rsid w:val="00B222CF"/>
    <w:rsid w:val="00B24231"/>
    <w:rsid w:val="00B2565B"/>
    <w:rsid w:val="00B30FF3"/>
    <w:rsid w:val="00B329E6"/>
    <w:rsid w:val="00B339E6"/>
    <w:rsid w:val="00B350AE"/>
    <w:rsid w:val="00B3546F"/>
    <w:rsid w:val="00B40A3D"/>
    <w:rsid w:val="00B4426B"/>
    <w:rsid w:val="00B4472F"/>
    <w:rsid w:val="00B44DC3"/>
    <w:rsid w:val="00B45E4B"/>
    <w:rsid w:val="00B5483A"/>
    <w:rsid w:val="00B575A5"/>
    <w:rsid w:val="00B579EE"/>
    <w:rsid w:val="00B60441"/>
    <w:rsid w:val="00B6179A"/>
    <w:rsid w:val="00B634D3"/>
    <w:rsid w:val="00B67078"/>
    <w:rsid w:val="00B67C3B"/>
    <w:rsid w:val="00B723CF"/>
    <w:rsid w:val="00B72A11"/>
    <w:rsid w:val="00B72EAF"/>
    <w:rsid w:val="00B77AE6"/>
    <w:rsid w:val="00B81D1D"/>
    <w:rsid w:val="00B825B0"/>
    <w:rsid w:val="00B852C7"/>
    <w:rsid w:val="00B85A04"/>
    <w:rsid w:val="00B86500"/>
    <w:rsid w:val="00B87159"/>
    <w:rsid w:val="00B8775C"/>
    <w:rsid w:val="00B91B7E"/>
    <w:rsid w:val="00B93CC2"/>
    <w:rsid w:val="00BA08C3"/>
    <w:rsid w:val="00BA3BD6"/>
    <w:rsid w:val="00BA7090"/>
    <w:rsid w:val="00BA7A2F"/>
    <w:rsid w:val="00BB16CC"/>
    <w:rsid w:val="00BB35B4"/>
    <w:rsid w:val="00BB785F"/>
    <w:rsid w:val="00BC04B2"/>
    <w:rsid w:val="00BC0E82"/>
    <w:rsid w:val="00BC0EE0"/>
    <w:rsid w:val="00BC2721"/>
    <w:rsid w:val="00BC2EED"/>
    <w:rsid w:val="00BD03AF"/>
    <w:rsid w:val="00BD7808"/>
    <w:rsid w:val="00BE0A68"/>
    <w:rsid w:val="00BE3C46"/>
    <w:rsid w:val="00BF0651"/>
    <w:rsid w:val="00BF4BE5"/>
    <w:rsid w:val="00BF7C4A"/>
    <w:rsid w:val="00C021A0"/>
    <w:rsid w:val="00C04CB7"/>
    <w:rsid w:val="00C0585E"/>
    <w:rsid w:val="00C1185E"/>
    <w:rsid w:val="00C13668"/>
    <w:rsid w:val="00C13BD2"/>
    <w:rsid w:val="00C21110"/>
    <w:rsid w:val="00C30A26"/>
    <w:rsid w:val="00C30EF9"/>
    <w:rsid w:val="00C34042"/>
    <w:rsid w:val="00C366B1"/>
    <w:rsid w:val="00C42ACD"/>
    <w:rsid w:val="00C44832"/>
    <w:rsid w:val="00C44E69"/>
    <w:rsid w:val="00C47245"/>
    <w:rsid w:val="00C511D7"/>
    <w:rsid w:val="00C5455A"/>
    <w:rsid w:val="00C54FC6"/>
    <w:rsid w:val="00C57629"/>
    <w:rsid w:val="00C57E4F"/>
    <w:rsid w:val="00C612D3"/>
    <w:rsid w:val="00C61D9E"/>
    <w:rsid w:val="00C6455E"/>
    <w:rsid w:val="00C7545C"/>
    <w:rsid w:val="00C80463"/>
    <w:rsid w:val="00C81C21"/>
    <w:rsid w:val="00C82C81"/>
    <w:rsid w:val="00C840EB"/>
    <w:rsid w:val="00C863F0"/>
    <w:rsid w:val="00C920E0"/>
    <w:rsid w:val="00C92FE1"/>
    <w:rsid w:val="00C93A60"/>
    <w:rsid w:val="00CA2C7E"/>
    <w:rsid w:val="00CA3ABF"/>
    <w:rsid w:val="00CA3C60"/>
    <w:rsid w:val="00CA4842"/>
    <w:rsid w:val="00CA5894"/>
    <w:rsid w:val="00CA6E81"/>
    <w:rsid w:val="00CB03B3"/>
    <w:rsid w:val="00CC17B4"/>
    <w:rsid w:val="00CC2470"/>
    <w:rsid w:val="00CC2C82"/>
    <w:rsid w:val="00CC47D1"/>
    <w:rsid w:val="00CC512D"/>
    <w:rsid w:val="00CC5946"/>
    <w:rsid w:val="00CC6822"/>
    <w:rsid w:val="00CD27A9"/>
    <w:rsid w:val="00CD3113"/>
    <w:rsid w:val="00CD62E5"/>
    <w:rsid w:val="00CE01EE"/>
    <w:rsid w:val="00CE1318"/>
    <w:rsid w:val="00CE4584"/>
    <w:rsid w:val="00CE5002"/>
    <w:rsid w:val="00CF0773"/>
    <w:rsid w:val="00CF2D76"/>
    <w:rsid w:val="00CF4496"/>
    <w:rsid w:val="00CF563F"/>
    <w:rsid w:val="00CF5D17"/>
    <w:rsid w:val="00CF5E4D"/>
    <w:rsid w:val="00CF7968"/>
    <w:rsid w:val="00CF7C22"/>
    <w:rsid w:val="00D006E1"/>
    <w:rsid w:val="00D014DC"/>
    <w:rsid w:val="00D0330C"/>
    <w:rsid w:val="00D037C2"/>
    <w:rsid w:val="00D04815"/>
    <w:rsid w:val="00D1145D"/>
    <w:rsid w:val="00D114C3"/>
    <w:rsid w:val="00D12CB9"/>
    <w:rsid w:val="00D12F56"/>
    <w:rsid w:val="00D13A32"/>
    <w:rsid w:val="00D22D7D"/>
    <w:rsid w:val="00D245ED"/>
    <w:rsid w:val="00D250AF"/>
    <w:rsid w:val="00D2761B"/>
    <w:rsid w:val="00D30BAF"/>
    <w:rsid w:val="00D317A0"/>
    <w:rsid w:val="00D3472C"/>
    <w:rsid w:val="00D43631"/>
    <w:rsid w:val="00D43EE5"/>
    <w:rsid w:val="00D4450B"/>
    <w:rsid w:val="00D541B8"/>
    <w:rsid w:val="00D54D56"/>
    <w:rsid w:val="00D55BDD"/>
    <w:rsid w:val="00D57FE8"/>
    <w:rsid w:val="00D607C5"/>
    <w:rsid w:val="00D60C2E"/>
    <w:rsid w:val="00D66A33"/>
    <w:rsid w:val="00D70007"/>
    <w:rsid w:val="00D70A59"/>
    <w:rsid w:val="00D74F60"/>
    <w:rsid w:val="00D75939"/>
    <w:rsid w:val="00D77E2A"/>
    <w:rsid w:val="00D868F7"/>
    <w:rsid w:val="00D872B6"/>
    <w:rsid w:val="00D9002E"/>
    <w:rsid w:val="00D93790"/>
    <w:rsid w:val="00D9472F"/>
    <w:rsid w:val="00D94F2F"/>
    <w:rsid w:val="00D97042"/>
    <w:rsid w:val="00DA1BE7"/>
    <w:rsid w:val="00DA5791"/>
    <w:rsid w:val="00DB1C91"/>
    <w:rsid w:val="00DB28E9"/>
    <w:rsid w:val="00DB33C7"/>
    <w:rsid w:val="00DB554F"/>
    <w:rsid w:val="00DB6F9D"/>
    <w:rsid w:val="00DC2AF3"/>
    <w:rsid w:val="00DD0869"/>
    <w:rsid w:val="00DD0BA3"/>
    <w:rsid w:val="00DD46EF"/>
    <w:rsid w:val="00DD73C4"/>
    <w:rsid w:val="00DD7598"/>
    <w:rsid w:val="00DE0272"/>
    <w:rsid w:val="00DE15A8"/>
    <w:rsid w:val="00DE2DA5"/>
    <w:rsid w:val="00DE3CDB"/>
    <w:rsid w:val="00DE3EE9"/>
    <w:rsid w:val="00DE5DBB"/>
    <w:rsid w:val="00DF1C53"/>
    <w:rsid w:val="00DF49A7"/>
    <w:rsid w:val="00E000D9"/>
    <w:rsid w:val="00E02DAB"/>
    <w:rsid w:val="00E04C42"/>
    <w:rsid w:val="00E07BD9"/>
    <w:rsid w:val="00E11BB0"/>
    <w:rsid w:val="00E12521"/>
    <w:rsid w:val="00E13F5D"/>
    <w:rsid w:val="00E15E10"/>
    <w:rsid w:val="00E17C91"/>
    <w:rsid w:val="00E229B4"/>
    <w:rsid w:val="00E24875"/>
    <w:rsid w:val="00E248E2"/>
    <w:rsid w:val="00E25B67"/>
    <w:rsid w:val="00E34619"/>
    <w:rsid w:val="00E349CA"/>
    <w:rsid w:val="00E360E5"/>
    <w:rsid w:val="00E44F77"/>
    <w:rsid w:val="00E5336D"/>
    <w:rsid w:val="00E55349"/>
    <w:rsid w:val="00E5549C"/>
    <w:rsid w:val="00E62995"/>
    <w:rsid w:val="00E64EBA"/>
    <w:rsid w:val="00E66264"/>
    <w:rsid w:val="00E662B1"/>
    <w:rsid w:val="00E6664C"/>
    <w:rsid w:val="00E66D9F"/>
    <w:rsid w:val="00E70BC4"/>
    <w:rsid w:val="00E7228D"/>
    <w:rsid w:val="00E75BFF"/>
    <w:rsid w:val="00E77793"/>
    <w:rsid w:val="00E804F9"/>
    <w:rsid w:val="00E80975"/>
    <w:rsid w:val="00EA3629"/>
    <w:rsid w:val="00EB0F80"/>
    <w:rsid w:val="00EB4A67"/>
    <w:rsid w:val="00EB73C0"/>
    <w:rsid w:val="00EB7A49"/>
    <w:rsid w:val="00EC2214"/>
    <w:rsid w:val="00EC258F"/>
    <w:rsid w:val="00EC37F3"/>
    <w:rsid w:val="00ED3C3E"/>
    <w:rsid w:val="00ED505B"/>
    <w:rsid w:val="00EE07C5"/>
    <w:rsid w:val="00EE1D6D"/>
    <w:rsid w:val="00EE4D92"/>
    <w:rsid w:val="00EE52E0"/>
    <w:rsid w:val="00EE6753"/>
    <w:rsid w:val="00EF3EF7"/>
    <w:rsid w:val="00EF4C6B"/>
    <w:rsid w:val="00F00867"/>
    <w:rsid w:val="00F015E9"/>
    <w:rsid w:val="00F022B4"/>
    <w:rsid w:val="00F04793"/>
    <w:rsid w:val="00F058A1"/>
    <w:rsid w:val="00F05B44"/>
    <w:rsid w:val="00F12F60"/>
    <w:rsid w:val="00F15C4F"/>
    <w:rsid w:val="00F169F0"/>
    <w:rsid w:val="00F17E50"/>
    <w:rsid w:val="00F20384"/>
    <w:rsid w:val="00F21934"/>
    <w:rsid w:val="00F31301"/>
    <w:rsid w:val="00F32635"/>
    <w:rsid w:val="00F32AA6"/>
    <w:rsid w:val="00F34682"/>
    <w:rsid w:val="00F41483"/>
    <w:rsid w:val="00F4153D"/>
    <w:rsid w:val="00F41D21"/>
    <w:rsid w:val="00F43680"/>
    <w:rsid w:val="00F45225"/>
    <w:rsid w:val="00F45628"/>
    <w:rsid w:val="00F45DB3"/>
    <w:rsid w:val="00F503F7"/>
    <w:rsid w:val="00F52745"/>
    <w:rsid w:val="00F6007D"/>
    <w:rsid w:val="00F61513"/>
    <w:rsid w:val="00F61A18"/>
    <w:rsid w:val="00F6271E"/>
    <w:rsid w:val="00F62EE8"/>
    <w:rsid w:val="00F653B2"/>
    <w:rsid w:val="00F66F00"/>
    <w:rsid w:val="00F714BD"/>
    <w:rsid w:val="00F71631"/>
    <w:rsid w:val="00F718B9"/>
    <w:rsid w:val="00F72E60"/>
    <w:rsid w:val="00F807F2"/>
    <w:rsid w:val="00F80890"/>
    <w:rsid w:val="00F825C5"/>
    <w:rsid w:val="00F82D67"/>
    <w:rsid w:val="00F82D82"/>
    <w:rsid w:val="00F8573A"/>
    <w:rsid w:val="00F869DC"/>
    <w:rsid w:val="00F87D38"/>
    <w:rsid w:val="00F9199E"/>
    <w:rsid w:val="00F924D3"/>
    <w:rsid w:val="00F92FBA"/>
    <w:rsid w:val="00F931E6"/>
    <w:rsid w:val="00F93561"/>
    <w:rsid w:val="00F943A4"/>
    <w:rsid w:val="00F97446"/>
    <w:rsid w:val="00FA1706"/>
    <w:rsid w:val="00FA1B21"/>
    <w:rsid w:val="00FA3FB1"/>
    <w:rsid w:val="00FA4BEC"/>
    <w:rsid w:val="00FB15C0"/>
    <w:rsid w:val="00FB331E"/>
    <w:rsid w:val="00FB51C9"/>
    <w:rsid w:val="00FB7548"/>
    <w:rsid w:val="00FC040D"/>
    <w:rsid w:val="00FC182F"/>
    <w:rsid w:val="00FC20B2"/>
    <w:rsid w:val="00FC3738"/>
    <w:rsid w:val="00FC62A1"/>
    <w:rsid w:val="00FC7F11"/>
    <w:rsid w:val="00FD1A2E"/>
    <w:rsid w:val="00FD2A89"/>
    <w:rsid w:val="00FD34A4"/>
    <w:rsid w:val="00FF267A"/>
    <w:rsid w:val="00FF5825"/>
  </w:rsids>
  <w:docVars>
    <w:docVar w:name="APWAFVersion" w:val="5.0"/>
  </w:docVars>
  <m:mathPr>
    <m:mathFont m:val="Cambria Math"/>
  </m:mathPr>
  <w:themeFontLang w:val="en-US" w:bidi="as-IN"/>
  <w:clrSchemeMapping w:bg1="light1" w:t1="dark1" w:bg2="light2" w:t2="dark2" w:accent1="accent1" w:accent2="accent2" w:accent3="accent3" w:accent4="accent4" w:accent5="accent5" w:accent6="accent6" w:hyperlink="hyperlink" w:followedHyperlink="followedHyperlink"/>
  <w15:chartTrackingRefBased/>
  <w15:docId w15:val="{FF3F3734-5D5E-4F8B-9623-BF5985E853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aliases w:val="W_Heading 1"/>
    <w:next w:val="Normal"/>
    <w:link w:val="Heading1Char"/>
    <w:uiPriority w:val="9"/>
    <w:qFormat/>
    <w:rsid w:val="00E12521"/>
    <w:pPr>
      <w:spacing w:after="360" w:line="276" w:lineRule="auto"/>
      <w:outlineLvl w:val="0"/>
    </w:pPr>
    <w:rPr>
      <w:rFonts w:ascii="Arial" w:hAnsi="Arial" w:cs="Arial"/>
      <w:b/>
      <w:bCs/>
      <w:color w:val="0F172B"/>
      <w:spacing w:val="-8"/>
      <w:sz w:val="40"/>
      <w:szCs w:val="40"/>
      <w:lang w:val="fi-FI"/>
    </w:rPr>
  </w:style>
  <w:style w:type="paragraph" w:styleId="Heading2">
    <w:name w:val="heading 2"/>
    <w:aliases w:val="W_HEADING2_"/>
    <w:basedOn w:val="WNormal"/>
    <w:next w:val="Normal"/>
    <w:link w:val="Heading2Char"/>
    <w:uiPriority w:val="9"/>
    <w:unhideWhenUsed/>
    <w:qFormat/>
    <w:rsid w:val="002920E7"/>
    <w:pPr>
      <w:spacing w:after="20"/>
      <w:outlineLvl w:val="1"/>
    </w:pPr>
    <w:rPr>
      <w:b/>
      <w:bCs/>
      <w:caps/>
      <w:color w:val="0F172B"/>
      <w:spacing w:val="0"/>
      <w:sz w:val="20"/>
      <w:szCs w:val="20"/>
    </w:rPr>
  </w:style>
  <w:style w:type="paragraph" w:styleId="Heading3">
    <w:name w:val="heading 3"/>
    <w:next w:val="Normal"/>
    <w:link w:val="Heading3Char"/>
    <w:uiPriority w:val="2"/>
    <w:unhideWhenUsed/>
    <w:qFormat/>
    <w:rsid w:val="005D1A27"/>
    <w:pPr>
      <w:keepNext/>
      <w:keepLines/>
      <w:spacing w:before="480" w:line="264" w:lineRule="auto"/>
      <w:outlineLvl w:val="2"/>
    </w:pPr>
    <w:rPr>
      <w:rFonts w:ascii="Arial" w:eastAsia="Arial" w:hAnsi="Arial" w:cs="Arial"/>
      <w:color w:val="000000"/>
      <w:sz w:val="24"/>
      <w:lang w:val="fi-FI" w:eastAsia="fi-F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WNormal">
    <w:name w:val="W_Normal"/>
    <w:qFormat/>
    <w:rsid w:val="00652F58"/>
    <w:pPr>
      <w:spacing w:after="240" w:line="276" w:lineRule="auto"/>
    </w:pPr>
    <w:rPr>
      <w:rFonts w:ascii="Arial" w:hAnsi="Arial" w:cs="Arial"/>
      <w:color w:val="111111"/>
      <w:spacing w:val="2"/>
      <w:sz w:val="17"/>
      <w:szCs w:val="16"/>
      <w:lang w:val="fi-FI"/>
    </w:rPr>
  </w:style>
  <w:style w:type="character" w:customStyle="1" w:styleId="IntenseQuoteChar">
    <w:name w:val="Intense Quote Char"/>
    <w:basedOn w:val="DefaultParagraphFont"/>
    <w:link w:val="IntenseQuote"/>
    <w:uiPriority w:val="30"/>
    <w:rsid w:val="009C562D"/>
    <w:rPr>
      <w:rFonts w:ascii="Arial" w:hAnsi="Arial" w:cs="Arial"/>
      <w:b/>
      <w:bCs/>
      <w:color w:val="0F172B"/>
      <w:spacing w:val="-8"/>
      <w:sz w:val="40"/>
      <w:szCs w:val="40"/>
      <w:lang w:val="fi-FI"/>
    </w:rPr>
  </w:style>
  <w:style w:type="paragraph" w:styleId="IntenseQuote">
    <w:name w:val="Intense Quote"/>
    <w:basedOn w:val="WNormal"/>
    <w:next w:val="Normal"/>
    <w:link w:val="IntenseQuoteChar"/>
    <w:uiPriority w:val="30"/>
    <w:qFormat/>
    <w:rsid w:val="009C562D"/>
    <w:pPr>
      <w:spacing w:after="360"/>
    </w:pPr>
    <w:rPr>
      <w:b/>
      <w:bCs/>
      <w:color w:val="0F172B"/>
      <w:spacing w:val="-8"/>
      <w:sz w:val="40"/>
      <w:szCs w:val="40"/>
    </w:rPr>
  </w:style>
  <w:style w:type="character" w:styleId="Hyperlink">
    <w:name w:val="Hyperlink"/>
    <w:basedOn w:val="DefaultParagraphFont"/>
    <w:uiPriority w:val="99"/>
    <w:unhideWhenUsed/>
    <w:rsid w:val="0015313C"/>
    <w:rPr>
      <w:color w:val="0563C1" w:themeColor="hyperlink"/>
      <w:u w:val="single"/>
    </w:rPr>
  </w:style>
  <w:style w:type="paragraph" w:customStyle="1" w:styleId="WHeading20">
    <w:name w:val="W_Heading2"/>
    <w:qFormat/>
    <w:rsid w:val="00CA2C7E"/>
    <w:pPr>
      <w:spacing w:after="20" w:line="276" w:lineRule="auto"/>
    </w:pPr>
    <w:rPr>
      <w:rFonts w:ascii="Arial" w:hAnsi="Arial" w:cs="Arial"/>
      <w:b/>
      <w:caps/>
      <w:color w:val="0F172B"/>
      <w:sz w:val="20"/>
      <w:szCs w:val="16"/>
      <w:lang w:val="fi-FI"/>
    </w:rPr>
  </w:style>
  <w:style w:type="paragraph" w:customStyle="1" w:styleId="WHeadingException1">
    <w:name w:val="W_Heading_Exception1"/>
    <w:qFormat/>
    <w:rsid w:val="004A69D9"/>
    <w:pPr>
      <w:spacing w:after="20" w:line="276" w:lineRule="auto"/>
    </w:pPr>
    <w:rPr>
      <w:rFonts w:ascii="Arial" w:hAnsi="Arial" w:cs="Arial"/>
      <w:b/>
      <w:bCs/>
      <w:color w:val="0F172B"/>
      <w:spacing w:val="4"/>
      <w:sz w:val="17"/>
      <w:szCs w:val="17"/>
      <w:lang w:val="fi-FI"/>
    </w:rPr>
  </w:style>
  <w:style w:type="paragraph" w:customStyle="1" w:styleId="WHeading3">
    <w:name w:val="W_Heading3"/>
    <w:qFormat/>
    <w:rsid w:val="00430101"/>
    <w:pPr>
      <w:spacing w:after="20" w:line="276" w:lineRule="auto"/>
    </w:pPr>
    <w:rPr>
      <w:rFonts w:ascii="Arial" w:hAnsi="Arial" w:cs="Arial"/>
      <w:b/>
      <w:bCs/>
      <w:color w:val="0F172B"/>
      <w:spacing w:val="4"/>
      <w:sz w:val="17"/>
      <w:szCs w:val="17"/>
      <w:lang w:val="fi-FI"/>
    </w:rPr>
  </w:style>
  <w:style w:type="character" w:customStyle="1" w:styleId="SubtitleChar">
    <w:name w:val="Subtitle Char"/>
    <w:basedOn w:val="DefaultParagraphFont"/>
    <w:link w:val="Subtitle"/>
    <w:uiPriority w:val="11"/>
    <w:rsid w:val="00AC110D"/>
    <w:rPr>
      <w:rFonts w:ascii="Arial" w:hAnsi="Arial" w:cs="Arial"/>
      <w:b/>
      <w:color w:val="FF7321"/>
      <w:spacing w:val="4"/>
      <w:sz w:val="17"/>
      <w:szCs w:val="17"/>
      <w:lang w:val="fi-FI"/>
    </w:rPr>
  </w:style>
  <w:style w:type="paragraph" w:styleId="Subtitle">
    <w:name w:val="Subtitle"/>
    <w:next w:val="Normal"/>
    <w:link w:val="SubtitleChar"/>
    <w:uiPriority w:val="11"/>
    <w:qFormat/>
    <w:rsid w:val="00AC110D"/>
    <w:pPr>
      <w:spacing w:after="20"/>
    </w:pPr>
    <w:rPr>
      <w:rFonts w:ascii="Arial" w:hAnsi="Arial" w:cs="Arial"/>
      <w:b/>
      <w:color w:val="FF7321"/>
      <w:spacing w:val="4"/>
      <w:sz w:val="17"/>
      <w:szCs w:val="17"/>
      <w:lang w:val="fi-FI"/>
    </w:rPr>
  </w:style>
  <w:style w:type="character" w:styleId="BookTitle">
    <w:name w:val="Book Title"/>
    <w:uiPriority w:val="33"/>
    <w:qFormat/>
    <w:rsid w:val="008A6CA5"/>
    <w:rPr>
      <w:rFonts w:ascii="Arial" w:hAnsi="Arial"/>
      <w:b/>
      <w:bCs/>
      <w:color w:val="FF7321"/>
      <w:spacing w:val="0"/>
      <w:sz w:val="16"/>
      <w:szCs w:val="16"/>
    </w:rPr>
  </w:style>
  <w:style w:type="table" w:styleId="TableGrid">
    <w:name w:val="Table Grid"/>
    <w:basedOn w:val="TableNormal"/>
    <w:uiPriority w:val="39"/>
    <w:rsid w:val="006C472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Heading4">
    <w:name w:val="W_Heading_4"/>
    <w:next w:val="WNormal"/>
    <w:link w:val="WHeading4Char"/>
    <w:uiPriority w:val="3"/>
    <w:qFormat/>
    <w:rsid w:val="00B825B0"/>
    <w:pPr>
      <w:spacing w:before="480" w:line="264" w:lineRule="auto"/>
    </w:pPr>
    <w:rPr>
      <w:rFonts w:ascii="Arial" w:eastAsia="Arial" w:hAnsi="Arial" w:cs="Arial"/>
      <w:color w:val="000000"/>
      <w:sz w:val="24"/>
      <w:lang w:val="fi-FI" w:eastAsia="fi-FI"/>
    </w:rPr>
  </w:style>
  <w:style w:type="character" w:customStyle="1" w:styleId="Heading3Char">
    <w:name w:val="Heading 3 Char"/>
    <w:link w:val="Heading3"/>
    <w:uiPriority w:val="2"/>
    <w:rsid w:val="005D1A27"/>
    <w:rPr>
      <w:rFonts w:ascii="Arial" w:eastAsia="Arial" w:hAnsi="Arial" w:cs="Arial"/>
      <w:color w:val="000000"/>
      <w:sz w:val="24"/>
      <w:lang w:val="fi-FI" w:eastAsia="fi-FI"/>
    </w:rPr>
  </w:style>
  <w:style w:type="character" w:customStyle="1" w:styleId="WHeading4Char">
    <w:name w:val="W_Heading_4 Char"/>
    <w:basedOn w:val="Heading3Char"/>
    <w:link w:val="WHeading4"/>
    <w:uiPriority w:val="3"/>
    <w:rsid w:val="00B825B0"/>
  </w:style>
  <w:style w:type="paragraph" w:customStyle="1" w:styleId="WHeadingException3">
    <w:name w:val="W_Heading_Exception3"/>
    <w:basedOn w:val="WHeading4"/>
    <w:uiPriority w:val="3"/>
    <w:qFormat/>
    <w:rsid w:val="001D1F61"/>
    <w:pPr>
      <w:spacing w:before="80" w:after="20" w:line="276" w:lineRule="auto"/>
    </w:pPr>
    <w:rPr>
      <w:b/>
      <w:sz w:val="16"/>
    </w:rPr>
  </w:style>
  <w:style w:type="paragraph" w:customStyle="1" w:styleId="Normal1">
    <w:name w:val="Normal1"/>
    <w:basedOn w:val="Normal"/>
    <w:qFormat/>
    <w:rsid w:val="00531D73"/>
    <w:pPr>
      <w:suppressAutoHyphens/>
      <w:spacing w:after="240" w:line="276" w:lineRule="auto"/>
    </w:pPr>
    <w:rPr>
      <w:rFonts w:ascii="Arial" w:hAnsi="Arial" w:cs="Arial"/>
      <w:spacing w:val="2"/>
      <w:sz w:val="17"/>
      <w:szCs w:val="17"/>
      <w:lang w:val="fi-FI"/>
    </w:rPr>
  </w:style>
  <w:style w:type="paragraph" w:customStyle="1" w:styleId="Wnormal0">
    <w:name w:val="W_normal"/>
    <w:qFormat/>
    <w:rsid w:val="00CA527C"/>
    <w:rPr>
      <w:rFonts w:ascii="Arial" w:hAnsi="Arial" w:cs="Arial"/>
      <w:color w:val="111111"/>
      <w:sz w:val="16"/>
      <w:szCs w:val="16"/>
      <w:lang w:val="fi-FI"/>
    </w:rPr>
  </w:style>
  <w:style w:type="character" w:styleId="Emphasis">
    <w:name w:val="Emphasis"/>
    <w:uiPriority w:val="20"/>
    <w:qFormat/>
    <w:rsid w:val="00423DED"/>
    <w:rPr>
      <w:b/>
      <w:bCs/>
      <w:color w:val="FF7321"/>
    </w:rPr>
  </w:style>
  <w:style w:type="character" w:styleId="Strong">
    <w:name w:val="Strong"/>
    <w:basedOn w:val="Emphasis"/>
    <w:uiPriority w:val="22"/>
    <w:qFormat/>
    <w:rsid w:val="00CE3CF6"/>
    <w:rPr>
      <w:b/>
      <w:bCs/>
      <w:color w:val="FF7321"/>
      <w:spacing w:val="0"/>
      <w:sz w:val="16"/>
      <w:szCs w:val="16"/>
    </w:rPr>
  </w:style>
  <w:style w:type="paragraph" w:customStyle="1" w:styleId="WChartText">
    <w:name w:val="W_Chart_Text"/>
    <w:qFormat/>
    <w:rsid w:val="008C033D"/>
    <w:rPr>
      <w:rFonts w:ascii="Arial" w:eastAsia="Calibri" w:hAnsi="Arial" w:cs="Arial"/>
      <w:color w:val="111111"/>
      <w:sz w:val="14"/>
      <w:szCs w:val="16"/>
      <w:lang w:val="fi-FI"/>
    </w:rPr>
  </w:style>
  <w:style w:type="paragraph" w:customStyle="1" w:styleId="Heading10">
    <w:name w:val="Heading 10"/>
    <w:next w:val="Normal"/>
    <w:link w:val="Heading10Char"/>
    <w:qFormat/>
    <w:rsid w:val="002642EE"/>
    <w:pPr>
      <w:keepNext/>
      <w:keepLines/>
      <w:spacing w:after="360" w:line="276" w:lineRule="auto"/>
    </w:pPr>
    <w:rPr>
      <w:rFonts w:ascii="Arial" w:hAnsi="Arial" w:cs="Arial"/>
      <w:b/>
      <w:color w:val="0E172B"/>
      <w:sz w:val="36"/>
      <w:szCs w:val="17"/>
    </w:rPr>
  </w:style>
  <w:style w:type="character" w:customStyle="1" w:styleId="Heading10Char">
    <w:name w:val="Heading 10 Char"/>
    <w:basedOn w:val="DefaultParagraphFont"/>
    <w:link w:val="Heading10"/>
    <w:locked/>
    <w:rsid w:val="002642EE"/>
    <w:rPr>
      <w:rFonts w:ascii="Arial" w:hAnsi="Arial" w:cs="Arial"/>
      <w:b/>
      <w:color w:val="0E172B"/>
      <w:sz w:val="36"/>
      <w:szCs w:val="17"/>
    </w:rPr>
  </w:style>
  <w:style w:type="paragraph" w:customStyle="1" w:styleId="Bodytext2">
    <w:name w:val="Bodytext 2"/>
    <w:link w:val="Bodytext2Char"/>
    <w:qFormat/>
    <w:rsid w:val="002642EE"/>
    <w:pPr>
      <w:suppressAutoHyphens/>
      <w:spacing w:before="48" w:after="0" w:line="276" w:lineRule="auto"/>
    </w:pPr>
    <w:rPr>
      <w:rFonts w:ascii="Arial" w:hAnsi="Arial" w:cs="Arial"/>
      <w:color w:val="111111"/>
      <w:sz w:val="15"/>
      <w:szCs w:val="17"/>
    </w:rPr>
  </w:style>
  <w:style w:type="character" w:customStyle="1" w:styleId="Bodytext2Char">
    <w:name w:val="Bodytext 2 Char"/>
    <w:basedOn w:val="DefaultParagraphFont"/>
    <w:link w:val="Bodytext2"/>
    <w:locked/>
    <w:rsid w:val="002642EE"/>
    <w:rPr>
      <w:rFonts w:ascii="Arial" w:hAnsi="Arial" w:cs="Arial"/>
      <w:color w:val="111111"/>
      <w:sz w:val="15"/>
      <w:szCs w:val="17"/>
    </w:rPr>
  </w:style>
  <w:style w:type="paragraph" w:customStyle="1" w:styleId="Heading13">
    <w:name w:val="Heading 13"/>
    <w:next w:val="Normal"/>
    <w:link w:val="Heading13Char"/>
    <w:qFormat/>
    <w:rsid w:val="002642EE"/>
    <w:pPr>
      <w:suppressAutoHyphens/>
      <w:spacing w:before="48" w:after="0" w:line="276" w:lineRule="auto"/>
    </w:pPr>
    <w:rPr>
      <w:rFonts w:ascii="Arial" w:hAnsi="Arial" w:cs="Arial"/>
      <w:b/>
      <w:color w:val="000000"/>
      <w:sz w:val="15"/>
    </w:rPr>
  </w:style>
  <w:style w:type="character" w:customStyle="1" w:styleId="Heading13Char">
    <w:name w:val="Heading 13 Char"/>
    <w:basedOn w:val="DefaultParagraphFont"/>
    <w:link w:val="Heading13"/>
    <w:locked/>
    <w:rsid w:val="002642EE"/>
    <w:rPr>
      <w:rFonts w:ascii="Arial" w:hAnsi="Arial" w:cs="Arial"/>
      <w:b/>
      <w:color w:val="000000"/>
      <w:sz w:val="15"/>
    </w:rPr>
  </w:style>
  <w:style w:type="table" w:customStyle="1" w:styleId="TableGrid0">
    <w:name w:val="TableGrid"/>
    <w:rsid w:val="00514B1C"/>
    <w:pPr>
      <w:spacing w:after="0" w:line="240" w:lineRule="auto"/>
    </w:pPr>
    <w:rPr>
      <w:rFonts w:eastAsiaTheme="minorEastAsia" w:cstheme="minorHAnsi"/>
      <w:lang w:val="fi-FI" w:eastAsia="fi-FI"/>
    </w:rPr>
    <w:tblPr>
      <w:tblCellMar>
        <w:top w:w="0" w:type="dxa"/>
        <w:left w:w="0" w:type="dxa"/>
        <w:bottom w:w="0" w:type="dxa"/>
        <w:right w:w="0" w:type="dxa"/>
      </w:tblCellMar>
    </w:tblPr>
  </w:style>
  <w:style w:type="paragraph" w:customStyle="1" w:styleId="Heading11">
    <w:name w:val="Heading 11"/>
    <w:next w:val="Normal"/>
    <w:link w:val="Heading11Char"/>
    <w:qFormat/>
    <w:rsid w:val="002642EE"/>
    <w:pPr>
      <w:spacing w:after="220" w:line="276" w:lineRule="auto"/>
    </w:pPr>
    <w:rPr>
      <w:rFonts w:ascii="Arial" w:hAnsi="Arial" w:cs="Arial"/>
      <w:b/>
      <w:color w:val="0E172B"/>
    </w:rPr>
  </w:style>
  <w:style w:type="character" w:customStyle="1" w:styleId="Heading11Char">
    <w:name w:val="Heading 11 Char"/>
    <w:basedOn w:val="DefaultParagraphFont"/>
    <w:link w:val="Heading11"/>
    <w:locked/>
    <w:rsid w:val="002642EE"/>
    <w:rPr>
      <w:rFonts w:ascii="Arial" w:hAnsi="Arial" w:cs="Arial"/>
      <w:b/>
      <w:color w:val="0E172B"/>
    </w:rPr>
  </w:style>
  <w:style w:type="paragraph" w:customStyle="1" w:styleId="Heading105">
    <w:name w:val="Heading 105"/>
    <w:basedOn w:val="Heading11"/>
    <w:next w:val="Heading11"/>
    <w:link w:val="Heading105Char"/>
    <w:qFormat/>
    <w:rsid w:val="00657085"/>
    <w:rPr>
      <w:sz w:val="28"/>
    </w:rPr>
  </w:style>
  <w:style w:type="character" w:customStyle="1" w:styleId="Heading105Char">
    <w:name w:val="Heading 105 Char"/>
    <w:basedOn w:val="Heading11Char"/>
    <w:link w:val="Heading105"/>
    <w:rsid w:val="00657085"/>
    <w:rPr>
      <w:sz w:val="28"/>
    </w:rPr>
  </w:style>
  <w:style w:type="table" w:customStyle="1" w:styleId="CDMRange1">
    <w:name w:val="CDM Range 1"/>
    <w:basedOn w:val="TableNormal"/>
    <w:next w:val="TableNormal"/>
    <w:semiHidden/>
    <w:pPr>
      <w:spacing w:after="0" w:line="240" w:lineRule="auto"/>
    </w:pPr>
    <w:rPr>
      <w:rFonts w:ascii="Times New Roman" w:eastAsia="Times New Roman" w:hAnsi="Times New Roman" w:cs="Times New Roman"/>
      <w:sz w:val="20"/>
      <w:szCs w:val="20"/>
    </w:rPr>
    <w:tblPr/>
  </w:style>
  <w:style w:type="table" w:customStyle="1" w:styleId="CDMRange2">
    <w:name w:val="CDM Range 2"/>
    <w:basedOn w:val="TableNormal"/>
    <w:next w:val="TableNormal"/>
    <w:semiHidden/>
    <w:pPr>
      <w:spacing w:after="0" w:line="240" w:lineRule="auto"/>
    </w:pPr>
    <w:rPr>
      <w:rFonts w:ascii="Times New Roman" w:eastAsia="Times New Roman" w:hAnsi="Times New Roman" w:cs="Times New Roman"/>
      <w:sz w:val="20"/>
      <w:szCs w:val="20"/>
    </w:rPr>
    <w:tblPr/>
  </w:style>
  <w:style w:type="paragraph" w:customStyle="1" w:styleId="Heading12">
    <w:name w:val="Heading 12"/>
    <w:next w:val="Normal"/>
    <w:link w:val="Heading12Char"/>
    <w:qFormat/>
    <w:rsid w:val="002642EE"/>
    <w:pPr>
      <w:spacing w:after="0" w:line="276" w:lineRule="auto"/>
    </w:pPr>
    <w:rPr>
      <w:rFonts w:ascii="Arial" w:hAnsi="Arial" w:cs="Arial"/>
      <w:b/>
      <w:color w:val="0E172B"/>
      <w:sz w:val="17"/>
    </w:rPr>
  </w:style>
  <w:style w:type="character" w:customStyle="1" w:styleId="Heading12Char">
    <w:name w:val="Heading 12 Char"/>
    <w:basedOn w:val="DefaultParagraphFont"/>
    <w:link w:val="Heading12"/>
    <w:locked/>
    <w:rsid w:val="002642EE"/>
    <w:rPr>
      <w:rFonts w:ascii="Arial" w:hAnsi="Arial" w:cs="Arial"/>
      <w:b/>
      <w:color w:val="0E172B"/>
      <w:sz w:val="17"/>
    </w:rPr>
  </w:style>
  <w:style w:type="character" w:customStyle="1" w:styleId="MaintitleChar">
    <w:name w:val="Main title Char"/>
    <w:basedOn w:val="DefaultParagraphFont"/>
    <w:link w:val="Maintitle"/>
    <w:rsid w:val="00CC47D1"/>
    <w:rPr>
      <w:rFonts w:ascii="Arial" w:eastAsia="Arial" w:hAnsi="Arial" w:cs="Times New Roman"/>
      <w:color w:val="DC6900"/>
      <w:sz w:val="36"/>
      <w:szCs w:val="28"/>
      <w:lang w:val="fi-FI"/>
    </w:rPr>
  </w:style>
  <w:style w:type="paragraph" w:customStyle="1" w:styleId="Maintitle">
    <w:name w:val="Main title"/>
    <w:basedOn w:val="Normal"/>
    <w:next w:val="BodyText"/>
    <w:link w:val="MaintitleChar"/>
    <w:qFormat/>
    <w:rsid w:val="00C21110"/>
    <w:pPr>
      <w:spacing w:after="240" w:line="240" w:lineRule="atLeast"/>
    </w:pPr>
    <w:rPr>
      <w:rFonts w:ascii="Arial" w:eastAsia="Arial" w:hAnsi="Arial" w:cs="Times New Roman"/>
      <w:color w:val="DC6900"/>
      <w:sz w:val="36"/>
      <w:szCs w:val="28"/>
      <w:lang w:val="fi-FI"/>
    </w:rPr>
  </w:style>
  <w:style w:type="paragraph" w:styleId="BodyText">
    <w:name w:val="Body Text"/>
    <w:basedOn w:val="Normal"/>
    <w:link w:val="BodyTextChar"/>
    <w:uiPriority w:val="99"/>
    <w:unhideWhenUsed/>
    <w:qFormat/>
    <w:rsid w:val="00C21110"/>
    <w:pPr>
      <w:spacing w:after="180" w:line="240" w:lineRule="atLeast"/>
    </w:pPr>
    <w:rPr>
      <w:rFonts w:ascii="Arial" w:eastAsia="Arial" w:hAnsi="Arial" w:cs="Times New Roman"/>
      <w:sz w:val="20"/>
      <w:szCs w:val="20"/>
      <w:lang w:val="fi-FI"/>
    </w:rPr>
  </w:style>
  <w:style w:type="character" w:customStyle="1" w:styleId="BodyTextChar">
    <w:name w:val="Body Text Char"/>
    <w:basedOn w:val="DefaultParagraphFont"/>
    <w:link w:val="BodyText"/>
    <w:uiPriority w:val="99"/>
    <w:rsid w:val="00C21110"/>
    <w:rPr>
      <w:rFonts w:ascii="Arial" w:eastAsia="Arial" w:hAnsi="Arial" w:cs="Times New Roman"/>
      <w:sz w:val="20"/>
      <w:szCs w:val="20"/>
      <w:lang w:val="fi-FI"/>
    </w:rPr>
  </w:style>
  <w:style w:type="character" w:customStyle="1" w:styleId="WAuditH1Char">
    <w:name w:val="W_Audit_H1 Char"/>
    <w:basedOn w:val="MaintitleChar"/>
    <w:link w:val="WAuditH1"/>
    <w:uiPriority w:val="99"/>
    <w:rsid w:val="00CC47D1"/>
    <w:rPr>
      <w:rFonts w:ascii="Georgia" w:hAnsi="Georgia"/>
    </w:rPr>
  </w:style>
  <w:style w:type="paragraph" w:customStyle="1" w:styleId="WAuditH1">
    <w:name w:val="W_Audit_H1"/>
    <w:basedOn w:val="Maintitle"/>
    <w:link w:val="WAuditH1Char"/>
    <w:uiPriority w:val="99"/>
    <w:qFormat/>
    <w:rsid w:val="00CC47D1"/>
    <w:rPr>
      <w:rFonts w:ascii="Georgia" w:hAnsi="Georgia"/>
    </w:rPr>
  </w:style>
  <w:style w:type="character" w:customStyle="1" w:styleId="Heading1Char">
    <w:name w:val="Heading 1 Char"/>
    <w:basedOn w:val="DefaultParagraphFont"/>
    <w:link w:val="Heading1"/>
    <w:rsid w:val="00C21110"/>
    <w:rPr>
      <w:rFonts w:ascii="Arial" w:eastAsia="Arial" w:hAnsi="Arial" w:cs="Times New Roman"/>
      <w:sz w:val="28"/>
      <w:szCs w:val="20"/>
      <w:lang w:val="en-GB"/>
    </w:rPr>
  </w:style>
  <w:style w:type="character" w:customStyle="1" w:styleId="WAuditH2Char">
    <w:name w:val="W_Audit_H2 Char"/>
    <w:basedOn w:val="Heading1Char"/>
    <w:link w:val="WAuditH2"/>
    <w:uiPriority w:val="99"/>
    <w:rsid w:val="00CC47D1"/>
    <w:rPr>
      <w:lang w:val="fi-FI"/>
    </w:rPr>
  </w:style>
  <w:style w:type="paragraph" w:customStyle="1" w:styleId="WAuditH2">
    <w:name w:val="W_Audit_H2"/>
    <w:basedOn w:val="Heading1"/>
    <w:link w:val="WAuditH2Char"/>
    <w:uiPriority w:val="99"/>
    <w:qFormat/>
    <w:rsid w:val="00CC47D1"/>
    <w:pPr>
      <w:spacing w:before="360" w:after="60" w:line="240" w:lineRule="atLeast"/>
      <w:ind w:left="340" w:hanging="340"/>
    </w:pPr>
    <w:rPr>
      <w:rFonts w:eastAsia="Arial" w:cs="Times New Roman"/>
      <w:b w:val="0"/>
      <w:bCs w:val="0"/>
      <w:color w:val="auto"/>
      <w:spacing w:val="0"/>
      <w:sz w:val="28"/>
      <w:szCs w:val="20"/>
    </w:rPr>
  </w:style>
  <w:style w:type="character" w:customStyle="1" w:styleId="Heading2Char">
    <w:name w:val="Heading 2 Char"/>
    <w:basedOn w:val="DefaultParagraphFont"/>
    <w:link w:val="Heading2"/>
    <w:uiPriority w:val="9"/>
    <w:rsid w:val="00C21110"/>
    <w:rPr>
      <w:rFonts w:ascii="Arial" w:eastAsia="Arial" w:hAnsi="Arial" w:cs="Times New Roman"/>
      <w:color w:val="DC6900"/>
      <w:sz w:val="24"/>
      <w:szCs w:val="20"/>
      <w:lang w:val="fi-FI"/>
    </w:rPr>
  </w:style>
  <w:style w:type="character" w:customStyle="1" w:styleId="WAuditH3Char">
    <w:name w:val="W_Audit_H3 Char"/>
    <w:basedOn w:val="Heading2Char"/>
    <w:link w:val="WAuditH3"/>
    <w:uiPriority w:val="99"/>
    <w:rsid w:val="00AC4A7F"/>
    <w:rPr>
      <w:szCs w:val="24"/>
    </w:rPr>
  </w:style>
  <w:style w:type="paragraph" w:customStyle="1" w:styleId="WAuditH3">
    <w:name w:val="W_Audit_H3"/>
    <w:basedOn w:val="Heading2"/>
    <w:link w:val="WAuditH3Char"/>
    <w:uiPriority w:val="99"/>
    <w:qFormat/>
    <w:rsid w:val="00AC4A7F"/>
    <w:pPr>
      <w:keepNext/>
      <w:pBdr>
        <w:top w:val="single" w:sz="4" w:space="3" w:color="DC6900"/>
      </w:pBdr>
      <w:spacing w:before="240" w:after="60" w:line="240" w:lineRule="atLeast"/>
      <w:ind w:left="680" w:hanging="680"/>
    </w:pPr>
    <w:rPr>
      <w:rFonts w:eastAsia="Arial" w:cs="Times New Roman"/>
      <w:b w:val="0"/>
      <w:bCs w:val="0"/>
      <w:caps w:val="0"/>
      <w:color w:val="DC6900"/>
      <w:sz w:val="24"/>
      <w:szCs w:val="24"/>
    </w:rPr>
  </w:style>
  <w:style w:type="paragraph" w:styleId="ListBullet">
    <w:name w:val="List Bullet"/>
    <w:basedOn w:val="Normal"/>
    <w:uiPriority w:val="13"/>
    <w:unhideWhenUsed/>
    <w:qFormat/>
    <w:rsid w:val="00C21110"/>
    <w:pPr>
      <w:numPr>
        <w:numId w:val="3"/>
      </w:numPr>
      <w:spacing w:after="240" w:line="240" w:lineRule="atLeast"/>
      <w:ind w:left="357" w:hanging="357"/>
    </w:pPr>
    <w:rPr>
      <w:rFonts w:ascii="Arial" w:eastAsia="Arial" w:hAnsi="Arial" w:cs="Times New Roman"/>
      <w:sz w:val="20"/>
      <w:szCs w:val="20"/>
      <w:lang w:val="fi-FI"/>
    </w:rPr>
  </w:style>
  <w:style w:type="paragraph" w:styleId="ListBullet2">
    <w:name w:val="List Bullet 2"/>
    <w:basedOn w:val="Normal"/>
    <w:uiPriority w:val="13"/>
    <w:unhideWhenUsed/>
    <w:qFormat/>
    <w:rsid w:val="007821F2"/>
    <w:pPr>
      <w:numPr>
        <w:ilvl w:val="1"/>
        <w:numId w:val="3"/>
      </w:numPr>
      <w:tabs>
        <w:tab w:val="num" w:pos="1134"/>
      </w:tabs>
      <w:spacing w:after="240" w:line="240" w:lineRule="atLeast"/>
      <w:ind w:left="1134" w:hanging="567"/>
    </w:pPr>
    <w:rPr>
      <w:rFonts w:ascii="Arial" w:eastAsia="Arial" w:hAnsi="Arial" w:cs="Times New Roman"/>
      <w:sz w:val="20"/>
      <w:szCs w:val="20"/>
      <w:lang w:val="en-GB"/>
    </w:rPr>
  </w:style>
  <w:style w:type="paragraph" w:styleId="ListBullet4">
    <w:name w:val="List Bullet 4"/>
    <w:basedOn w:val="Normal"/>
    <w:uiPriority w:val="13"/>
    <w:unhideWhenUsed/>
    <w:rsid w:val="007821F2"/>
    <w:pPr>
      <w:numPr>
        <w:ilvl w:val="3"/>
        <w:numId w:val="3"/>
      </w:numPr>
      <w:tabs>
        <w:tab w:val="num" w:pos="2268"/>
      </w:tabs>
      <w:spacing w:after="240" w:line="240" w:lineRule="atLeast"/>
      <w:ind w:left="2268" w:hanging="567"/>
    </w:pPr>
    <w:rPr>
      <w:rFonts w:ascii="Arial" w:eastAsia="Arial" w:hAnsi="Arial" w:cs="Times New Roman"/>
      <w:sz w:val="20"/>
      <w:szCs w:val="20"/>
      <w:lang w:val="en-GB"/>
    </w:rPr>
  </w:style>
  <w:style w:type="paragraph" w:styleId="ListBullet5">
    <w:name w:val="List Bullet 5"/>
    <w:basedOn w:val="Normal"/>
    <w:uiPriority w:val="13"/>
    <w:unhideWhenUsed/>
    <w:rsid w:val="007821F2"/>
    <w:pPr>
      <w:numPr>
        <w:ilvl w:val="4"/>
        <w:numId w:val="3"/>
      </w:numPr>
      <w:tabs>
        <w:tab w:val="num" w:pos="2835"/>
      </w:tabs>
      <w:spacing w:after="240" w:line="240" w:lineRule="atLeast"/>
      <w:ind w:left="2835" w:hanging="567"/>
    </w:pPr>
    <w:rPr>
      <w:rFonts w:ascii="Arial" w:eastAsia="Arial" w:hAnsi="Arial" w:cs="Times New Roman"/>
      <w:sz w:val="20"/>
      <w:szCs w:val="20"/>
      <w:lang w:val="en-GB"/>
    </w:rPr>
  </w:style>
  <w:style w:type="paragraph" w:customStyle="1" w:styleId="WAuditH4">
    <w:name w:val="W_Audit_H4"/>
    <w:basedOn w:val="Heading3"/>
    <w:link w:val="WAuditH4Char"/>
    <w:uiPriority w:val="99"/>
    <w:qFormat/>
    <w:rsid w:val="00CC47D1"/>
    <w:pPr>
      <w:keepLines w:val="0"/>
      <w:numPr>
        <w:ilvl w:val="2"/>
      </w:numPr>
      <w:spacing w:before="240" w:after="60" w:line="240" w:lineRule="atLeast"/>
      <w:ind w:left="794" w:hanging="794"/>
    </w:pPr>
    <w:rPr>
      <w:rFonts w:cs="Times New Roman"/>
      <w:b/>
      <w:sz w:val="20"/>
      <w:szCs w:val="20"/>
      <w:lang w:eastAsia="en-US"/>
    </w:rPr>
  </w:style>
  <w:style w:type="character" w:customStyle="1" w:styleId="WAuditH4Char">
    <w:name w:val="W_Audit_H4 Char"/>
    <w:basedOn w:val="Heading3Char"/>
    <w:link w:val="WAuditH4"/>
    <w:uiPriority w:val="99"/>
    <w:rsid w:val="00CC47D1"/>
    <w:rPr>
      <w:rFonts w:cs="Times New Roman"/>
      <w:b/>
      <w:sz w:val="20"/>
      <w:szCs w:val="20"/>
      <w:lang w:eastAsia="en-US"/>
    </w:rPr>
  </w:style>
  <w:style w:type="paragraph" w:customStyle="1" w:styleId="TableBody">
    <w:name w:val="TableBody"/>
    <w:basedOn w:val="BodyText"/>
    <w:qFormat/>
    <w:rsid w:val="00C30EF9"/>
    <w:pPr>
      <w:spacing w:before="60" w:after="60" w:line="264" w:lineRule="auto"/>
    </w:pPr>
  </w:style>
  <w:style w:type="paragraph" w:customStyle="1" w:styleId="TableBodyListBullet">
    <w:name w:val="TableBodyListBullet"/>
    <w:basedOn w:val="TableBody"/>
    <w:qFormat/>
    <w:rsid w:val="00C30EF9"/>
    <w:pPr>
      <w:numPr>
        <w:numId w:val="4"/>
      </w:numPr>
      <w:tabs>
        <w:tab w:val="num" w:pos="397"/>
      </w:tabs>
      <w:ind w:left="397" w:hanging="397"/>
    </w:pPr>
    <w:rPr>
      <w:szCs w:val="17"/>
    </w:rPr>
  </w:style>
  <w:style w:type="table" w:customStyle="1" w:styleId="PwCTableFigures">
    <w:name w:val="PwC Table Figures"/>
    <w:basedOn w:val="TableNormal"/>
    <w:uiPriority w:val="99"/>
    <w:qFormat/>
    <w:rsid w:val="00F17E50"/>
    <w:pPr>
      <w:spacing w:after="0" w:line="240" w:lineRule="auto"/>
    </w:pPr>
    <w:rPr>
      <w:rFonts w:ascii="Arial" w:eastAsia="Arial" w:hAnsi="Arial" w:cs="Times New Roman"/>
      <w:sz w:val="20"/>
      <w:szCs w:val="20"/>
      <w:lang w:val="en-GB"/>
    </w:rPr>
    <w:tblPr>
      <w:tblBorders>
        <w:bottom w:val="single" w:sz="4" w:space="0" w:color="DC6900" w:themeColor="text2"/>
        <w:insideH w:val="dotted" w:sz="4" w:space="0" w:color="DC6900" w:themeColor="text2"/>
      </w:tblBorders>
      <w:tblCellMar>
        <w:top w:w="57" w:type="dxa"/>
      </w:tblCellMar>
    </w:tblPr>
    <w:tblStylePr w:type="firstRow">
      <w:rPr>
        <w:b/>
      </w:rPr>
      <w:tblPr/>
      <w:tcPr>
        <w:tcBorders>
          <w:top w:val="single" w:sz="6" w:space="0" w:color="DC6900" w:themeColor="text2"/>
          <w:left w:val="nil"/>
          <w:bottom w:val="single" w:sz="6" w:space="0" w:color="DC6900" w:themeColor="text2"/>
          <w:right w:val="nil"/>
          <w:insideH w:val="nil"/>
          <w:insideV w:val="nil"/>
          <w:tl2br w:val="nil"/>
          <w:tr2bl w:val="nil"/>
        </w:tcBorders>
      </w:tcPr>
    </w:tblStylePr>
    <w:tblStylePr w:type="lastRow">
      <w:rPr>
        <w:rFonts w:asciiTheme="minorHAnsi" w:hAnsiTheme="minorHAnsi"/>
        <w:b/>
        <w:i w:val="0"/>
        <w:color w:val="auto"/>
        <w:sz w:val="20"/>
      </w:rPr>
      <w:tblPr/>
      <w:tcPr>
        <w:tcBorders>
          <w:top w:val="single" w:sz="6" w:space="0" w:color="DC6900" w:themeColor="text2"/>
          <w:left w:val="nil"/>
          <w:bottom w:val="single" w:sz="6" w:space="0" w:color="DC6900" w:themeColor="text2"/>
          <w:right w:val="nil"/>
          <w:insideH w:val="nil"/>
          <w:insideV w:val="nil"/>
          <w:tl2br w:val="nil"/>
          <w:tr2bl w:val="nil"/>
        </w:tcBorders>
      </w:tcPr>
    </w:tblStylePr>
  </w:style>
  <w:style w:type="paragraph" w:customStyle="1" w:styleId="BodySingle">
    <w:name w:val="Body Single"/>
    <w:basedOn w:val="BodyText"/>
    <w:link w:val="BodySingleChar"/>
    <w:rsid w:val="00F17E50"/>
    <w:pPr>
      <w:spacing w:after="0"/>
    </w:pPr>
  </w:style>
  <w:style w:type="character" w:customStyle="1" w:styleId="BodySingleChar">
    <w:name w:val="Body Single Char"/>
    <w:basedOn w:val="BodyTextChar"/>
    <w:link w:val="BodySingle"/>
    <w:rsid w:val="00F17E50"/>
    <w:rPr>
      <w:rFonts w:ascii="Georgia" w:hAnsi="Georgia"/>
    </w:rPr>
  </w:style>
  <w:style w:type="numbering" w:customStyle="1" w:styleId="TableListNumber">
    <w:name w:val="TableListNumber"/>
    <w:uiPriority w:val="99"/>
    <w:rsid w:val="00F17E50"/>
    <w:pPr>
      <w:numPr>
        <w:numId w:val="6"/>
      </w:numPr>
    </w:pPr>
  </w:style>
  <w:style w:type="paragraph" w:styleId="Header">
    <w:name w:val="header"/>
    <w:basedOn w:val="Normal"/>
    <w:link w:val="HeaderChar"/>
    <w:uiPriority w:val="99"/>
    <w:unhideWhenUsed/>
    <w:rsid w:val="004B6660"/>
    <w:pPr>
      <w:tabs>
        <w:tab w:val="center" w:pos="4513"/>
        <w:tab w:val="right" w:pos="9026"/>
      </w:tabs>
      <w:spacing w:after="240" w:line="240" w:lineRule="auto"/>
    </w:pPr>
    <w:rPr>
      <w:rFonts w:ascii="Arial" w:eastAsia="Arial" w:hAnsi="Arial" w:cs="Times New Roman"/>
      <w:sz w:val="20"/>
      <w:szCs w:val="20"/>
      <w:lang w:val="en-GB"/>
    </w:rPr>
  </w:style>
  <w:style w:type="character" w:customStyle="1" w:styleId="HeaderChar">
    <w:name w:val="Header Char"/>
    <w:basedOn w:val="DefaultParagraphFont"/>
    <w:link w:val="Header"/>
    <w:uiPriority w:val="99"/>
    <w:rsid w:val="003E6542"/>
    <w:rPr>
      <w:rFonts w:ascii="Georgia" w:eastAsia="Arial" w:hAnsi="Georgia" w:cs="Times New Roman"/>
      <w:sz w:val="20"/>
      <w:lang w:val="fi-FI"/>
    </w:rPr>
  </w:style>
  <w:style w:type="paragraph" w:styleId="Footer">
    <w:name w:val="footer"/>
    <w:basedOn w:val="Normal"/>
    <w:link w:val="FooterChar"/>
    <w:uiPriority w:val="99"/>
    <w:unhideWhenUsed/>
    <w:rsid w:val="004B6660"/>
    <w:pPr>
      <w:tabs>
        <w:tab w:val="center" w:pos="4513"/>
        <w:tab w:val="right" w:pos="9026"/>
      </w:tabs>
      <w:spacing w:after="240" w:line="240" w:lineRule="auto"/>
    </w:pPr>
    <w:rPr>
      <w:rFonts w:ascii="Arial" w:eastAsia="Arial" w:hAnsi="Arial" w:cs="Times New Roman"/>
      <w:sz w:val="20"/>
      <w:szCs w:val="20"/>
      <w:lang w:val="en-GB"/>
    </w:rPr>
  </w:style>
  <w:style w:type="character" w:customStyle="1" w:styleId="FooterChar">
    <w:name w:val="Footer Char"/>
    <w:basedOn w:val="DefaultParagraphFont"/>
    <w:link w:val="Footer"/>
    <w:uiPriority w:val="99"/>
    <w:rsid w:val="003E6542"/>
    <w:rPr>
      <w:rFonts w:ascii="Georgia" w:eastAsia="Arial" w:hAnsi="Georgia" w:cs="Times New Roman"/>
      <w:sz w:val="20"/>
      <w:lang w:val="fi-FI"/>
    </w:rPr>
  </w:style>
  <w:style w:type="paragraph" w:customStyle="1" w:styleId="WAudit2H1">
    <w:name w:val="W_Audit2_H1"/>
    <w:basedOn w:val="Maintitle"/>
    <w:link w:val="WAudit2H1Char"/>
    <w:uiPriority w:val="99"/>
    <w:qFormat/>
    <w:rsid w:val="00F41483"/>
    <w:rPr>
      <w:rFonts w:ascii="Georgia" w:hAnsi="Georgia"/>
      <w:sz w:val="32"/>
      <w:szCs w:val="32"/>
    </w:rPr>
  </w:style>
  <w:style w:type="character" w:customStyle="1" w:styleId="WAudit2H1Char">
    <w:name w:val="W_Audit2_H1 Char"/>
    <w:basedOn w:val="MaintitleChar"/>
    <w:link w:val="WAudit2H1"/>
    <w:uiPriority w:val="99"/>
    <w:rsid w:val="00F41483"/>
    <w:rPr>
      <w:rFonts w:ascii="Georgia" w:hAnsi="Georgia"/>
      <w:sz w:val="32"/>
      <w:szCs w:val="32"/>
    </w:rPr>
  </w:style>
  <w:style w:type="paragraph" w:customStyle="1" w:styleId="WAudit2BodyText">
    <w:name w:val="W_Audit2_BodyText"/>
    <w:basedOn w:val="Normal"/>
    <w:link w:val="WAudit2BodyTextChar"/>
    <w:uiPriority w:val="99"/>
    <w:qFormat/>
    <w:rsid w:val="00A405CC"/>
    <w:pPr>
      <w:spacing w:after="0" w:line="240" w:lineRule="auto"/>
    </w:pPr>
    <w:rPr>
      <w:rFonts w:ascii="Arial" w:eastAsia="Times New Roman" w:hAnsi="Arial" w:cs="Arial"/>
      <w:sz w:val="20"/>
      <w:szCs w:val="20"/>
      <w:lang w:val="fi-FI" w:eastAsia="zh-CN"/>
    </w:rPr>
  </w:style>
  <w:style w:type="character" w:customStyle="1" w:styleId="WAudit2BodyTextChar">
    <w:name w:val="W_Audit2_BodyText Char"/>
    <w:basedOn w:val="DefaultParagraphFont"/>
    <w:link w:val="WAudit2BodyText"/>
    <w:uiPriority w:val="99"/>
    <w:rsid w:val="00A405CC"/>
    <w:rPr>
      <w:rFonts w:ascii="Arial" w:eastAsia="Times New Roman" w:hAnsi="Arial" w:cs="Arial"/>
      <w:sz w:val="20"/>
      <w:szCs w:val="20"/>
      <w:lang w:val="fi-FI" w:eastAsia="zh-CN"/>
    </w:rPr>
  </w:style>
  <w:style w:type="paragraph" w:customStyle="1" w:styleId="WAudit2H2">
    <w:name w:val="W_Audit2_H2"/>
    <w:basedOn w:val="Heading2"/>
    <w:link w:val="WAudit2H2Char"/>
    <w:uiPriority w:val="99"/>
    <w:qFormat/>
    <w:rsid w:val="00F41483"/>
    <w:pPr>
      <w:keepNext/>
      <w:pBdr>
        <w:top w:val="single" w:sz="4" w:space="3" w:color="DC6900"/>
      </w:pBdr>
      <w:spacing w:before="240" w:after="60" w:line="240" w:lineRule="atLeast"/>
      <w:ind w:left="680" w:hanging="680"/>
    </w:pPr>
    <w:rPr>
      <w:rFonts w:eastAsia="Arial" w:cs="Times New Roman"/>
      <w:b w:val="0"/>
      <w:bCs w:val="0"/>
      <w:caps w:val="0"/>
      <w:color w:val="DC6900"/>
      <w:sz w:val="24"/>
      <w:lang w:eastAsia="zh-CN"/>
    </w:rPr>
  </w:style>
  <w:style w:type="character" w:customStyle="1" w:styleId="WAudit2H2Char">
    <w:name w:val="W_Audit2_H2 Char"/>
    <w:basedOn w:val="Heading2Char"/>
    <w:link w:val="WAudit2H2"/>
    <w:uiPriority w:val="99"/>
    <w:rsid w:val="00F41483"/>
    <w:rPr>
      <w:rFonts w:ascii="Georgia" w:hAnsi="Georgia"/>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oter" Target="footer3.xml" /><Relationship Id="rId11" Type="http://schemas.openxmlformats.org/officeDocument/2006/relationships/chart" Target="charts/chart1.xml" /><Relationship Id="rId12" Type="http://schemas.openxmlformats.org/officeDocument/2006/relationships/chart" Target="charts/chart2.xml" /><Relationship Id="rId13" Type="http://schemas.openxmlformats.org/officeDocument/2006/relationships/image" Target="media/image2.png" /><Relationship Id="rId14" Type="http://schemas.openxmlformats.org/officeDocument/2006/relationships/chart" Target="charts/chart3.xml" /><Relationship Id="rId15" Type="http://schemas.openxmlformats.org/officeDocument/2006/relationships/chart" Target="charts/chart4.xml" /><Relationship Id="rId16" Type="http://schemas.openxmlformats.org/officeDocument/2006/relationships/chart" Target="charts/chart5.xml" /><Relationship Id="rId17" Type="http://schemas.openxmlformats.org/officeDocument/2006/relationships/chart" Target="charts/chart6.xml" /><Relationship Id="rId18" Type="http://schemas.openxmlformats.org/officeDocument/2006/relationships/chart" Target="charts/chart7.xml" /><Relationship Id="rId19" Type="http://schemas.openxmlformats.org/officeDocument/2006/relationships/chart" Target="charts/chart8.xml" /><Relationship Id="rId2" Type="http://schemas.openxmlformats.org/officeDocument/2006/relationships/webSettings" Target="webSettings.xml" /><Relationship Id="rId20" Type="http://schemas.openxmlformats.org/officeDocument/2006/relationships/header" Target="header4.xml" /><Relationship Id="rId21" Type="http://schemas.openxmlformats.org/officeDocument/2006/relationships/header" Target="header5.xml" /><Relationship Id="rId22" Type="http://schemas.openxmlformats.org/officeDocument/2006/relationships/footer" Target="footer4.xml" /><Relationship Id="rId23" Type="http://schemas.openxmlformats.org/officeDocument/2006/relationships/footer" Target="footer5.xml" /><Relationship Id="rId24" Type="http://schemas.openxmlformats.org/officeDocument/2006/relationships/header" Target="header6.xml" /><Relationship Id="rId25" Type="http://schemas.openxmlformats.org/officeDocument/2006/relationships/footer" Target="footer6.xml" /><Relationship Id="rId26" Type="http://schemas.openxmlformats.org/officeDocument/2006/relationships/chart" Target="charts/chart9.xml" /><Relationship Id="rId27" Type="http://schemas.openxmlformats.org/officeDocument/2006/relationships/image" Target="media/image3.png" /><Relationship Id="rId28" Type="http://schemas.openxmlformats.org/officeDocument/2006/relationships/header" Target="header7.xml" /><Relationship Id="rId29" Type="http://schemas.openxmlformats.org/officeDocument/2006/relationships/header" Target="header8.xml" /><Relationship Id="rId3" Type="http://schemas.openxmlformats.org/officeDocument/2006/relationships/fontTable" Target="fontTable.xml" /><Relationship Id="rId30" Type="http://schemas.openxmlformats.org/officeDocument/2006/relationships/footer" Target="footer7.xml" /><Relationship Id="rId31" Type="http://schemas.openxmlformats.org/officeDocument/2006/relationships/footer" Target="footer8.xml" /><Relationship Id="rId32" Type="http://schemas.openxmlformats.org/officeDocument/2006/relationships/header" Target="header9.xml" /><Relationship Id="rId33" Type="http://schemas.openxmlformats.org/officeDocument/2006/relationships/footer" Target="footer9.xml" /><Relationship Id="rId34" Type="http://schemas.openxmlformats.org/officeDocument/2006/relationships/header" Target="header10.xml" /><Relationship Id="rId35" Type="http://schemas.openxmlformats.org/officeDocument/2006/relationships/header" Target="header11.xml" /><Relationship Id="rId36" Type="http://schemas.openxmlformats.org/officeDocument/2006/relationships/footer" Target="footer10.xml" /><Relationship Id="rId37" Type="http://schemas.openxmlformats.org/officeDocument/2006/relationships/footer" Target="footer11.xml" /><Relationship Id="rId38" Type="http://schemas.openxmlformats.org/officeDocument/2006/relationships/header" Target="header12.xml" /><Relationship Id="rId39" Type="http://schemas.openxmlformats.org/officeDocument/2006/relationships/footer" Target="footer12.xml" /><Relationship Id="rId4" Type="http://schemas.openxmlformats.org/officeDocument/2006/relationships/customXml" Target="../customXml/item1.xml" /><Relationship Id="rId40" Type="http://schemas.openxmlformats.org/officeDocument/2006/relationships/header" Target="header13.xml" /><Relationship Id="rId41" Type="http://schemas.openxmlformats.org/officeDocument/2006/relationships/header" Target="header14.xml" /><Relationship Id="rId42" Type="http://schemas.openxmlformats.org/officeDocument/2006/relationships/footer" Target="footer13.xml" /><Relationship Id="rId43" Type="http://schemas.openxmlformats.org/officeDocument/2006/relationships/footer" Target="footer14.xml" /><Relationship Id="rId44" Type="http://schemas.openxmlformats.org/officeDocument/2006/relationships/header" Target="header15.xml" /><Relationship Id="rId45" Type="http://schemas.openxmlformats.org/officeDocument/2006/relationships/footer" Target="footer15.xml" /><Relationship Id="rId46" Type="http://schemas.openxmlformats.org/officeDocument/2006/relationships/header" Target="header16.xml" /><Relationship Id="rId47" Type="http://schemas.openxmlformats.org/officeDocument/2006/relationships/header" Target="header17.xml" /><Relationship Id="rId48" Type="http://schemas.openxmlformats.org/officeDocument/2006/relationships/footer" Target="footer16.xml" /><Relationship Id="rId49" Type="http://schemas.openxmlformats.org/officeDocument/2006/relationships/footer" Target="footer17.xml" /><Relationship Id="rId5" Type="http://schemas.openxmlformats.org/officeDocument/2006/relationships/header" Target="header1.xml" /><Relationship Id="rId50" Type="http://schemas.openxmlformats.org/officeDocument/2006/relationships/header" Target="header18.xml" /><Relationship Id="rId51" Type="http://schemas.openxmlformats.org/officeDocument/2006/relationships/footer" Target="footer18.xml" /><Relationship Id="rId52" Type="http://schemas.openxmlformats.org/officeDocument/2006/relationships/header" Target="header19.xml" /><Relationship Id="rId53" Type="http://schemas.openxmlformats.org/officeDocument/2006/relationships/header" Target="header20.xml" /><Relationship Id="rId54" Type="http://schemas.openxmlformats.org/officeDocument/2006/relationships/footer" Target="footer19.xml" /><Relationship Id="rId55" Type="http://schemas.openxmlformats.org/officeDocument/2006/relationships/footer" Target="footer20.xml" /><Relationship Id="rId56" Type="http://schemas.openxmlformats.org/officeDocument/2006/relationships/header" Target="header21.xml" /><Relationship Id="rId57" Type="http://schemas.openxmlformats.org/officeDocument/2006/relationships/footer" Target="footer21.xml" /><Relationship Id="rId58" Type="http://schemas.openxmlformats.org/officeDocument/2006/relationships/image" Target="media/image4.png" /><Relationship Id="rId59" Type="http://schemas.openxmlformats.org/officeDocument/2006/relationships/image" Target="media/image5.png" /><Relationship Id="rId6" Type="http://schemas.openxmlformats.org/officeDocument/2006/relationships/header" Target="header2.xml" /><Relationship Id="rId60" Type="http://schemas.openxmlformats.org/officeDocument/2006/relationships/image" Target="media/image6.png" /><Relationship Id="rId61" Type="http://schemas.openxmlformats.org/officeDocument/2006/relationships/image" Target="media/image7.png" /><Relationship Id="rId62" Type="http://schemas.openxmlformats.org/officeDocument/2006/relationships/image" Target="media/image8.png" /><Relationship Id="rId63" Type="http://schemas.openxmlformats.org/officeDocument/2006/relationships/image" Target="media/image9.png" /><Relationship Id="rId64" Type="http://schemas.openxmlformats.org/officeDocument/2006/relationships/header" Target="header22.xml" /><Relationship Id="rId65" Type="http://schemas.openxmlformats.org/officeDocument/2006/relationships/header" Target="header23.xml" /><Relationship Id="rId66" Type="http://schemas.openxmlformats.org/officeDocument/2006/relationships/footer" Target="footer22.xml" /><Relationship Id="rId67" Type="http://schemas.openxmlformats.org/officeDocument/2006/relationships/footer" Target="footer23.xml" /><Relationship Id="rId68" Type="http://schemas.openxmlformats.org/officeDocument/2006/relationships/header" Target="header24.xml" /><Relationship Id="rId69" Type="http://schemas.openxmlformats.org/officeDocument/2006/relationships/footer" Target="footer24.xml" /><Relationship Id="rId7" Type="http://schemas.openxmlformats.org/officeDocument/2006/relationships/footer" Target="footer1.xml" /><Relationship Id="rId70" Type="http://schemas.openxmlformats.org/officeDocument/2006/relationships/header" Target="header25.xml" /><Relationship Id="rId71" Type="http://schemas.openxmlformats.org/officeDocument/2006/relationships/header" Target="header26.xml" /><Relationship Id="rId72" Type="http://schemas.openxmlformats.org/officeDocument/2006/relationships/footer" Target="footer25.xml" /><Relationship Id="rId73" Type="http://schemas.openxmlformats.org/officeDocument/2006/relationships/footer" Target="footer26.xml" /><Relationship Id="rId74" Type="http://schemas.openxmlformats.org/officeDocument/2006/relationships/header" Target="header27.xml" /><Relationship Id="rId75" Type="http://schemas.openxmlformats.org/officeDocument/2006/relationships/footer" Target="footer27.xml" /><Relationship Id="rId76" Type="http://schemas.openxmlformats.org/officeDocument/2006/relationships/image" Target="media/image10.png" /><Relationship Id="rId77" Type="http://schemas.openxmlformats.org/officeDocument/2006/relationships/header" Target="header28.xml" /><Relationship Id="rId78" Type="http://schemas.openxmlformats.org/officeDocument/2006/relationships/header" Target="header29.xml" /><Relationship Id="rId79" Type="http://schemas.openxmlformats.org/officeDocument/2006/relationships/footer" Target="footer28.xml" /><Relationship Id="rId8" Type="http://schemas.openxmlformats.org/officeDocument/2006/relationships/footer" Target="footer2.xml" /><Relationship Id="rId80" Type="http://schemas.openxmlformats.org/officeDocument/2006/relationships/footer" Target="footer29.xml" /><Relationship Id="rId81" Type="http://schemas.openxmlformats.org/officeDocument/2006/relationships/header" Target="header30.xml" /><Relationship Id="rId82" Type="http://schemas.openxmlformats.org/officeDocument/2006/relationships/footer" Target="footer30.xml" /><Relationship Id="rId83" Type="http://schemas.openxmlformats.org/officeDocument/2006/relationships/image" Target="media/image11.png" /><Relationship Id="rId84" Type="http://schemas.openxmlformats.org/officeDocument/2006/relationships/image" Target="media/image12.png" /><Relationship Id="rId85" Type="http://schemas.openxmlformats.org/officeDocument/2006/relationships/header" Target="header31.xml" /><Relationship Id="rId86" Type="http://schemas.openxmlformats.org/officeDocument/2006/relationships/header" Target="header32.xml" /><Relationship Id="rId87" Type="http://schemas.openxmlformats.org/officeDocument/2006/relationships/footer" Target="footer31.xml" /><Relationship Id="rId88" Type="http://schemas.openxmlformats.org/officeDocument/2006/relationships/footer" Target="footer32.xml" /><Relationship Id="rId89" Type="http://schemas.openxmlformats.org/officeDocument/2006/relationships/header" Target="header33.xml" /><Relationship Id="rId9" Type="http://schemas.openxmlformats.org/officeDocument/2006/relationships/header" Target="header3.xml" /><Relationship Id="rId90" Type="http://schemas.openxmlformats.org/officeDocument/2006/relationships/footer" Target="footer33.xml" /><Relationship Id="rId91" Type="http://schemas.openxmlformats.org/officeDocument/2006/relationships/theme" Target="theme/theme1.xml" /><Relationship Id="rId92" Type="http://schemas.openxmlformats.org/officeDocument/2006/relationships/numbering" Target="numbering.xml" /><Relationship Id="rId93" Type="http://schemas.openxmlformats.org/officeDocument/2006/relationships/styles" Target="styles.xml" /></Relationships>
</file>

<file path=word/_rels/header1.xml.rels>&#65279;<?xml version="1.0" encoding="utf-8" standalone="yes"?><Relationships xmlns="http://schemas.openxmlformats.org/package/2006/relationships"><Relationship Id="rId1" Type="http://schemas.openxmlformats.org/officeDocument/2006/relationships/image" Target="media/image1.png" /></Relationships>
</file>

<file path=word/_rels/header10.xml.rels>&#65279;<?xml version="1.0" encoding="utf-8" standalone="yes"?><Relationships xmlns="http://schemas.openxmlformats.org/package/2006/relationships"><Relationship Id="rId1" Type="http://schemas.openxmlformats.org/officeDocument/2006/relationships/image" Target="media/image1.png" /></Relationships>
</file>

<file path=word/_rels/header11.xml.rels>&#65279;<?xml version="1.0" encoding="utf-8" standalone="yes"?><Relationships xmlns="http://schemas.openxmlformats.org/package/2006/relationships"><Relationship Id="rId1" Type="http://schemas.openxmlformats.org/officeDocument/2006/relationships/image" Target="media/image1.png" /></Relationships>
</file>

<file path=word/_rels/header13.xml.rels>&#65279;<?xml version="1.0" encoding="utf-8" standalone="yes"?><Relationships xmlns="http://schemas.openxmlformats.org/package/2006/relationships"><Relationship Id="rId1" Type="http://schemas.openxmlformats.org/officeDocument/2006/relationships/image" Target="media/image1.png" /></Relationships>
</file>

<file path=word/_rels/header14.xml.rels>&#65279;<?xml version="1.0" encoding="utf-8" standalone="yes"?><Relationships xmlns="http://schemas.openxmlformats.org/package/2006/relationships"><Relationship Id="rId1" Type="http://schemas.openxmlformats.org/officeDocument/2006/relationships/image" Target="media/image1.png" /></Relationships>
</file>

<file path=word/_rels/header16.xml.rels>&#65279;<?xml version="1.0" encoding="utf-8" standalone="yes"?><Relationships xmlns="http://schemas.openxmlformats.org/package/2006/relationships"><Relationship Id="rId1" Type="http://schemas.openxmlformats.org/officeDocument/2006/relationships/image" Target="media/image1.png" /></Relationships>
</file>

<file path=word/_rels/header17.xml.rels>&#65279;<?xml version="1.0" encoding="utf-8" standalone="yes"?><Relationships xmlns="http://schemas.openxmlformats.org/package/2006/relationships"><Relationship Id="rId1" Type="http://schemas.openxmlformats.org/officeDocument/2006/relationships/image" Target="media/image1.png" /></Relationships>
</file>

<file path=word/_rels/header19.xml.rels>&#65279;<?xml version="1.0" encoding="utf-8" standalone="yes"?><Relationships xmlns="http://schemas.openxmlformats.org/package/2006/relationships"><Relationship Id="rId1" Type="http://schemas.openxmlformats.org/officeDocument/2006/relationships/image" Target="media/image1.png" /></Relationships>
</file>

<file path=word/_rels/header2.xml.rels>&#65279;<?xml version="1.0" encoding="utf-8" standalone="yes"?><Relationships xmlns="http://schemas.openxmlformats.org/package/2006/relationships"><Relationship Id="rId1" Type="http://schemas.openxmlformats.org/officeDocument/2006/relationships/image" Target="media/image1.png" /></Relationships>
</file>

<file path=word/_rels/header20.xml.rels>&#65279;<?xml version="1.0" encoding="utf-8" standalone="yes"?><Relationships xmlns="http://schemas.openxmlformats.org/package/2006/relationships"><Relationship Id="rId1" Type="http://schemas.openxmlformats.org/officeDocument/2006/relationships/image" Target="media/image1.png" /></Relationships>
</file>

<file path=word/_rels/header22.xml.rels>&#65279;<?xml version="1.0" encoding="utf-8" standalone="yes"?><Relationships xmlns="http://schemas.openxmlformats.org/package/2006/relationships"><Relationship Id="rId1" Type="http://schemas.openxmlformats.org/officeDocument/2006/relationships/image" Target="media/image1.png" /></Relationships>
</file>

<file path=word/_rels/header23.xml.rels>&#65279;<?xml version="1.0" encoding="utf-8" standalone="yes"?><Relationships xmlns="http://schemas.openxmlformats.org/package/2006/relationships"><Relationship Id="rId1" Type="http://schemas.openxmlformats.org/officeDocument/2006/relationships/image" Target="media/image1.png" /></Relationships>
</file>

<file path=word/_rels/header25.xml.rels>&#65279;<?xml version="1.0" encoding="utf-8" standalone="yes"?><Relationships xmlns="http://schemas.openxmlformats.org/package/2006/relationships"><Relationship Id="rId1" Type="http://schemas.openxmlformats.org/officeDocument/2006/relationships/image" Target="media/image1.png" /></Relationships>
</file>

<file path=word/_rels/header26.xml.rels>&#65279;<?xml version="1.0" encoding="utf-8" standalone="yes"?><Relationships xmlns="http://schemas.openxmlformats.org/package/2006/relationships"><Relationship Id="rId1" Type="http://schemas.openxmlformats.org/officeDocument/2006/relationships/image" Target="media/image1.png" /></Relationships>
</file>

<file path=word/_rels/header28.xml.rels>&#65279;<?xml version="1.0" encoding="utf-8" standalone="yes"?><Relationships xmlns="http://schemas.openxmlformats.org/package/2006/relationships"><Relationship Id="rId1" Type="http://schemas.openxmlformats.org/officeDocument/2006/relationships/image" Target="media/image1.png" /></Relationships>
</file>

<file path=word/_rels/header29.xml.rels>&#65279;<?xml version="1.0" encoding="utf-8" standalone="yes"?><Relationships xmlns="http://schemas.openxmlformats.org/package/2006/relationships"><Relationship Id="rId1" Type="http://schemas.openxmlformats.org/officeDocument/2006/relationships/image" Target="media/image1.png" /></Relationships>
</file>

<file path=word/_rels/header31.xml.rels>&#65279;<?xml version="1.0" encoding="utf-8" standalone="yes"?><Relationships xmlns="http://schemas.openxmlformats.org/package/2006/relationships"><Relationship Id="rId1" Type="http://schemas.openxmlformats.org/officeDocument/2006/relationships/image" Target="media/image13.png" /></Relationships>
</file>

<file path=word/_rels/header32.xml.rels>&#65279;<?xml version="1.0" encoding="utf-8" standalone="yes"?><Relationships xmlns="http://schemas.openxmlformats.org/package/2006/relationships"><Relationship Id="rId1" Type="http://schemas.openxmlformats.org/officeDocument/2006/relationships/image" Target="media/image13.png" /></Relationships>
</file>

<file path=word/_rels/header4.xml.rels>&#65279;<?xml version="1.0" encoding="utf-8" standalone="yes"?><Relationships xmlns="http://schemas.openxmlformats.org/package/2006/relationships"><Relationship Id="rId1" Type="http://schemas.openxmlformats.org/officeDocument/2006/relationships/image" Target="media/image1.png" /></Relationships>
</file>

<file path=word/_rels/header5.xml.rels>&#65279;<?xml version="1.0" encoding="utf-8" standalone="yes"?><Relationships xmlns="http://schemas.openxmlformats.org/package/2006/relationships"><Relationship Id="rId1" Type="http://schemas.openxmlformats.org/officeDocument/2006/relationships/image" Target="media/image1.png" /></Relationships>
</file>

<file path=word/_rels/header7.xml.rels>&#65279;<?xml version="1.0" encoding="utf-8" standalone="yes"?><Relationships xmlns="http://schemas.openxmlformats.org/package/2006/relationships"><Relationship Id="rId1" Type="http://schemas.openxmlformats.org/officeDocument/2006/relationships/image" Target="media/image1.png" /></Relationships>
</file>

<file path=word/_rels/header8.xml.rels>&#65279;<?xml version="1.0" encoding="utf-8" standalone="yes"?><Relationships xmlns="http://schemas.openxmlformats.org/package/2006/relationships"><Relationship Id="rId1" Type="http://schemas.openxmlformats.org/officeDocument/2006/relationships/image" Target="media/image1.png" /></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05"/>
          <c:y val="0.1955"/>
          <c:w val="0.803"/>
          <c:h val="0.70625"/>
        </c:manualLayout>
      </c:layout>
      <c:barChart>
        <c:barDir val="col"/>
        <c:grouping val="stacked"/>
        <c:varyColors val="0"/>
        <c:ser>
          <c:idx val="2"/>
          <c:order val="0"/>
          <c:tx>
            <c:strRef>
              <c:f>'Liikevaihdon kehitys'!$E$3</c:f>
              <c:strCache>
                <c:ptCount val="1"/>
                <c:pt idx="0">
                  <c:v>Konsernin liikevaihdon kehitys</c:v>
                </c:pt>
              </c:strCache>
            </c:strRef>
          </c:tx>
          <c:spPr>
            <a:solidFill>
              <a:srgbClr val="0F334A"/>
            </a:solidFill>
            <a:ln w="6350">
              <a:solidFill>
                <a:srgbClr val="0F334A"/>
              </a:solidFill>
            </a:ln>
          </c:spPr>
          <c:invertIfNegative val="0"/>
          <c:dLbls>
            <c:numFmt formatCode="General" sourceLinked="1"/>
            <c:showLegendKey val="0"/>
            <c:showVal val="0"/>
            <c:showCatName val="0"/>
            <c:showSerName val="0"/>
            <c:showPercent val="0"/>
            <c:showBubbleSize val="0"/>
            <c:showLeaderLines val="0"/>
          </c:dLbls>
          <c:cat>
            <c:strRef>
              <c:f>'Liikevaihdon kehitys'!$B$6:$B$10</c:f>
              <c:strCache>
                <c:ptCount val="5"/>
                <c:pt idx="0">
                  <c:v>2017*</c:v>
                </c:pt>
                <c:pt idx="1">
                  <c:v>2018</c:v>
                </c:pt>
                <c:pt idx="2">
                  <c:v>2019</c:v>
                </c:pt>
                <c:pt idx="3">
                  <c:v>2020</c:v>
                </c:pt>
                <c:pt idx="4">
                  <c:v>2021</c:v>
                </c:pt>
              </c:strCache>
            </c:strRef>
          </c:cat>
          <c:val>
            <c:numRef>
              <c:f>'Liikevaihdon kehitys'!$E$6:$E$10</c:f>
              <c:numCache>
                <c:formatCode>General</c:formatCode>
                <c:ptCount val="5"/>
                <c:pt idx="0">
                  <c:v>4911</c:v>
                </c:pt>
                <c:pt idx="1">
                  <c:v>5174</c:v>
                </c:pt>
                <c:pt idx="2">
                  <c:v>5170</c:v>
                </c:pt>
                <c:pt idx="3">
                  <c:v>4604</c:v>
                </c:pt>
                <c:pt idx="4">
                  <c:v>4778</c:v>
                </c:pt>
              </c:numCache>
            </c:numRef>
          </c:val>
          <c:extLst>
            <c:ext xmlns:c="http://schemas.openxmlformats.org/drawingml/2006/chart" xmlns:c16="http://schemas.microsoft.com/office/drawing/2014/chart" uri="{C3380CC4-5D6E-409C-BE32-E72D297353CC}">
              <c16:uniqueId val="{00000002-48F7-467F-96D6-A4278D8AF04D}"/>
            </c:ext>
          </c:extLst>
        </c:ser>
        <c:gapWidth val="500"/>
        <c:overlap val="100"/>
        <c:axId val="24693587"/>
        <c:axId val="48590108"/>
      </c:barChart>
      <c:catAx>
        <c:axId val="24693587"/>
        <c:scaling>
          <c:orientation val="minMax"/>
        </c:scaling>
        <c:delete val="0"/>
        <c:axPos val="b"/>
        <c:numFmt formatCode="General" sourceLinked="1"/>
        <c:majorTickMark val="none"/>
        <c:minorTickMark val="none"/>
        <c:tickLblPos val="nextTo"/>
        <c:spPr>
          <a:noFill/>
          <a:ln w="9525">
            <a:solidFill>
              <a:schemeClr val="tx1">
                <a:lumMod val="15000"/>
                <a:lumOff val="85000"/>
              </a:schemeClr>
            </a:solidFill>
            <a:round/>
          </a:ln>
        </c:spPr>
        <c:txPr>
          <a:bodyPr/>
          <a:lstStyle/>
          <a:p>
            <a:pPr>
              <a:defRPr lang="en-US" sz="700" b="1" u="none" baseline="0">
                <a:solidFill>
                  <a:schemeClr val="tx1"/>
                </a:solidFill>
                <a:latin typeface="Arial"/>
                <a:ea typeface="Arial"/>
                <a:cs typeface="Arial"/>
              </a:defRPr>
            </a:pPr>
          </a:p>
        </c:txPr>
        <c:crossAx val="48590108"/>
        <c:crosses val="autoZero"/>
        <c:auto val="1"/>
        <c:lblOffset val="100"/>
        <c:noMultiLvlLbl val="0"/>
      </c:catAx>
      <c:valAx>
        <c:axId val="48590108"/>
        <c:scaling>
          <c:orientation val="minMax"/>
          <c:max val="6000"/>
        </c:scaling>
        <c:delete val="0"/>
        <c:axPos val="l"/>
        <c:majorGridlines>
          <c:spPr>
            <a:ln w="9525">
              <a:solidFill>
                <a:schemeClr val="tx1">
                  <a:lumMod val="15000"/>
                  <a:lumOff val="85000"/>
                </a:schemeClr>
              </a:solidFill>
              <a:round/>
            </a:ln>
          </c:spPr>
        </c:majorGridlines>
        <c:title>
          <c:tx>
            <c:rich>
              <a:bodyPr rot="0" vertOverflow="clip" vert="horz"/>
              <a:lstStyle/>
              <a:p>
                <a:pPr algn="ctr">
                  <a:defRPr/>
                </a:pPr>
                <a:r>
                  <a:rPr lang="en-US" u="none" baseline="0">
                    <a:solidFill>
                      <a:schemeClr val="tx1"/>
                    </a:solidFill>
                    <a:latin typeface="Arial"/>
                    <a:ea typeface="Arial"/>
                    <a:cs typeface="Arial"/>
                  </a:rPr>
                  <a:t>MEUR</a:t>
                </a:r>
              </a:p>
            </c:rich>
          </c:tx>
          <c:layout>
            <c:manualLayout>
              <c:xMode val="edge"/>
              <c:yMode val="edge"/>
              <c:x val="0.00275"/>
              <c:y val="0.00675"/>
            </c:manualLayout>
          </c:layout>
          <c:overlay val="0"/>
          <c:spPr>
            <a:noFill/>
            <a:ln w="6350">
              <a:noFill/>
            </a:ln>
          </c:spPr>
        </c:title>
        <c:numFmt formatCode="#,##0" sourceLinked="0"/>
        <c:majorTickMark val="none"/>
        <c:minorTickMark val="none"/>
        <c:tickLblPos val="nextTo"/>
        <c:spPr>
          <a:noFill/>
          <a:ln w="6350">
            <a:noFill/>
          </a:ln>
        </c:spPr>
        <c:crossAx val="24693587"/>
        <c:crosses val="autoZero"/>
        <c:crossBetween val="between"/>
        <c:majorUnit val="1000"/>
      </c:valAx>
      <c:spPr>
        <a:noFill/>
        <a:ln w="25400">
          <a:noFill/>
        </a:ln>
      </c:spPr>
    </c:plotArea>
    <c:plotVisOnly val="1"/>
    <c:dispBlanksAs val="gap"/>
    <c:showDLblsOverMax val="0"/>
  </c:chart>
  <c:spPr>
    <a:solidFill>
      <a:schemeClr val="bg1"/>
    </a:solidFill>
    <a:ln w="9525">
      <a:solidFill>
        <a:schemeClr val="bg1"/>
      </a:solidFill>
      <a:round/>
    </a:ln>
  </c:spPr>
  <c:txPr>
    <a:bodyPr rot="0" vert="horz"/>
    <a:lstStyle/>
    <a:p>
      <a:pPr>
        <a:defRPr lang="en-US" sz="700" u="none" baseline="0">
          <a:solidFill>
            <a:schemeClr val="tx1"/>
          </a:solidFill>
          <a:latin typeface="Arial"/>
          <a:ea typeface="Arial"/>
          <a:cs typeface="Arial"/>
        </a:defRPr>
      </a:pPr>
    </a:p>
  </c:txPr>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5"/>
          <c:y val="0.1605"/>
          <c:w val="0.815"/>
          <c:h val="0.571"/>
        </c:manualLayout>
      </c:layout>
      <c:barChart>
        <c:barDir val="col"/>
        <c:grouping val="clustered"/>
        <c:varyColors val="0"/>
        <c:ser>
          <c:idx val="2"/>
          <c:order val="0"/>
          <c:tx>
            <c:strRef>
              <c:f>'Liikevaihdon kehitys'!$E$30</c:f>
              <c:strCache>
                <c:ptCount val="1"/>
                <c:pt idx="0">
                  <c:v>Vertailukelpoinen liiketulos</c:v>
                </c:pt>
              </c:strCache>
            </c:strRef>
          </c:tx>
          <c:spPr>
            <a:solidFill>
              <a:srgbClr val="0F334A"/>
            </a:solidFill>
            <a:ln w="6350">
              <a:noFill/>
            </a:ln>
          </c:spPr>
          <c:invertIfNegative val="0"/>
          <c:dLbls>
            <c:numFmt formatCode="General" sourceLinked="1"/>
            <c:showLegendKey val="0"/>
            <c:showVal val="0"/>
            <c:showCatName val="0"/>
            <c:showSerName val="0"/>
            <c:showPercent val="0"/>
            <c:showBubbleSize val="0"/>
            <c:showLeaderLines val="0"/>
          </c:dLbls>
          <c:cat>
            <c:strRef>
              <c:f>'Liikevaihdon kehitys'!$B$22:$B$26</c:f>
              <c:strCache>
                <c:ptCount val="5"/>
                <c:pt idx="0">
                  <c:v>2017*</c:v>
                </c:pt>
                <c:pt idx="1">
                  <c:v>2018</c:v>
                </c:pt>
                <c:pt idx="2">
                  <c:v>2019</c:v>
                </c:pt>
                <c:pt idx="3">
                  <c:v>2020</c:v>
                </c:pt>
                <c:pt idx="4">
                  <c:v>2021</c:v>
                </c:pt>
              </c:strCache>
            </c:strRef>
          </c:cat>
          <c:val>
            <c:numRef>
              <c:f>'Liikevaihdon kehitys'!$E$22:$E$26</c:f>
              <c:numCache>
                <c:formatCode>General</c:formatCode>
                <c:ptCount val="5"/>
                <c:pt idx="0">
                  <c:v>576</c:v>
                </c:pt>
                <c:pt idx="1">
                  <c:v>577</c:v>
                </c:pt>
                <c:pt idx="2">
                  <c:v>457</c:v>
                </c:pt>
                <c:pt idx="3">
                  <c:v>275</c:v>
                </c:pt>
                <c:pt idx="4">
                  <c:v>357</c:v>
                </c:pt>
              </c:numCache>
            </c:numRef>
          </c:val>
          <c:extLst>
            <c:ext xmlns:c="http://schemas.openxmlformats.org/drawingml/2006/chart" xmlns:c16="http://schemas.microsoft.com/office/drawing/2014/chart" uri="{C3380CC4-5D6E-409C-BE32-E72D297353CC}">
              <c16:uniqueId val="{00000000-0584-45E9-B440-BB39E31D9312}"/>
            </c:ext>
          </c:extLst>
        </c:ser>
        <c:ser>
          <c:idx val="3"/>
          <c:order val="1"/>
          <c:tx>
            <c:strRef>
              <c:f>'Liikevaihdon kehitys'!$I$30</c:f>
              <c:strCache>
                <c:ptCount val="1"/>
                <c:pt idx="0">
                  <c:v>Liiketulos</c:v>
                </c:pt>
              </c:strCache>
            </c:strRef>
          </c:tx>
          <c:spPr>
            <a:solidFill>
              <a:srgbClr val="CCCCCC"/>
            </a:solidFill>
          </c:spPr>
          <c:invertIfNegative val="0"/>
          <c:dLbls>
            <c:numFmt formatCode="General" sourceLinked="1"/>
            <c:showLegendKey val="0"/>
            <c:showVal val="0"/>
            <c:showCatName val="0"/>
            <c:showSerName val="0"/>
            <c:showPercent val="0"/>
            <c:showBubbleSize val="0"/>
            <c:showLeaderLines val="0"/>
          </c:dLbls>
          <c:val>
            <c:numRef>
              <c:f>'Liikevaihdon kehitys'!$I$22:$I$26</c:f>
              <c:numCache>
                <c:formatCode>General</c:formatCode>
                <c:ptCount val="5"/>
                <c:pt idx="0">
                  <c:v>538</c:v>
                </c:pt>
                <c:pt idx="1">
                  <c:v>543</c:v>
                </c:pt>
                <c:pt idx="2">
                  <c:v>362</c:v>
                </c:pt>
                <c:pt idx="3">
                  <c:v>234</c:v>
                </c:pt>
                <c:pt idx="4">
                  <c:v>314</c:v>
                </c:pt>
              </c:numCache>
            </c:numRef>
          </c:val>
          <c:extLst>
            <c:ext xmlns:c="http://schemas.openxmlformats.org/drawingml/2006/chart" xmlns:c16="http://schemas.microsoft.com/office/drawing/2014/chart" uri="{C3380CC4-5D6E-409C-BE32-E72D297353CC}">
              <c16:uniqueId val="{00000001-6FF1-41F4-8F62-0B5DC1BCEB69}"/>
            </c:ext>
          </c:extLst>
        </c:ser>
        <c:ser>
          <c:idx val="0"/>
          <c:order val="2"/>
          <c:tx>
            <c:strRef>
              <c:f>'Liikevaihdon kehitys'!$M$30</c:f>
              <c:strCache>
                <c:ptCount val="1"/>
                <c:pt idx="0">
                  <c:v>Tulos ennen veroja</c:v>
                </c:pt>
              </c:strCache>
            </c:strRef>
          </c:tx>
          <c:spPr>
            <a:solidFill>
              <a:srgbClr val="99B7C4"/>
            </a:solidFill>
            <a:ln w="6350">
              <a:noFill/>
            </a:ln>
          </c:spPr>
          <c:invertIfNegative val="0"/>
          <c:dLbls>
            <c:numFmt formatCode="General" sourceLinked="1"/>
            <c:showLegendKey val="0"/>
            <c:showVal val="0"/>
            <c:showCatName val="0"/>
            <c:showSerName val="0"/>
            <c:showPercent val="0"/>
            <c:showBubbleSize val="0"/>
            <c:showLeaderLines val="0"/>
          </c:dLbls>
          <c:cat>
            <c:strRef>
              <c:f>'Liikevaihdon kehitys'!$B$22:$B$26</c:f>
              <c:strCache>
                <c:ptCount val="5"/>
                <c:pt idx="0">
                  <c:v>2017*</c:v>
                </c:pt>
                <c:pt idx="1">
                  <c:v>2018</c:v>
                </c:pt>
                <c:pt idx="2">
                  <c:v>2019</c:v>
                </c:pt>
                <c:pt idx="3">
                  <c:v>2020</c:v>
                </c:pt>
                <c:pt idx="4">
                  <c:v>2021</c:v>
                </c:pt>
              </c:strCache>
            </c:strRef>
          </c:cat>
          <c:val>
            <c:numRef>
              <c:f>'Liikevaihdon kehitys'!$M$22:$M$26</c:f>
              <c:numCache>
                <c:formatCode>0</c:formatCode>
                <c:ptCount val="5"/>
                <c:pt idx="0">
                  <c:v>491</c:v>
                </c:pt>
                <c:pt idx="1">
                  <c:v>502</c:v>
                </c:pt>
                <c:pt idx="2">
                  <c:v>315</c:v>
                </c:pt>
                <c:pt idx="3">
                  <c:v>191</c:v>
                </c:pt>
                <c:pt idx="4">
                  <c:v>296</c:v>
                </c:pt>
              </c:numCache>
            </c:numRef>
          </c:val>
          <c:extLst>
            <c:ext xmlns:c="http://schemas.openxmlformats.org/drawingml/2006/chart" xmlns:c16="http://schemas.microsoft.com/office/drawing/2014/chart" uri="{C3380CC4-5D6E-409C-BE32-E72D297353CC}">
              <c16:uniqueId val="{00000002-0584-45E9-B440-BB39E31D9312}"/>
            </c:ext>
          </c:extLst>
        </c:ser>
        <c:gapWidth val="400"/>
        <c:axId val="44608682"/>
        <c:axId val="8578761"/>
      </c:barChart>
      <c:lineChart>
        <c:grouping val="standard"/>
        <c:varyColors val="0"/>
        <c:ser>
          <c:idx val="1"/>
          <c:order val="3"/>
          <c:tx>
            <c:strRef>
              <c:f>'Liikevaihdon kehitys'!$Q$30</c:f>
              <c:strCache>
                <c:ptCount val="1"/>
                <c:pt idx="0">
                  <c:v>Liiketulos, %</c:v>
                </c:pt>
              </c:strCache>
            </c:strRef>
          </c:tx>
          <c:spPr>
            <a:ln w="22225" cap="rnd">
              <a:solidFill>
                <a:schemeClr val="accent2"/>
              </a:solidFill>
              <a:round/>
            </a:ln>
          </c:spPr>
          <c:marker>
            <c:symbol val="none"/>
          </c:marker>
          <c:dLbls>
            <c:numFmt formatCode="General" sourceLinked="1"/>
            <c:showLegendKey val="0"/>
            <c:showVal val="0"/>
            <c:showCatName val="0"/>
            <c:showSerName val="0"/>
            <c:showPercent val="0"/>
            <c:showBubbleSize val="0"/>
            <c:showLeaderLines val="0"/>
          </c:dLbls>
          <c:cat>
            <c:strRef>
              <c:f>'Liikevaihdon kehitys'!$B$22:$B$26</c:f>
              <c:strCache>
                <c:ptCount val="5"/>
                <c:pt idx="0">
                  <c:v>2017*</c:v>
                </c:pt>
                <c:pt idx="1">
                  <c:v>2018</c:v>
                </c:pt>
                <c:pt idx="2">
                  <c:v>2019</c:v>
                </c:pt>
                <c:pt idx="3">
                  <c:v>2020</c:v>
                </c:pt>
                <c:pt idx="4">
                  <c:v>2021</c:v>
                </c:pt>
              </c:strCache>
            </c:strRef>
          </c:cat>
          <c:val>
            <c:numRef>
              <c:f>'Liikevaihdon kehitys'!$Q$22:$Q$26</c:f>
              <c:numCache>
                <c:formatCode>0.0</c:formatCode>
                <c:ptCount val="5"/>
                <c:pt idx="0">
                  <c:v>11</c:v>
                </c:pt>
                <c:pt idx="1">
                  <c:v>10.5</c:v>
                </c:pt>
                <c:pt idx="2">
                  <c:v>7</c:v>
                </c:pt>
                <c:pt idx="3">
                  <c:v>5.1</c:v>
                </c:pt>
                <c:pt idx="4">
                  <c:v>6.6</c:v>
                </c:pt>
              </c:numCache>
            </c:numRef>
          </c:val>
          <c:smooth val="0"/>
          <c:extLst>
            <c:ext xmlns:c="http://schemas.openxmlformats.org/drawingml/2006/chart" xmlns:c16="http://schemas.microsoft.com/office/drawing/2014/chart" uri="{C3380CC4-5D6E-409C-BE32-E72D297353CC}">
              <c16:uniqueId val="{00000003-0584-45E9-B440-BB39E31D9312}"/>
            </c:ext>
          </c:extLst>
        </c:ser>
        <c:marker val="1"/>
        <c:axId val="43513852"/>
        <c:axId val="19844436"/>
      </c:lineChart>
      <c:catAx>
        <c:axId val="44608682"/>
        <c:scaling>
          <c:orientation val="minMax"/>
        </c:scaling>
        <c:delete val="0"/>
        <c:axPos val="b"/>
        <c:numFmt formatCode="General" sourceLinked="1"/>
        <c:majorTickMark val="none"/>
        <c:minorTickMark val="none"/>
        <c:tickLblPos val="nextTo"/>
        <c:spPr>
          <a:noFill/>
          <a:ln w="9525">
            <a:solidFill>
              <a:schemeClr val="tx1">
                <a:lumMod val="15000"/>
                <a:lumOff val="85000"/>
              </a:schemeClr>
            </a:solidFill>
            <a:round/>
          </a:ln>
        </c:spPr>
        <c:txPr>
          <a:bodyPr/>
          <a:lstStyle/>
          <a:p>
            <a:pPr>
              <a:defRPr lang="en-US" sz="700" b="1" u="none" baseline="0">
                <a:solidFill>
                  <a:schemeClr val="tx1"/>
                </a:solidFill>
                <a:latin typeface="Arial"/>
                <a:ea typeface="Arial"/>
                <a:cs typeface="Arial"/>
              </a:defRPr>
            </a:pPr>
          </a:p>
        </c:txPr>
        <c:crossAx val="8578761"/>
        <c:crosses val="autoZero"/>
        <c:auto val="1"/>
        <c:lblOffset val="100"/>
        <c:noMultiLvlLbl val="0"/>
      </c:catAx>
      <c:valAx>
        <c:axId val="8578761"/>
        <c:scaling>
          <c:orientation val="minMax"/>
          <c:max val="700"/>
        </c:scaling>
        <c:delete val="0"/>
        <c:axPos val="l"/>
        <c:majorGridlines>
          <c:spPr>
            <a:ln w="9525">
              <a:solidFill>
                <a:schemeClr val="tx1">
                  <a:lumMod val="15000"/>
                  <a:lumOff val="85000"/>
                </a:schemeClr>
              </a:solidFill>
              <a:round/>
            </a:ln>
          </c:spPr>
        </c:majorGridlines>
        <c:title>
          <c:tx>
            <c:rich>
              <a:bodyPr rot="0" vertOverflow="clip" vert="horz"/>
              <a:lstStyle/>
              <a:p>
                <a:pPr algn="ctr">
                  <a:defRPr/>
                </a:pPr>
                <a:r>
                  <a:rPr lang="en-US" u="none" baseline="0">
                    <a:solidFill>
                      <a:schemeClr val="tx1"/>
                    </a:solidFill>
                    <a:latin typeface="Arial"/>
                    <a:ea typeface="Arial"/>
                    <a:cs typeface="Arial"/>
                  </a:rPr>
                  <a:t>MEUR</a:t>
                </a:r>
              </a:p>
            </c:rich>
          </c:tx>
          <c:layout>
            <c:manualLayout>
              <c:xMode val="edge"/>
              <c:yMode val="edge"/>
              <c:x val="0.0035"/>
              <c:y val="0.0045"/>
            </c:manualLayout>
          </c:layout>
          <c:overlay val="0"/>
          <c:spPr>
            <a:noFill/>
            <a:ln w="6350">
              <a:noFill/>
            </a:ln>
          </c:spPr>
        </c:title>
        <c:numFmt formatCode="#,##0" sourceLinked="0"/>
        <c:majorTickMark val="none"/>
        <c:minorTickMark val="none"/>
        <c:tickLblPos val="nextTo"/>
        <c:spPr>
          <a:noFill/>
          <a:ln w="6350">
            <a:noFill/>
          </a:ln>
        </c:spPr>
        <c:crossAx val="44608682"/>
        <c:crosses val="autoZero"/>
        <c:crossBetween val="between"/>
        <c:majorUnit val="100"/>
      </c:valAx>
      <c:catAx>
        <c:axId val="43513852"/>
        <c:scaling>
          <c:orientation val="minMax"/>
        </c:scaling>
        <c:delete val="1"/>
        <c:axPos val="b"/>
        <c:numFmt formatCode="General" sourceLinked="1"/>
        <c:majorTickMark val="none"/>
        <c:minorTickMark val="none"/>
        <c:tickLblPos val="nextTo"/>
        <c:spPr>
          <a:noFill/>
          <a:ln w="9525">
            <a:solidFill>
              <a:schemeClr val="tx1">
                <a:lumMod val="15000"/>
                <a:lumOff val="85000"/>
              </a:schemeClr>
            </a:solidFill>
            <a:round/>
          </a:ln>
        </c:spPr>
        <c:txPr>
          <a:bodyPr/>
          <a:lstStyle/>
          <a:p>
            <a:pPr>
              <a:defRPr lang="en-US" sz="700" b="1" u="none" baseline="0">
                <a:solidFill>
                  <a:schemeClr val="tx1"/>
                </a:solidFill>
                <a:latin typeface="Arial"/>
                <a:ea typeface="Arial"/>
                <a:cs typeface="Arial"/>
              </a:defRPr>
            </a:pPr>
          </a:p>
        </c:txPr>
        <c:crossAx val="19844436"/>
        <c:crosses val="autoZero"/>
        <c:auto val="1"/>
        <c:lblOffset val="100"/>
        <c:noMultiLvlLbl val="0"/>
      </c:catAx>
      <c:valAx>
        <c:axId val="19844436"/>
        <c:scaling>
          <c:orientation val="minMax"/>
          <c:min val="0"/>
        </c:scaling>
        <c:delete val="0"/>
        <c:axPos val="l"/>
        <c:title>
          <c:tx>
            <c:rich>
              <a:bodyPr rot="0" vertOverflow="clip" vert="horz"/>
              <a:lstStyle/>
              <a:p>
                <a:pPr algn="ctr">
                  <a:defRPr/>
                </a:pPr>
                <a:r>
                  <a:rPr lang="en-US" u="none" baseline="0">
                    <a:solidFill>
                      <a:schemeClr val="tx1"/>
                    </a:solidFill>
                    <a:latin typeface="Arial"/>
                    <a:ea typeface="Arial"/>
                    <a:cs typeface="Arial"/>
                  </a:rPr>
                  <a:t>%</a:t>
                </a:r>
              </a:p>
            </c:rich>
          </c:tx>
          <c:layout>
            <c:manualLayout>
              <c:xMode val="edge"/>
              <c:yMode val="edge"/>
              <c:x val="0.9495"/>
              <c:y val="0.0325"/>
            </c:manualLayout>
          </c:layout>
          <c:overlay val="0"/>
          <c:spPr>
            <a:noFill/>
            <a:ln w="6350">
              <a:noFill/>
            </a:ln>
          </c:spPr>
        </c:title>
        <c:numFmt formatCode="0" sourceLinked="0"/>
        <c:majorTickMark val="out"/>
        <c:minorTickMark val="none"/>
        <c:tickLblPos val="nextTo"/>
        <c:spPr>
          <a:noFill/>
          <a:ln w="6350">
            <a:noFill/>
          </a:ln>
        </c:spPr>
        <c:crossAx val="43513852"/>
        <c:crosses val="max"/>
        <c:crossBetween val="between"/>
      </c:valAx>
      <c:spPr>
        <a:noFill/>
        <a:ln w="25400">
          <a:noFill/>
        </a:ln>
      </c:spPr>
    </c:plotArea>
    <c:legend>
      <c:legendPos val="b"/>
      <c:layout>
        <c:manualLayout>
          <c:xMode val="edge"/>
          <c:yMode val="edge"/>
          <c:x val="0.0885"/>
          <c:y val="0.84875"/>
          <c:w val="0.90975"/>
          <c:h val="0.15125"/>
        </c:manualLayout>
      </c:layout>
      <c:overlay val="0"/>
      <c:spPr>
        <a:noFill/>
        <a:ln w="6350">
          <a:noFill/>
        </a:ln>
      </c:spPr>
    </c:legend>
    <c:plotVisOnly val="1"/>
    <c:dispBlanksAs val="gap"/>
    <c:showDLblsOverMax val="0"/>
  </c:chart>
  <c:spPr>
    <a:solidFill>
      <a:schemeClr val="bg1"/>
    </a:solidFill>
    <a:ln w="9525">
      <a:solidFill>
        <a:schemeClr val="bg1"/>
      </a:solidFill>
      <a:round/>
    </a:ln>
  </c:spPr>
  <c:txPr>
    <a:bodyPr rot="0" vert="horz"/>
    <a:lstStyle/>
    <a:p>
      <a:pPr>
        <a:defRPr lang="en-US" sz="700" u="none" baseline="0">
          <a:solidFill>
            <a:schemeClr val="tx1"/>
          </a:solidFill>
          <a:latin typeface="Arial"/>
          <a:ea typeface="Arial"/>
          <a:cs typeface="Arial"/>
        </a:defRPr>
      </a:pPr>
    </a:p>
  </c:txPr>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075"/>
          <c:y val="0.19225"/>
          <c:w val="0.828"/>
          <c:h val="0.70175"/>
        </c:manualLayout>
      </c:layout>
      <c:barChart>
        <c:barDir val="col"/>
        <c:grouping val="stacked"/>
        <c:varyColors val="0"/>
        <c:ser>
          <c:idx val="2"/>
          <c:order val="0"/>
          <c:tx>
            <c:strRef>
              <c:f>Rahoitus!$E$36</c:f>
              <c:strCache>
                <c:ptCount val="1"/>
                <c:pt idx="0">
                  <c:v>Vahvistetut luottolimiittisopimukset (kauden lopussa)</c:v>
                </c:pt>
              </c:strCache>
            </c:strRef>
          </c:tx>
          <c:spPr>
            <a:solidFill>
              <a:srgbClr val="0F172B"/>
            </a:solidFill>
            <a:ln w="6350">
              <a:noFill/>
            </a:ln>
          </c:spPr>
          <c:invertIfNegative val="0"/>
          <c:dLbls>
            <c:numFmt formatCode="General" sourceLinked="1"/>
            <c:showLegendKey val="0"/>
            <c:showVal val="0"/>
            <c:showCatName val="0"/>
            <c:showSerName val="0"/>
            <c:showPercent val="0"/>
            <c:showBubbleSize val="0"/>
            <c:showLeaderLines val="0"/>
          </c:dLbls>
          <c:cat>
            <c:numRef>
              <c:f>Rahoitus!$B$38:$B$44</c:f>
              <c:numCache>
                <c:formatCode>General</c:formatCode>
                <c:ptCount val="7"/>
                <c:pt idx="0">
                  <c:v>2021</c:v>
                </c:pt>
                <c:pt idx="1">
                  <c:v>2022</c:v>
                </c:pt>
                <c:pt idx="2">
                  <c:v>2023</c:v>
                </c:pt>
                <c:pt idx="3">
                  <c:v>2024</c:v>
                </c:pt>
                <c:pt idx="4">
                  <c:v>2025</c:v>
                </c:pt>
                <c:pt idx="5">
                  <c:v>2026</c:v>
                </c:pt>
                <c:pt idx="6">
                  <c:v>2027</c:v>
                </c:pt>
              </c:numCache>
            </c:numRef>
          </c:cat>
          <c:val>
            <c:numRef>
              <c:f>Rahoitus!$E$38:$E$44</c:f>
              <c:numCache>
                <c:formatCode>General</c:formatCode>
                <c:ptCount val="7"/>
                <c:pt idx="0">
                  <c:v>650</c:v>
                </c:pt>
                <c:pt idx="1">
                  <c:v>510</c:v>
                </c:pt>
                <c:pt idx="2">
                  <c:v>280</c:v>
                </c:pt>
                <c:pt idx="3">
                  <c:v>150</c:v>
                </c:pt>
                <c:pt idx="4">
                  <c:v>50</c:v>
                </c:pt>
                <c:pt idx="5">
                  <c:v>0</c:v>
                </c:pt>
              </c:numCache>
            </c:numRef>
          </c:val>
          <c:extLst>
            <c:ext xmlns:c="http://schemas.openxmlformats.org/drawingml/2006/chart" xmlns:c16="http://schemas.microsoft.com/office/drawing/2014/chart" uri="{C3380CC4-5D6E-409C-BE32-E72D297353CC}">
              <c16:uniqueId val="{00000000-79BE-4107-AB14-3569D1682B71}"/>
            </c:ext>
          </c:extLst>
        </c:ser>
        <c:gapWidth val="200"/>
        <c:overlap val="100"/>
        <c:axId val="52024462"/>
        <c:axId val="35628057"/>
      </c:barChart>
      <c:catAx>
        <c:axId val="52024462"/>
        <c:scaling>
          <c:orientation val="minMax"/>
        </c:scaling>
        <c:delete val="0"/>
        <c:axPos val="b"/>
        <c:numFmt formatCode="General" sourceLinked="1"/>
        <c:majorTickMark val="none"/>
        <c:minorTickMark val="none"/>
        <c:tickLblPos val="nextTo"/>
        <c:spPr>
          <a:noFill/>
          <a:ln w="9525">
            <a:solidFill>
              <a:schemeClr val="tx1">
                <a:lumMod val="15000"/>
                <a:lumOff val="85000"/>
              </a:schemeClr>
            </a:solidFill>
            <a:round/>
          </a:ln>
        </c:spPr>
        <c:txPr>
          <a:bodyPr/>
          <a:lstStyle/>
          <a:p>
            <a:pPr>
              <a:defRPr lang="en-US" sz="700" b="1" u="none" baseline="0">
                <a:solidFill>
                  <a:schemeClr val="tx1"/>
                </a:solidFill>
                <a:latin typeface="Arial"/>
                <a:ea typeface="Arial"/>
                <a:cs typeface="Arial"/>
              </a:defRPr>
            </a:pPr>
          </a:p>
        </c:txPr>
        <c:crossAx val="35628057"/>
        <c:crosses val="autoZero"/>
        <c:auto val="1"/>
        <c:lblOffset val="100"/>
        <c:noMultiLvlLbl val="0"/>
      </c:catAx>
      <c:valAx>
        <c:axId val="35628057"/>
        <c:scaling>
          <c:orientation val="minMax"/>
          <c:max val="750"/>
        </c:scaling>
        <c:delete val="0"/>
        <c:axPos val="l"/>
        <c:majorGridlines>
          <c:spPr>
            <a:ln w="9525">
              <a:solidFill>
                <a:schemeClr val="tx1">
                  <a:lumMod val="15000"/>
                  <a:lumOff val="85000"/>
                </a:schemeClr>
              </a:solidFill>
              <a:round/>
            </a:ln>
          </c:spPr>
        </c:majorGridlines>
        <c:title>
          <c:tx>
            <c:rich>
              <a:bodyPr rot="0" vertOverflow="clip" vert="horz"/>
              <a:lstStyle/>
              <a:p>
                <a:pPr algn="ctr">
                  <a:defRPr/>
                </a:pPr>
                <a:r>
                  <a:rPr lang="en-US" u="none" baseline="0">
                    <a:solidFill>
                      <a:schemeClr val="tx1"/>
                    </a:solidFill>
                    <a:latin typeface="Arial"/>
                    <a:ea typeface="Arial"/>
                    <a:cs typeface="Arial"/>
                  </a:rPr>
                  <a:t>MEUR</a:t>
                </a:r>
              </a:p>
            </c:rich>
          </c:tx>
          <c:layout>
            <c:manualLayout>
              <c:xMode val="edge"/>
              <c:yMode val="edge"/>
              <c:x val="0.0035"/>
              <c:y val="0.007"/>
            </c:manualLayout>
          </c:layout>
          <c:overlay val="0"/>
          <c:spPr>
            <a:noFill/>
            <a:ln w="6350">
              <a:noFill/>
            </a:ln>
          </c:spPr>
        </c:title>
        <c:numFmt formatCode="#,##0" sourceLinked="0"/>
        <c:majorTickMark val="none"/>
        <c:minorTickMark val="none"/>
        <c:tickLblPos val="nextTo"/>
        <c:spPr>
          <a:noFill/>
          <a:ln w="6350">
            <a:noFill/>
          </a:ln>
        </c:spPr>
        <c:crossAx val="52024462"/>
        <c:crosses val="autoZero"/>
        <c:crossBetween val="between"/>
        <c:majorUnit val="150"/>
      </c:valAx>
      <c:spPr>
        <a:noFill/>
        <a:ln w="25400">
          <a:noFill/>
        </a:ln>
      </c:spPr>
    </c:plotArea>
    <c:plotVisOnly val="1"/>
    <c:dispBlanksAs val="gap"/>
    <c:showDLblsOverMax val="0"/>
  </c:chart>
  <c:spPr>
    <a:solidFill>
      <a:schemeClr val="bg1"/>
    </a:solidFill>
    <a:ln w="9525">
      <a:solidFill>
        <a:schemeClr val="bg1"/>
      </a:solidFill>
      <a:round/>
    </a:ln>
  </c:spPr>
  <c:txPr>
    <a:bodyPr rot="0" vert="horz"/>
    <a:lstStyle/>
    <a:p>
      <a:pPr>
        <a:defRPr lang="en-US" sz="700" u="none" baseline="0">
          <a:solidFill>
            <a:schemeClr val="tx1"/>
          </a:solidFill>
          <a:latin typeface="Arial"/>
          <a:ea typeface="Arial"/>
          <a:cs typeface="Arial"/>
        </a:defRPr>
      </a:pPr>
    </a:p>
  </c:txPr>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4"/>
          <c:y val="0.1565"/>
          <c:w val="0.86275"/>
          <c:h val="0.5885"/>
        </c:manualLayout>
      </c:layout>
      <c:barChart>
        <c:barDir val="col"/>
        <c:grouping val="stacked"/>
        <c:varyColors val="0"/>
        <c:ser>
          <c:idx val="2"/>
          <c:order val="0"/>
          <c:tx>
            <c:strRef>
              <c:f>Rahoitus!$I$21</c:f>
              <c:strCache>
                <c:ptCount val="1"/>
                <c:pt idx="0">
                  <c:v>Pitkäaikaisten lainojen vuosittaiset takaisinmaksut</c:v>
                </c:pt>
              </c:strCache>
            </c:strRef>
          </c:tx>
          <c:spPr>
            <a:solidFill>
              <a:srgbClr val="0F172B"/>
            </a:solidFill>
            <a:ln w="6350">
              <a:noFill/>
            </a:ln>
          </c:spPr>
          <c:invertIfNegative val="0"/>
          <c:dLbls>
            <c:numFmt formatCode="General" sourceLinked="1"/>
            <c:showLegendKey val="0"/>
            <c:showVal val="0"/>
            <c:showCatName val="0"/>
            <c:showSerName val="0"/>
            <c:showPercent val="0"/>
            <c:showBubbleSize val="0"/>
            <c:showLeaderLines val="0"/>
          </c:dLbls>
          <c:cat>
            <c:strRef>
              <c:f>Rahoitus!$B$22:$B$33</c:f>
              <c:strCache>
                <c:ptCount val="12"/>
                <c:pt idx="0">
                  <c:v>22</c:v>
                </c:pt>
                <c:pt idx="1">
                  <c:v>23</c:v>
                </c:pt>
                <c:pt idx="2">
                  <c:v>24</c:v>
                </c:pt>
                <c:pt idx="3">
                  <c:v>25</c:v>
                </c:pt>
                <c:pt idx="4">
                  <c:v>26</c:v>
                </c:pt>
                <c:pt idx="5">
                  <c:v>27</c:v>
                </c:pt>
                <c:pt idx="6">
                  <c:v>28</c:v>
                </c:pt>
                <c:pt idx="7">
                  <c:v>29</c:v>
                </c:pt>
                <c:pt idx="8">
                  <c:v>30</c:v>
                </c:pt>
                <c:pt idx="9">
                  <c:v>31</c:v>
                </c:pt>
                <c:pt idx="10">
                  <c:v>32</c:v>
                </c:pt>
                <c:pt idx="11">
                  <c:v>32+</c:v>
                </c:pt>
              </c:strCache>
            </c:strRef>
          </c:cat>
          <c:val>
            <c:numRef>
              <c:f>Rahoitus!$E$22:$E$33</c:f>
              <c:numCache>
                <c:formatCode>General</c:formatCode>
                <c:ptCount val="12"/>
                <c:pt idx="0">
                  <c:v>81</c:v>
                </c:pt>
                <c:pt idx="1">
                  <c:v>172</c:v>
                </c:pt>
                <c:pt idx="2">
                  <c:v>115</c:v>
                </c:pt>
                <c:pt idx="3">
                  <c:v>114</c:v>
                </c:pt>
                <c:pt idx="4">
                  <c:v>188</c:v>
                </c:pt>
                <c:pt idx="5">
                  <c:v>58</c:v>
                </c:pt>
                <c:pt idx="6">
                  <c:v>29</c:v>
                </c:pt>
                <c:pt idx="7">
                  <c:v>12</c:v>
                </c:pt>
                <c:pt idx="8">
                  <c:v>6</c:v>
                </c:pt>
                <c:pt idx="9">
                  <c:v>0</c:v>
                </c:pt>
                <c:pt idx="10">
                  <c:v>0</c:v>
                </c:pt>
                <c:pt idx="11">
                  <c:v>0</c:v>
                </c:pt>
              </c:numCache>
            </c:numRef>
          </c:val>
          <c:extLst>
            <c:ext xmlns:c="http://schemas.openxmlformats.org/drawingml/2006/chart" xmlns:c16="http://schemas.microsoft.com/office/drawing/2014/chart" uri="{C3380CC4-5D6E-409C-BE32-E72D297353CC}">
              <c16:uniqueId val="{00000000-9680-4CEB-BB51-A098432E730E}"/>
            </c:ext>
          </c:extLst>
        </c:ser>
        <c:gapWidth val="130"/>
        <c:overlap val="100"/>
        <c:axId val="62655959"/>
        <c:axId val="66174036"/>
      </c:barChart>
      <c:catAx>
        <c:axId val="62655959"/>
        <c:scaling>
          <c:orientation val="minMax"/>
        </c:scaling>
        <c:delete val="0"/>
        <c:axPos val="b"/>
        <c:numFmt formatCode="General" sourceLinked="1"/>
        <c:majorTickMark val="none"/>
        <c:minorTickMark val="none"/>
        <c:tickLblPos val="nextTo"/>
        <c:spPr>
          <a:noFill/>
          <a:ln w="9525">
            <a:solidFill>
              <a:schemeClr val="tx1">
                <a:lumMod val="15000"/>
                <a:lumOff val="85000"/>
              </a:schemeClr>
            </a:solidFill>
            <a:round/>
          </a:ln>
        </c:spPr>
        <c:txPr>
          <a:bodyPr/>
          <a:lstStyle/>
          <a:p>
            <a:pPr>
              <a:defRPr lang="en-US" sz="700" b="1" u="none" baseline="0">
                <a:solidFill>
                  <a:schemeClr val="tx1"/>
                </a:solidFill>
                <a:latin typeface="Arial"/>
                <a:ea typeface="Arial"/>
                <a:cs typeface="Arial"/>
              </a:defRPr>
            </a:pPr>
          </a:p>
        </c:txPr>
        <c:crossAx val="66174036"/>
        <c:crosses val="autoZero"/>
        <c:auto val="1"/>
        <c:lblOffset val="100"/>
        <c:noMultiLvlLbl val="0"/>
      </c:catAx>
      <c:valAx>
        <c:axId val="66174036"/>
        <c:scaling>
          <c:orientation val="minMax"/>
        </c:scaling>
        <c:delete val="0"/>
        <c:axPos val="l"/>
        <c:majorGridlines>
          <c:spPr>
            <a:ln w="9525">
              <a:solidFill>
                <a:schemeClr val="tx1">
                  <a:lumMod val="15000"/>
                  <a:lumOff val="85000"/>
                </a:schemeClr>
              </a:solidFill>
              <a:round/>
            </a:ln>
          </c:spPr>
        </c:majorGridlines>
        <c:title>
          <c:tx>
            <c:rich>
              <a:bodyPr rot="0" vertOverflow="clip" vert="horz"/>
              <a:lstStyle/>
              <a:p>
                <a:pPr algn="ctr">
                  <a:defRPr/>
                </a:pPr>
                <a:r>
                  <a:rPr lang="en-US" u="none" baseline="0">
                    <a:solidFill>
                      <a:schemeClr val="tx1"/>
                    </a:solidFill>
                    <a:latin typeface="Arial"/>
                    <a:ea typeface="Arial"/>
                    <a:cs typeface="Arial"/>
                  </a:rPr>
                  <a:t>MEUR</a:t>
                </a:r>
              </a:p>
            </c:rich>
          </c:tx>
          <c:layout>
            <c:manualLayout>
              <c:xMode val="edge"/>
              <c:yMode val="edge"/>
              <c:x val="0.0035"/>
              <c:y val="0.003"/>
            </c:manualLayout>
          </c:layout>
          <c:overlay val="0"/>
          <c:spPr>
            <a:noFill/>
            <a:ln w="6350">
              <a:noFill/>
            </a:ln>
          </c:spPr>
        </c:title>
        <c:numFmt formatCode="#,##0" sourceLinked="0"/>
        <c:majorTickMark val="none"/>
        <c:minorTickMark val="none"/>
        <c:tickLblPos val="nextTo"/>
        <c:spPr>
          <a:noFill/>
          <a:ln w="6350">
            <a:noFill/>
          </a:ln>
        </c:spPr>
        <c:crossAx val="62655959"/>
        <c:crosses val="autoZero"/>
        <c:crossBetween val="between"/>
      </c:valAx>
      <c:spPr>
        <a:noFill/>
        <a:ln w="25400">
          <a:noFill/>
        </a:ln>
      </c:spPr>
    </c:plotArea>
    <c:legend>
      <c:legendPos val="b"/>
      <c:layout>
        <c:manualLayout>
          <c:xMode val="edge"/>
          <c:yMode val="edge"/>
          <c:x val="0.04825"/>
          <c:y val="0.86875"/>
          <c:w val="0.9025"/>
          <c:h val="0.128"/>
        </c:manualLayout>
      </c:layout>
      <c:overlay val="0"/>
      <c:spPr>
        <a:noFill/>
        <a:ln w="6350">
          <a:noFill/>
        </a:ln>
      </c:spPr>
    </c:legend>
    <c:plotVisOnly val="1"/>
    <c:dispBlanksAs val="gap"/>
    <c:showDLblsOverMax val="0"/>
  </c:chart>
  <c:spPr>
    <a:solidFill>
      <a:schemeClr val="bg1"/>
    </a:solidFill>
    <a:ln w="9525">
      <a:solidFill>
        <a:schemeClr val="bg1"/>
      </a:solidFill>
      <a:round/>
    </a:ln>
  </c:spPr>
  <c:txPr>
    <a:bodyPr rot="0" vert="horz"/>
    <a:lstStyle/>
    <a:p>
      <a:pPr>
        <a:defRPr lang="en-US" sz="700" u="none" baseline="0">
          <a:solidFill>
            <a:schemeClr val="tx1"/>
          </a:solidFill>
          <a:latin typeface="Arial"/>
          <a:ea typeface="Arial"/>
          <a:cs typeface="Arial"/>
        </a:defRPr>
      </a:pPr>
    </a:p>
  </c:txPr>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225"/>
          <c:y val="0.169"/>
          <c:w val="0.867"/>
          <c:h val="0.725"/>
        </c:manualLayout>
      </c:layout>
      <c:barChart>
        <c:barDir val="col"/>
        <c:grouping val="stacked"/>
        <c:varyColors val="0"/>
        <c:ser>
          <c:idx val="2"/>
          <c:order val="0"/>
          <c:tx>
            <c:strRef>
              <c:f>Rahoitus!$E$48</c:f>
            </c:strRef>
          </c:tx>
          <c:spPr>
            <a:solidFill>
              <a:srgbClr val="0F172B"/>
            </a:solidFill>
            <a:ln w="6350">
              <a:noFill/>
            </a:ln>
          </c:spPr>
          <c:invertIfNegative val="0"/>
          <c:dLbls>
            <c:numFmt formatCode="General" sourceLinked="1"/>
            <c:showLegendKey val="0"/>
            <c:showVal val="0"/>
            <c:showCatName val="0"/>
            <c:showSerName val="0"/>
            <c:showPercent val="0"/>
            <c:showBubbleSize val="0"/>
            <c:showLeaderLines val="0"/>
          </c:dLbls>
          <c:cat>
            <c:numRef>
              <c:f>Rahoitus!$B$49:$B$53</c:f>
              <c:numCache>
                <c:formatCode>General</c:formatCode>
                <c:ptCount val="5"/>
                <c:pt idx="0">
                  <c:v>2017</c:v>
                </c:pt>
                <c:pt idx="1">
                  <c:v>2018</c:v>
                </c:pt>
                <c:pt idx="2">
                  <c:v>2019</c:v>
                </c:pt>
                <c:pt idx="3">
                  <c:v>2020</c:v>
                </c:pt>
                <c:pt idx="4">
                  <c:v>2021</c:v>
                </c:pt>
              </c:numCache>
            </c:numRef>
          </c:cat>
          <c:val>
            <c:numRef>
              <c:f>Rahoitus!$E$49:$E$53</c:f>
              <c:numCache>
                <c:formatCode>0.00</c:formatCode>
                <c:ptCount val="5"/>
                <c:pt idx="0">
                  <c:v>0.1</c:v>
                </c:pt>
                <c:pt idx="1">
                  <c:v>0.14</c:v>
                </c:pt>
                <c:pt idx="2">
                  <c:v>0.3</c:v>
                </c:pt>
                <c:pt idx="3">
                  <c:v>0.18</c:v>
                </c:pt>
                <c:pt idx="4">
                  <c:v>0</c:v>
                </c:pt>
              </c:numCache>
            </c:numRef>
          </c:val>
          <c:extLst>
            <c:ext xmlns:c="http://schemas.openxmlformats.org/drawingml/2006/chart" xmlns:c16="http://schemas.microsoft.com/office/drawing/2014/chart" uri="{C3380CC4-5D6E-409C-BE32-E72D297353CC}">
              <c16:uniqueId val="{00000000-64BD-485E-A598-B8C3A0067F70}"/>
            </c:ext>
          </c:extLst>
        </c:ser>
        <c:gapWidth val="300"/>
        <c:overlap val="100"/>
        <c:axId val="61682137"/>
        <c:axId val="14382821"/>
      </c:barChart>
      <c:catAx>
        <c:axId val="61682137"/>
        <c:scaling>
          <c:orientation val="minMax"/>
        </c:scaling>
        <c:delete val="0"/>
        <c:axPos val="b"/>
        <c:numFmt formatCode="General" sourceLinked="1"/>
        <c:majorTickMark val="none"/>
        <c:minorTickMark val="none"/>
        <c:tickLblPos val="nextTo"/>
        <c:spPr>
          <a:noFill/>
          <a:ln w="9525">
            <a:solidFill>
              <a:schemeClr val="tx1">
                <a:lumMod val="15000"/>
                <a:lumOff val="85000"/>
              </a:schemeClr>
            </a:solidFill>
            <a:round/>
          </a:ln>
        </c:spPr>
        <c:crossAx val="14382821"/>
        <c:crosses val="autoZero"/>
        <c:auto val="1"/>
        <c:lblOffset val="100"/>
        <c:noMultiLvlLbl val="0"/>
      </c:catAx>
      <c:valAx>
        <c:axId val="14382821"/>
        <c:scaling>
          <c:orientation val="minMax"/>
          <c:max val="0.5"/>
        </c:scaling>
        <c:delete val="0"/>
        <c:axPos val="l"/>
        <c:majorGridlines>
          <c:spPr>
            <a:ln w="9525">
              <a:solidFill>
                <a:schemeClr val="tx1">
                  <a:lumMod val="15000"/>
                  <a:lumOff val="85000"/>
                </a:schemeClr>
              </a:solidFill>
              <a:round/>
            </a:ln>
          </c:spPr>
        </c:majorGridlines>
        <c:numFmt formatCode="#,##0.00" sourceLinked="0"/>
        <c:majorTickMark val="none"/>
        <c:minorTickMark val="none"/>
        <c:tickLblPos val="nextTo"/>
        <c:spPr>
          <a:noFill/>
          <a:ln w="6350">
            <a:noFill/>
          </a:ln>
        </c:spPr>
        <c:txPr>
          <a:bodyPr/>
          <a:lstStyle/>
          <a:p>
            <a:pPr>
              <a:defRPr lang="en-US" sz="700" b="0" u="none" baseline="0">
                <a:solidFill>
                  <a:schemeClr val="tx1"/>
                </a:solidFill>
                <a:latin typeface="Arial"/>
                <a:ea typeface="Arial"/>
                <a:cs typeface="Arial"/>
              </a:defRPr>
            </a:pPr>
          </a:p>
        </c:txPr>
        <c:crossAx val="61682137"/>
        <c:crosses val="autoZero"/>
        <c:crossBetween val="between"/>
        <c:majorUnit val="0.1"/>
      </c:valAx>
      <c:spPr>
        <a:noFill/>
        <a:ln w="25400">
          <a:noFill/>
        </a:ln>
      </c:spPr>
    </c:plotArea>
    <c:plotVisOnly val="1"/>
    <c:dispBlanksAs val="gap"/>
    <c:showDLblsOverMax val="0"/>
  </c:chart>
  <c:spPr>
    <a:solidFill>
      <a:schemeClr val="bg1"/>
    </a:solidFill>
    <a:ln w="9525">
      <a:solidFill>
        <a:schemeClr val="bg1"/>
      </a:solidFill>
      <a:round/>
    </a:ln>
  </c:spPr>
  <c:txPr>
    <a:bodyPr rot="0" vert="horz"/>
    <a:lstStyle/>
    <a:p>
      <a:pPr>
        <a:defRPr lang="en-US" sz="700" b="1" u="none" baseline="0">
          <a:solidFill>
            <a:schemeClr val="tx1"/>
          </a:solidFill>
          <a:latin typeface="Arial"/>
          <a:ea typeface="Arial"/>
          <a:cs typeface="Arial"/>
        </a:defRPr>
      </a:pPr>
    </a:p>
  </c:txPr>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675"/>
          <c:y val="0.132"/>
          <c:w val="0.88325"/>
          <c:h val="0.57225"/>
        </c:manualLayout>
      </c:layout>
      <c:barChart>
        <c:barDir val="col"/>
        <c:grouping val="stacked"/>
        <c:varyColors val="0"/>
        <c:ser>
          <c:idx val="0"/>
          <c:order val="0"/>
          <c:tx>
            <c:strRef>
              <c:f>Bruttoinvestoinnit!$E$20</c:f>
              <c:strCache>
                <c:ptCount val="1"/>
                <c:pt idx="0">
                  <c:v>Muut investoinnit</c:v>
                </c:pt>
              </c:strCache>
            </c:strRef>
          </c:tx>
          <c:spPr>
            <a:solidFill>
              <a:srgbClr val="0F334A"/>
            </a:solidFill>
            <a:ln w="6350">
              <a:solidFill>
                <a:srgbClr val="0F334A"/>
              </a:solidFill>
            </a:ln>
          </c:spPr>
          <c:invertIfNegative val="0"/>
          <c:dLbls>
            <c:numFmt formatCode="General" sourceLinked="1"/>
            <c:showLegendKey val="0"/>
            <c:showVal val="0"/>
            <c:showCatName val="0"/>
            <c:showSerName val="0"/>
            <c:showPercent val="0"/>
            <c:showBubbleSize val="0"/>
            <c:showLeaderLines val="0"/>
          </c:dLbls>
          <c:cat>
            <c:numRef>
              <c:f>Bruttoinvestoinnit!$B$6:$B$10</c:f>
              <c:numCache>
                <c:formatCode>General</c:formatCode>
                <c:ptCount val="5"/>
                <c:pt idx="0">
                  <c:v>2017</c:v>
                </c:pt>
                <c:pt idx="1">
                  <c:v>2018</c:v>
                </c:pt>
                <c:pt idx="2">
                  <c:v>2019</c:v>
                </c:pt>
                <c:pt idx="3">
                  <c:v>2020</c:v>
                </c:pt>
                <c:pt idx="4">
                  <c:v>2021</c:v>
                </c:pt>
              </c:numCache>
            </c:numRef>
          </c:cat>
          <c:val>
            <c:numRef>
              <c:f>Bruttoinvestoinnit!$E$6:$E$10</c:f>
              <c:numCache>
                <c:formatCode>General</c:formatCode>
                <c:ptCount val="5"/>
                <c:pt idx="0">
                  <c:v>64</c:v>
                </c:pt>
                <c:pt idx="1">
                  <c:v>110</c:v>
                </c:pt>
                <c:pt idx="2">
                  <c:v>116</c:v>
                </c:pt>
                <c:pt idx="3">
                  <c:v>115</c:v>
                </c:pt>
                <c:pt idx="4">
                  <c:v>142</c:v>
                </c:pt>
              </c:numCache>
            </c:numRef>
          </c:val>
          <c:extLst>
            <c:ext xmlns:c="http://schemas.openxmlformats.org/drawingml/2006/chart" xmlns:c16="http://schemas.microsoft.com/office/drawing/2014/chart" uri="{C3380CC4-5D6E-409C-BE32-E72D297353CC}">
              <c16:uniqueId val="{00000000-961C-4FB3-ABD5-F202BA61C6E8}"/>
            </c:ext>
          </c:extLst>
        </c:ser>
        <c:ser>
          <c:idx val="1"/>
          <c:order val="1"/>
          <c:tx>
            <c:strRef>
              <c:f>Bruttoinvestoinnit!$I$20</c:f>
              <c:strCache>
                <c:ptCount val="1"/>
                <c:pt idx="0">
                  <c:v>Yrityshankintoihin</c:v>
                </c:pt>
              </c:strCache>
            </c:strRef>
          </c:tx>
          <c:spPr>
            <a:solidFill>
              <a:srgbClr val="CCCCCC"/>
            </a:solidFill>
            <a:ln w="6350">
              <a:solidFill>
                <a:srgbClr val="CCCCCC"/>
              </a:solidFill>
            </a:ln>
          </c:spPr>
          <c:invertIfNegative val="0"/>
          <c:dLbls>
            <c:numFmt formatCode="General" sourceLinked="1"/>
            <c:showLegendKey val="0"/>
            <c:showVal val="0"/>
            <c:showCatName val="0"/>
            <c:showSerName val="0"/>
            <c:showPercent val="0"/>
            <c:showBubbleSize val="0"/>
            <c:showLeaderLines val="0"/>
          </c:dLbls>
          <c:cat>
            <c:numRef>
              <c:f>Bruttoinvestoinnit!$B$6:$B$10</c:f>
              <c:numCache>
                <c:formatCode>General</c:formatCode>
                <c:ptCount val="5"/>
                <c:pt idx="0">
                  <c:v>2017</c:v>
                </c:pt>
                <c:pt idx="1">
                  <c:v>2018</c:v>
                </c:pt>
                <c:pt idx="2">
                  <c:v>2019</c:v>
                </c:pt>
                <c:pt idx="3">
                  <c:v>2020</c:v>
                </c:pt>
                <c:pt idx="4">
                  <c:v>2021</c:v>
                </c:pt>
              </c:numCache>
            </c:numRef>
          </c:cat>
          <c:val>
            <c:numRef>
              <c:f>Bruttoinvestoinnit!$I$6:$I$10</c:f>
              <c:numCache>
                <c:formatCode>General</c:formatCode>
                <c:ptCount val="5"/>
                <c:pt idx="0">
                  <c:v>191</c:v>
                </c:pt>
                <c:pt idx="1">
                  <c:v>196</c:v>
                </c:pt>
                <c:pt idx="2">
                  <c:v>6</c:v>
                </c:pt>
                <c:pt idx="3">
                  <c:v>2</c:v>
                </c:pt>
                <c:pt idx="4">
                  <c:v>1</c:v>
                </c:pt>
              </c:numCache>
            </c:numRef>
          </c:val>
          <c:extLst>
            <c:ext xmlns:c="http://schemas.openxmlformats.org/drawingml/2006/chart" xmlns:c16="http://schemas.microsoft.com/office/drawing/2014/chart" uri="{C3380CC4-5D6E-409C-BE32-E72D297353CC}">
              <c16:uniqueId val="{00000001-961C-4FB3-ABD5-F202BA61C6E8}"/>
            </c:ext>
          </c:extLst>
        </c:ser>
        <c:gapWidth val="500"/>
        <c:overlap val="100"/>
        <c:axId val="50762228"/>
        <c:axId val="21116545"/>
      </c:barChart>
      <c:lineChart>
        <c:grouping val="standard"/>
        <c:varyColors val="0"/>
        <c:ser>
          <c:idx val="2"/>
          <c:order val="2"/>
          <c:tx>
            <c:strRef>
              <c:f>Bruttoinvestoinnit!$M$20</c:f>
              <c:strCache>
                <c:ptCount val="1"/>
                <c:pt idx="0">
                  <c:v>Poistot ja arvonalentumiset</c:v>
                </c:pt>
              </c:strCache>
            </c:strRef>
          </c:tx>
          <c:spPr>
            <a:ln w="22225" cap="rnd">
              <a:solidFill>
                <a:srgbClr val="FF7321"/>
              </a:solidFill>
              <a:round/>
            </a:ln>
          </c:spPr>
          <c:marker>
            <c:symbol val="none"/>
          </c:marker>
          <c:dLbls>
            <c:numFmt formatCode="General" sourceLinked="1"/>
            <c:showLegendKey val="0"/>
            <c:showVal val="0"/>
            <c:showCatName val="0"/>
            <c:showSerName val="0"/>
            <c:showPercent val="0"/>
            <c:showBubbleSize val="0"/>
            <c:showLeaderLines val="0"/>
          </c:dLbls>
          <c:cat>
            <c:numRef>
              <c:f>Bruttoinvestoinnit!$B$6:$B$10</c:f>
              <c:numCache>
                <c:formatCode>General</c:formatCode>
                <c:ptCount val="5"/>
                <c:pt idx="0">
                  <c:v>2017</c:v>
                </c:pt>
                <c:pt idx="1">
                  <c:v>2018</c:v>
                </c:pt>
                <c:pt idx="2">
                  <c:v>2019</c:v>
                </c:pt>
                <c:pt idx="3">
                  <c:v>2020</c:v>
                </c:pt>
                <c:pt idx="4">
                  <c:v>2021</c:v>
                </c:pt>
              </c:numCache>
            </c:numRef>
          </c:cat>
          <c:val>
            <c:numRef>
              <c:f>Bruttoinvestoinnit!$M$6:$M$10</c:f>
              <c:numCache>
                <c:formatCode>General</c:formatCode>
                <c:ptCount val="5"/>
                <c:pt idx="0">
                  <c:v>134</c:v>
                </c:pt>
                <c:pt idx="1">
                  <c:v>130</c:v>
                </c:pt>
                <c:pt idx="2">
                  <c:v>180</c:v>
                </c:pt>
                <c:pt idx="3">
                  <c:v>174</c:v>
                </c:pt>
                <c:pt idx="4">
                  <c:v>162</c:v>
                </c:pt>
              </c:numCache>
            </c:numRef>
          </c:val>
          <c:smooth val="0"/>
          <c:extLst>
            <c:ext xmlns:c="http://schemas.openxmlformats.org/drawingml/2006/chart" xmlns:c16="http://schemas.microsoft.com/office/drawing/2014/chart" uri="{C3380CC4-5D6E-409C-BE32-E72D297353CC}">
              <c16:uniqueId val="{00000002-961C-4FB3-ABD5-F202BA61C6E8}"/>
            </c:ext>
          </c:extLst>
        </c:ser>
        <c:marker val="1"/>
        <c:axId val="50762228"/>
        <c:axId val="21116545"/>
      </c:lineChart>
      <c:catAx>
        <c:axId val="50762228"/>
        <c:scaling>
          <c:orientation val="minMax"/>
        </c:scaling>
        <c:delete val="0"/>
        <c:axPos val="b"/>
        <c:numFmt formatCode="General" sourceLinked="1"/>
        <c:majorTickMark val="none"/>
        <c:minorTickMark val="none"/>
        <c:tickLblPos val="nextTo"/>
        <c:spPr>
          <a:noFill/>
          <a:ln w="9525">
            <a:solidFill>
              <a:schemeClr val="tx1">
                <a:lumMod val="15000"/>
                <a:lumOff val="85000"/>
              </a:schemeClr>
            </a:solidFill>
            <a:round/>
          </a:ln>
        </c:spPr>
        <c:txPr>
          <a:bodyPr/>
          <a:lstStyle/>
          <a:p>
            <a:pPr>
              <a:defRPr lang="en-US" sz="700" b="1" u="none" baseline="0">
                <a:solidFill>
                  <a:schemeClr val="tx1"/>
                </a:solidFill>
                <a:latin typeface="Arial"/>
                <a:ea typeface="Arial"/>
                <a:cs typeface="Arial"/>
              </a:defRPr>
            </a:pPr>
          </a:p>
        </c:txPr>
        <c:crossAx val="21116545"/>
        <c:crosses val="autoZero"/>
        <c:auto val="1"/>
        <c:lblOffset val="100"/>
        <c:noMultiLvlLbl val="0"/>
      </c:catAx>
      <c:valAx>
        <c:axId val="21116545"/>
        <c:scaling>
          <c:orientation val="minMax"/>
          <c:max val="400"/>
        </c:scaling>
        <c:delete val="0"/>
        <c:axPos val="l"/>
        <c:majorGridlines>
          <c:spPr>
            <a:ln w="9525">
              <a:solidFill>
                <a:schemeClr val="tx1">
                  <a:lumMod val="15000"/>
                  <a:lumOff val="85000"/>
                </a:schemeClr>
              </a:solidFill>
              <a:round/>
            </a:ln>
          </c:spPr>
        </c:majorGridlines>
        <c:title>
          <c:tx>
            <c:rich>
              <a:bodyPr rot="0" vertOverflow="clip" vert="horz"/>
              <a:lstStyle/>
              <a:p>
                <a:pPr algn="ctr">
                  <a:defRPr/>
                </a:pPr>
                <a:r>
                  <a:rPr lang="en-US" u="none" baseline="0">
                    <a:solidFill>
                      <a:schemeClr val="tx1"/>
                    </a:solidFill>
                    <a:latin typeface="Arial"/>
                    <a:ea typeface="Arial"/>
                    <a:cs typeface="Arial"/>
                  </a:rPr>
                  <a:t>MEUR</a:t>
                </a:r>
              </a:p>
            </c:rich>
          </c:tx>
          <c:layout>
            <c:manualLayout>
              <c:xMode val="edge"/>
              <c:yMode val="edge"/>
              <c:x val="0"/>
              <c:y val="0.00275"/>
            </c:manualLayout>
          </c:layout>
          <c:overlay val="0"/>
          <c:spPr>
            <a:noFill/>
            <a:ln w="6350">
              <a:noFill/>
            </a:ln>
          </c:spPr>
        </c:title>
        <c:numFmt formatCode="General" sourceLinked="1"/>
        <c:majorTickMark val="none"/>
        <c:minorTickMark val="none"/>
        <c:tickLblPos val="nextTo"/>
        <c:spPr>
          <a:noFill/>
          <a:ln w="6350">
            <a:noFill/>
          </a:ln>
        </c:spPr>
        <c:crossAx val="50762228"/>
        <c:crosses val="autoZero"/>
        <c:crossBetween val="between"/>
        <c:majorUnit val="100"/>
      </c:valAx>
      <c:spPr>
        <a:noFill/>
        <a:ln w="6350">
          <a:noFill/>
        </a:ln>
      </c:spPr>
    </c:plotArea>
    <c:legend>
      <c:legendPos val="b"/>
      <c:layout>
        <c:manualLayout>
          <c:xMode val="edge"/>
          <c:yMode val="edge"/>
          <c:x val="0.0245"/>
          <c:y val="0.812"/>
          <c:w val="0.668"/>
          <c:h val="0.18225"/>
        </c:manualLayout>
      </c:layout>
      <c:overlay val="0"/>
      <c:spPr>
        <a:noFill/>
        <a:ln w="6350">
          <a:noFill/>
        </a:ln>
      </c:spPr>
    </c:legend>
    <c:plotVisOnly val="1"/>
    <c:dispBlanksAs val="gap"/>
    <c:showDLblsOverMax val="0"/>
  </c:chart>
  <c:spPr>
    <a:solidFill>
      <a:schemeClr val="bg1"/>
    </a:solidFill>
    <a:ln w="9525">
      <a:solidFill>
        <a:schemeClr val="bg1"/>
      </a:solidFill>
      <a:round/>
    </a:ln>
  </c:spPr>
  <c:txPr>
    <a:bodyPr rot="0" vert="horz"/>
    <a:lstStyle/>
    <a:p>
      <a:pPr>
        <a:defRPr lang="en-US" sz="700" u="none" baseline="0">
          <a:solidFill>
            <a:schemeClr val="tx1"/>
          </a:solidFill>
          <a:latin typeface="Arial"/>
          <a:ea typeface="Arial"/>
          <a:cs typeface="Arial"/>
        </a:defRPr>
      </a:pPr>
    </a:p>
  </c:txPr>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125"/>
          <c:y val="0.1755"/>
          <c:w val="0.81125"/>
          <c:h val="0.5825"/>
        </c:manualLayout>
      </c:layout>
      <c:barChart>
        <c:barDir val="col"/>
        <c:grouping val="clustered"/>
        <c:varyColors val="0"/>
        <c:ser>
          <c:idx val="0"/>
          <c:order val="0"/>
          <c:tx>
            <c:strRef>
              <c:f>'Tutkimus- ja kehitysmenot'!$E$14</c:f>
              <c:strCache>
                <c:ptCount val="1"/>
                <c:pt idx="0">
                  <c:v>Tutkimus- ja kehitysmenot</c:v>
                </c:pt>
              </c:strCache>
            </c:strRef>
          </c:tx>
          <c:spPr>
            <a:solidFill>
              <a:srgbClr val="0F334A"/>
            </a:solidFill>
            <a:ln w="6350">
              <a:solidFill>
                <a:srgbClr val="0F334A"/>
              </a:solidFill>
            </a:ln>
          </c:spPr>
          <c:invertIfNegative val="0"/>
          <c:dLbls>
            <c:numFmt formatCode="General" sourceLinked="1"/>
            <c:showLegendKey val="0"/>
            <c:showVal val="0"/>
            <c:showCatName val="0"/>
            <c:showSerName val="0"/>
            <c:showPercent val="0"/>
            <c:showBubbleSize val="0"/>
            <c:showLeaderLines val="0"/>
          </c:dLbls>
          <c:cat>
            <c:numRef>
              <c:f>'Tutkimus- ja kehitysmenot'!$B$6:$B$10</c:f>
              <c:numCache>
                <c:formatCode>General</c:formatCode>
                <c:ptCount val="5"/>
                <c:pt idx="0">
                  <c:v>2017</c:v>
                </c:pt>
                <c:pt idx="1">
                  <c:v>2018</c:v>
                </c:pt>
                <c:pt idx="2">
                  <c:v>2019</c:v>
                </c:pt>
                <c:pt idx="3">
                  <c:v>2020</c:v>
                </c:pt>
                <c:pt idx="4">
                  <c:v>2021</c:v>
                </c:pt>
              </c:numCache>
            </c:numRef>
          </c:cat>
          <c:val>
            <c:numRef>
              <c:f>'Tutkimus- ja kehitysmenot'!$E$6:$E$10</c:f>
              <c:numCache>
                <c:formatCode>General</c:formatCode>
                <c:ptCount val="5"/>
                <c:pt idx="0">
                  <c:v>141</c:v>
                </c:pt>
                <c:pt idx="1">
                  <c:v>165</c:v>
                </c:pt>
                <c:pt idx="2">
                  <c:v>164</c:v>
                </c:pt>
                <c:pt idx="3">
                  <c:v>153</c:v>
                </c:pt>
                <c:pt idx="4">
                  <c:v>175</c:v>
                </c:pt>
              </c:numCache>
            </c:numRef>
          </c:val>
          <c:extLst>
            <c:ext xmlns:c="http://schemas.openxmlformats.org/drawingml/2006/chart" xmlns:c16="http://schemas.microsoft.com/office/drawing/2014/chart" uri="{C3380CC4-5D6E-409C-BE32-E72D297353CC}">
              <c16:uniqueId val="{00000000-B538-4082-B464-187FF6F19124}"/>
            </c:ext>
          </c:extLst>
        </c:ser>
        <c:gapWidth val="500"/>
        <c:axId val="40225083"/>
        <c:axId val="39253652"/>
      </c:barChart>
      <c:lineChart>
        <c:grouping val="standard"/>
        <c:varyColors val="0"/>
        <c:ser>
          <c:idx val="1"/>
          <c:order val="1"/>
          <c:tx>
            <c:strRef>
              <c:f>'Tutkimus- ja kehitysmenot'!$I$14</c:f>
              <c:strCache>
                <c:ptCount val="1"/>
                <c:pt idx="0">
                  <c:v>Prosenttia liikevaihdosta</c:v>
                </c:pt>
              </c:strCache>
            </c:strRef>
          </c:tx>
          <c:spPr>
            <a:ln w="22225" cap="rnd">
              <a:solidFill>
                <a:srgbClr val="FF7321"/>
              </a:solidFill>
              <a:round/>
            </a:ln>
          </c:spPr>
          <c:marker>
            <c:symbol val="none"/>
          </c:marker>
          <c:dLbls>
            <c:numFmt formatCode="General" sourceLinked="1"/>
            <c:showLegendKey val="0"/>
            <c:showVal val="0"/>
            <c:showCatName val="0"/>
            <c:showSerName val="0"/>
            <c:showPercent val="0"/>
            <c:showBubbleSize val="0"/>
            <c:showLeaderLines val="0"/>
          </c:dLbls>
          <c:cat>
            <c:numRef>
              <c:f>'Tutkimus- ja kehitysmenot'!$B$6:$B$10</c:f>
              <c:numCache>
                <c:formatCode>General</c:formatCode>
                <c:ptCount val="5"/>
                <c:pt idx="0">
                  <c:v>2017</c:v>
                </c:pt>
                <c:pt idx="1">
                  <c:v>2018</c:v>
                </c:pt>
                <c:pt idx="2">
                  <c:v>2019</c:v>
                </c:pt>
                <c:pt idx="3">
                  <c:v>2020</c:v>
                </c:pt>
                <c:pt idx="4">
                  <c:v>2021</c:v>
                </c:pt>
              </c:numCache>
            </c:numRef>
          </c:cat>
          <c:val>
            <c:numRef>
              <c:f>'Tutkimus- ja kehitysmenot'!$I$6:$I$10</c:f>
              <c:numCache>
                <c:formatCode>General</c:formatCode>
                <c:ptCount val="5"/>
                <c:pt idx="0">
                  <c:v>2.9</c:v>
                </c:pt>
                <c:pt idx="1" formatCode="0.0">
                  <c:v>3.2</c:v>
                </c:pt>
                <c:pt idx="2">
                  <c:v>3.2</c:v>
                </c:pt>
                <c:pt idx="3">
                  <c:v>3.3</c:v>
                </c:pt>
                <c:pt idx="4">
                  <c:v>3.7</c:v>
                </c:pt>
              </c:numCache>
            </c:numRef>
          </c:val>
          <c:smooth val="0"/>
          <c:extLst>
            <c:ext xmlns:c="http://schemas.openxmlformats.org/drawingml/2006/chart" xmlns:c16="http://schemas.microsoft.com/office/drawing/2014/chart" uri="{C3380CC4-5D6E-409C-BE32-E72D297353CC}">
              <c16:uniqueId val="{00000001-B538-4082-B464-187FF6F19124}"/>
            </c:ext>
          </c:extLst>
        </c:ser>
        <c:marker val="1"/>
        <c:axId val="62608450"/>
        <c:axId val="40712020"/>
      </c:lineChart>
      <c:catAx>
        <c:axId val="40225083"/>
        <c:scaling>
          <c:orientation val="minMax"/>
        </c:scaling>
        <c:delete val="0"/>
        <c:axPos val="b"/>
        <c:numFmt formatCode="General" sourceLinked="1"/>
        <c:majorTickMark val="none"/>
        <c:minorTickMark val="none"/>
        <c:tickLblPos val="nextTo"/>
        <c:spPr>
          <a:noFill/>
          <a:ln w="9525">
            <a:solidFill>
              <a:schemeClr val="tx1">
                <a:lumMod val="15000"/>
                <a:lumOff val="85000"/>
              </a:schemeClr>
            </a:solidFill>
            <a:round/>
          </a:ln>
        </c:spPr>
        <c:txPr>
          <a:bodyPr/>
          <a:lstStyle/>
          <a:p>
            <a:pPr>
              <a:defRPr lang="en-US" sz="700" b="1" u="none" baseline="0">
                <a:solidFill>
                  <a:schemeClr val="tx1"/>
                </a:solidFill>
                <a:latin typeface="Arial"/>
                <a:ea typeface="Arial"/>
                <a:cs typeface="Arial"/>
              </a:defRPr>
            </a:pPr>
          </a:p>
        </c:txPr>
        <c:crossAx val="39253652"/>
        <c:crosses val="autoZero"/>
        <c:auto val="1"/>
        <c:lblOffset val="100"/>
        <c:noMultiLvlLbl val="0"/>
      </c:catAx>
      <c:valAx>
        <c:axId val="39253652"/>
        <c:scaling>
          <c:orientation val="minMax"/>
          <c:max val="200"/>
        </c:scaling>
        <c:delete val="0"/>
        <c:axPos val="l"/>
        <c:majorGridlines>
          <c:spPr>
            <a:ln w="9525">
              <a:solidFill>
                <a:schemeClr val="tx1">
                  <a:lumMod val="15000"/>
                  <a:lumOff val="85000"/>
                </a:schemeClr>
              </a:solidFill>
              <a:round/>
            </a:ln>
          </c:spPr>
        </c:majorGridlines>
        <c:title>
          <c:tx>
            <c:rich>
              <a:bodyPr rot="0" vertOverflow="clip" vert="horz"/>
              <a:lstStyle/>
              <a:p>
                <a:pPr algn="ctr">
                  <a:defRPr/>
                </a:pPr>
                <a:r>
                  <a:rPr lang="en-US" u="none" baseline="0">
                    <a:solidFill>
                      <a:schemeClr val="tx1"/>
                    </a:solidFill>
                    <a:latin typeface="Arial"/>
                    <a:ea typeface="Arial"/>
                    <a:cs typeface="Arial"/>
                  </a:rPr>
                  <a:t>MEUR</a:t>
                </a:r>
              </a:p>
            </c:rich>
          </c:tx>
          <c:layout>
            <c:manualLayout>
              <c:xMode val="edge"/>
              <c:yMode val="edge"/>
              <c:x val="0"/>
              <c:y val="0.00275"/>
            </c:manualLayout>
          </c:layout>
          <c:overlay val="0"/>
          <c:spPr>
            <a:noFill/>
            <a:ln w="6350">
              <a:noFill/>
            </a:ln>
          </c:spPr>
        </c:title>
        <c:numFmt formatCode="General" sourceLinked="1"/>
        <c:majorTickMark val="none"/>
        <c:minorTickMark val="none"/>
        <c:tickLblPos val="nextTo"/>
        <c:spPr>
          <a:noFill/>
          <a:ln w="6350">
            <a:noFill/>
          </a:ln>
        </c:spPr>
        <c:crossAx val="40225083"/>
        <c:crosses val="autoZero"/>
        <c:crossBetween val="between"/>
        <c:majorUnit val="50"/>
      </c:valAx>
      <c:catAx>
        <c:axId val="62608450"/>
        <c:scaling>
          <c:orientation val="minMax"/>
        </c:scaling>
        <c:delete val="1"/>
        <c:axPos val="b"/>
        <c:numFmt formatCode="General" sourceLinked="1"/>
        <c:majorTickMark val="none"/>
        <c:minorTickMark val="none"/>
        <c:tickLblPos val="nextTo"/>
        <c:spPr>
          <a:noFill/>
          <a:ln w="9525">
            <a:solidFill>
              <a:schemeClr val="tx1">
                <a:lumMod val="15000"/>
                <a:lumOff val="85000"/>
              </a:schemeClr>
            </a:solidFill>
            <a:round/>
          </a:ln>
        </c:spPr>
        <c:txPr>
          <a:bodyPr/>
          <a:lstStyle/>
          <a:p>
            <a:pPr>
              <a:defRPr lang="en-US" sz="700" b="1" u="none" baseline="0">
                <a:solidFill>
                  <a:schemeClr val="tx1"/>
                </a:solidFill>
                <a:latin typeface="Arial"/>
                <a:ea typeface="Arial"/>
                <a:cs typeface="Arial"/>
              </a:defRPr>
            </a:pPr>
          </a:p>
        </c:txPr>
        <c:crossAx val="40712020"/>
        <c:crosses val="autoZero"/>
        <c:auto val="1"/>
        <c:lblOffset val="100"/>
        <c:noMultiLvlLbl val="0"/>
      </c:catAx>
      <c:valAx>
        <c:axId val="40712020"/>
        <c:scaling>
          <c:orientation val="minMax"/>
          <c:max val="4"/>
          <c:min val="0"/>
        </c:scaling>
        <c:delete val="0"/>
        <c:axPos val="l"/>
        <c:title>
          <c:tx>
            <c:rich>
              <a:bodyPr rot="0" vertOverflow="clip" vert="horz"/>
              <a:lstStyle/>
              <a:p>
                <a:pPr algn="ctr">
                  <a:defRPr/>
                </a:pPr>
                <a:r>
                  <a:rPr lang="en-US" u="none" baseline="0">
                    <a:solidFill>
                      <a:schemeClr val="tx1"/>
                    </a:solidFill>
                    <a:latin typeface="Arial"/>
                    <a:ea typeface="Arial"/>
                    <a:cs typeface="Arial"/>
                  </a:rPr>
                  <a:t>%</a:t>
                </a:r>
              </a:p>
            </c:rich>
          </c:tx>
          <c:layout>
            <c:manualLayout>
              <c:xMode val="edge"/>
              <c:yMode val="edge"/>
              <c:x val="0.92975"/>
              <c:y val="0.01325"/>
            </c:manualLayout>
          </c:layout>
          <c:overlay val="0"/>
          <c:spPr>
            <a:noFill/>
            <a:ln w="6350">
              <a:noFill/>
            </a:ln>
          </c:spPr>
        </c:title>
        <c:numFmt formatCode="#,##0.0" sourceLinked="0"/>
        <c:majorTickMark val="out"/>
        <c:minorTickMark val="none"/>
        <c:tickLblPos val="nextTo"/>
        <c:spPr>
          <a:noFill/>
          <a:ln w="6350">
            <a:noFill/>
          </a:ln>
        </c:spPr>
        <c:crossAx val="62608450"/>
        <c:crosses val="max"/>
        <c:crossBetween val="between"/>
        <c:majorUnit val="1"/>
      </c:valAx>
      <c:spPr>
        <a:noFill/>
        <a:ln w="25400">
          <a:noFill/>
        </a:ln>
      </c:spPr>
    </c:plotArea>
    <c:legend>
      <c:legendPos val="b"/>
      <c:layout>
        <c:manualLayout>
          <c:xMode val="edge"/>
          <c:yMode val="edge"/>
          <c:x val="0.00075"/>
          <c:y val="0.88975"/>
          <c:w val="0.69425"/>
          <c:h val="0.10725"/>
        </c:manualLayout>
      </c:layout>
      <c:overlay val="0"/>
      <c:spPr>
        <a:noFill/>
        <a:ln w="6350">
          <a:noFill/>
        </a:ln>
      </c:spPr>
    </c:legend>
    <c:plotVisOnly val="1"/>
    <c:dispBlanksAs val="gap"/>
    <c:showDLblsOverMax val="0"/>
  </c:chart>
  <c:spPr>
    <a:solidFill>
      <a:schemeClr val="bg1"/>
    </a:solidFill>
    <a:ln w="9525">
      <a:solidFill>
        <a:schemeClr val="bg1"/>
      </a:solidFill>
      <a:round/>
    </a:ln>
  </c:spPr>
  <c:txPr>
    <a:bodyPr rot="0" vert="horz"/>
    <a:lstStyle/>
    <a:p>
      <a:pPr>
        <a:defRPr lang="en-US" sz="700" u="none" baseline="0">
          <a:solidFill>
            <a:schemeClr val="tx1"/>
          </a:solidFill>
          <a:latin typeface="Arial"/>
          <a:ea typeface="Arial"/>
          <a:cs typeface="Arial"/>
        </a:defRPr>
      </a:pPr>
    </a:p>
  </c:txPr>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1"/>
          <c:y val="0.14"/>
          <c:w val="0.827"/>
          <c:h val="0.593"/>
        </c:manualLayout>
      </c:layout>
      <c:barChart>
        <c:barDir val="col"/>
        <c:grouping val="clustered"/>
        <c:varyColors val="0"/>
        <c:ser>
          <c:idx val="0"/>
          <c:order val="0"/>
          <c:tx>
            <c:strRef>
              <c:f>Henkilöstö!$E$19</c:f>
              <c:strCache>
                <c:ptCount val="1"/>
                <c:pt idx="0">
                  <c:v>Henkilöstö tilikauden lopussa</c:v>
                </c:pt>
              </c:strCache>
            </c:strRef>
          </c:tx>
          <c:spPr>
            <a:solidFill>
              <a:srgbClr val="0F334A"/>
            </a:solidFill>
            <a:ln w="6350">
              <a:solidFill>
                <a:srgbClr val="0F334A"/>
              </a:solidFill>
            </a:ln>
          </c:spPr>
          <c:invertIfNegative val="0"/>
          <c:dLbls>
            <c:numFmt formatCode="General" sourceLinked="1"/>
            <c:showLegendKey val="0"/>
            <c:showVal val="0"/>
            <c:showCatName val="0"/>
            <c:showSerName val="0"/>
            <c:showPercent val="0"/>
            <c:showBubbleSize val="0"/>
            <c:showLeaderLines val="0"/>
          </c:dLbls>
          <c:cat>
            <c:numRef>
              <c:f>Henkilöstö!$B$6:$B$10</c:f>
              <c:numCache>
                <c:formatCode>General</c:formatCode>
                <c:ptCount val="5"/>
                <c:pt idx="0">
                  <c:v>2017</c:v>
                </c:pt>
                <c:pt idx="1">
                  <c:v>2018</c:v>
                </c:pt>
                <c:pt idx="2">
                  <c:v>2019</c:v>
                </c:pt>
                <c:pt idx="3">
                  <c:v>2020</c:v>
                </c:pt>
                <c:pt idx="4">
                  <c:v>2021</c:v>
                </c:pt>
              </c:numCache>
            </c:numRef>
          </c:cat>
          <c:val>
            <c:numRef>
              <c:f>Henkilöstö!$E$6:$E$10</c:f>
              <c:numCache>
                <c:formatCode>#,##0</c:formatCode>
                <c:ptCount val="5"/>
                <c:pt idx="0">
                  <c:v>18065</c:v>
                </c:pt>
                <c:pt idx="1">
                  <c:v>19294</c:v>
                </c:pt>
                <c:pt idx="2">
                  <c:v>18795</c:v>
                </c:pt>
                <c:pt idx="3">
                  <c:v>17792</c:v>
                </c:pt>
                <c:pt idx="4">
                  <c:v>17305</c:v>
                </c:pt>
              </c:numCache>
            </c:numRef>
          </c:val>
          <c:extLst>
            <c:ext xmlns:c="http://schemas.openxmlformats.org/drawingml/2006/chart" xmlns:c16="http://schemas.microsoft.com/office/drawing/2014/chart" uri="{C3380CC4-5D6E-409C-BE32-E72D297353CC}">
              <c16:uniqueId val="{00000000-CB04-4FCD-92A7-7B32DA8313C3}"/>
            </c:ext>
          </c:extLst>
        </c:ser>
        <c:gapWidth val="500"/>
        <c:axId val="33644256"/>
        <c:axId val="67018490"/>
      </c:barChart>
      <c:lineChart>
        <c:grouping val="standard"/>
        <c:varyColors val="0"/>
        <c:ser>
          <c:idx val="1"/>
          <c:order val="1"/>
          <c:tx>
            <c:strRef>
              <c:f>Henkilöstö!$I$19</c:f>
              <c:strCache>
                <c:ptCount val="1"/>
                <c:pt idx="0">
                  <c:v>Henkilöstö keskimäärin</c:v>
                </c:pt>
              </c:strCache>
            </c:strRef>
          </c:tx>
          <c:spPr>
            <a:ln w="22225" cap="rnd">
              <a:solidFill>
                <a:schemeClr val="accent3"/>
              </a:solidFill>
              <a:round/>
            </a:ln>
          </c:spPr>
          <c:marker>
            <c:symbol val="none"/>
          </c:marker>
          <c:dLbls>
            <c:numFmt formatCode="General" sourceLinked="1"/>
            <c:showLegendKey val="0"/>
            <c:showVal val="0"/>
            <c:showCatName val="0"/>
            <c:showSerName val="0"/>
            <c:showPercent val="0"/>
            <c:showBubbleSize val="0"/>
            <c:showLeaderLines val="0"/>
          </c:dLbls>
          <c:cat>
            <c:numRef>
              <c:f>Henkilöstö!$B$6:$B$10</c:f>
              <c:numCache>
                <c:formatCode>General</c:formatCode>
                <c:ptCount val="5"/>
                <c:pt idx="0">
                  <c:v>2017</c:v>
                </c:pt>
                <c:pt idx="1">
                  <c:v>2018</c:v>
                </c:pt>
                <c:pt idx="2">
                  <c:v>2019</c:v>
                </c:pt>
                <c:pt idx="3">
                  <c:v>2020</c:v>
                </c:pt>
                <c:pt idx="4">
                  <c:v>2021</c:v>
                </c:pt>
              </c:numCache>
            </c:numRef>
          </c:cat>
          <c:val>
            <c:numRef>
              <c:f>Henkilöstö!$I$6:$I$10</c:f>
              <c:numCache>
                <c:formatCode>#,##0</c:formatCode>
                <c:ptCount val="5"/>
                <c:pt idx="0">
                  <c:v>17866</c:v>
                </c:pt>
                <c:pt idx="1">
                  <c:v>18899</c:v>
                </c:pt>
                <c:pt idx="2">
                  <c:v>19110</c:v>
                </c:pt>
                <c:pt idx="3">
                  <c:v>18307</c:v>
                </c:pt>
                <c:pt idx="4">
                  <c:v>17461</c:v>
                </c:pt>
              </c:numCache>
            </c:numRef>
          </c:val>
          <c:smooth val="0"/>
          <c:extLst>
            <c:ext xmlns:c="http://schemas.openxmlformats.org/drawingml/2006/chart" xmlns:c16="http://schemas.microsoft.com/office/drawing/2014/chart" uri="{C3380CC4-5D6E-409C-BE32-E72D297353CC}">
              <c16:uniqueId val="{00000001-CB04-4FCD-92A7-7B32DA8313C3}"/>
            </c:ext>
          </c:extLst>
        </c:ser>
        <c:ser>
          <c:idx val="2"/>
          <c:order val="2"/>
          <c:tx>
            <c:strRef>
              <c:f>Henkilöstö!$M$19</c:f>
              <c:strCache>
                <c:ptCount val="1"/>
                <c:pt idx="0">
                  <c:v>Henkilöstö Suomessa</c:v>
                </c:pt>
              </c:strCache>
            </c:strRef>
          </c:tx>
          <c:spPr>
            <a:ln w="22225" cap="rnd">
              <a:solidFill>
                <a:srgbClr val="FF7321"/>
              </a:solidFill>
              <a:round/>
            </a:ln>
          </c:spPr>
          <c:marker>
            <c:symbol val="none"/>
          </c:marker>
          <c:dLbls>
            <c:numFmt formatCode="General" sourceLinked="1"/>
            <c:showLegendKey val="0"/>
            <c:showVal val="0"/>
            <c:showCatName val="0"/>
            <c:showSerName val="0"/>
            <c:showPercent val="0"/>
            <c:showBubbleSize val="0"/>
            <c:showLeaderLines val="0"/>
          </c:dLbls>
          <c:cat>
            <c:numRef>
              <c:f>Henkilöstö!$B$6:$B$10</c:f>
              <c:numCache>
                <c:formatCode>General</c:formatCode>
                <c:ptCount val="5"/>
                <c:pt idx="0">
                  <c:v>2017</c:v>
                </c:pt>
                <c:pt idx="1">
                  <c:v>2018</c:v>
                </c:pt>
                <c:pt idx="2">
                  <c:v>2019</c:v>
                </c:pt>
                <c:pt idx="3">
                  <c:v>2020</c:v>
                </c:pt>
                <c:pt idx="4">
                  <c:v>2021</c:v>
                </c:pt>
              </c:numCache>
            </c:numRef>
          </c:cat>
          <c:val>
            <c:numRef>
              <c:f>Henkilöstö!$M$6:$M$10</c:f>
              <c:numCache>
                <c:formatCode>#,##0</c:formatCode>
                <c:ptCount val="5"/>
                <c:pt idx="0">
                  <c:v>3521</c:v>
                </c:pt>
                <c:pt idx="1">
                  <c:v>3766</c:v>
                </c:pt>
                <c:pt idx="2">
                  <c:v>3868</c:v>
                </c:pt>
                <c:pt idx="3">
                  <c:v>3706</c:v>
                </c:pt>
                <c:pt idx="4">
                  <c:v>3687</c:v>
                </c:pt>
              </c:numCache>
            </c:numRef>
          </c:val>
          <c:smooth val="0"/>
          <c:extLst>
            <c:ext xmlns:c="http://schemas.openxmlformats.org/drawingml/2006/chart" xmlns:c16="http://schemas.microsoft.com/office/drawing/2014/chart" uri="{C3380CC4-5D6E-409C-BE32-E72D297353CC}">
              <c16:uniqueId val="{00000003-CB04-4FCD-92A7-7B32DA8313C3}"/>
            </c:ext>
          </c:extLst>
        </c:ser>
        <c:marker val="1"/>
        <c:axId val="33644256"/>
        <c:axId val="67018490"/>
      </c:lineChart>
      <c:catAx>
        <c:axId val="33644256"/>
        <c:scaling>
          <c:orientation val="minMax"/>
        </c:scaling>
        <c:delete val="0"/>
        <c:axPos val="b"/>
        <c:numFmt formatCode="General" sourceLinked="1"/>
        <c:majorTickMark val="none"/>
        <c:minorTickMark val="none"/>
        <c:tickLblPos val="nextTo"/>
        <c:spPr>
          <a:noFill/>
          <a:ln w="9525">
            <a:solidFill>
              <a:schemeClr val="tx1">
                <a:lumMod val="15000"/>
                <a:lumOff val="85000"/>
              </a:schemeClr>
            </a:solidFill>
            <a:round/>
          </a:ln>
        </c:spPr>
        <c:txPr>
          <a:bodyPr/>
          <a:lstStyle/>
          <a:p>
            <a:pPr>
              <a:defRPr lang="en-US" sz="700" b="1" u="none" baseline="0">
                <a:solidFill>
                  <a:schemeClr val="tx1"/>
                </a:solidFill>
                <a:latin typeface="Arial"/>
                <a:ea typeface="Arial"/>
                <a:cs typeface="Arial"/>
              </a:defRPr>
            </a:pPr>
          </a:p>
        </c:txPr>
        <c:crossAx val="67018490"/>
        <c:crosses val="autoZero"/>
        <c:auto val="1"/>
        <c:lblOffset val="100"/>
        <c:noMultiLvlLbl val="0"/>
      </c:catAx>
      <c:valAx>
        <c:axId val="67018490"/>
        <c:scaling>
          <c:orientation val="minMax"/>
          <c:max val="20000"/>
        </c:scaling>
        <c:delete val="0"/>
        <c:axPos val="l"/>
        <c:majorGridlines>
          <c:spPr>
            <a:ln w="9525">
              <a:solidFill>
                <a:schemeClr val="tx1">
                  <a:lumMod val="15000"/>
                  <a:lumOff val="85000"/>
                </a:schemeClr>
              </a:solidFill>
              <a:round/>
            </a:ln>
          </c:spPr>
        </c:majorGridlines>
        <c:numFmt formatCode="#,##0" sourceLinked="0"/>
        <c:majorTickMark val="none"/>
        <c:minorTickMark val="none"/>
        <c:tickLblPos val="nextTo"/>
        <c:spPr>
          <a:noFill/>
          <a:ln w="6350">
            <a:noFill/>
          </a:ln>
        </c:spPr>
        <c:crossAx val="33644256"/>
        <c:crosses val="autoZero"/>
        <c:crossBetween val="between"/>
        <c:majorUnit val="5000"/>
      </c:valAx>
      <c:spPr>
        <a:noFill/>
        <a:ln w="25400">
          <a:noFill/>
        </a:ln>
      </c:spPr>
    </c:plotArea>
    <c:legend>
      <c:legendPos val="b"/>
      <c:layout>
        <c:manualLayout>
          <c:xMode val="edge"/>
          <c:yMode val="edge"/>
          <c:x val="0.097"/>
          <c:y val="0.84375"/>
          <c:w val="0.76925"/>
          <c:h val="0.1535"/>
        </c:manualLayout>
      </c:layout>
      <c:overlay val="0"/>
      <c:spPr>
        <a:noFill/>
        <a:ln w="6350">
          <a:noFill/>
        </a:ln>
      </c:spPr>
    </c:legend>
    <c:plotVisOnly val="1"/>
    <c:dispBlanksAs val="gap"/>
    <c:showDLblsOverMax val="0"/>
  </c:chart>
  <c:spPr>
    <a:solidFill>
      <a:schemeClr val="bg1"/>
    </a:solidFill>
    <a:ln w="9525">
      <a:solidFill>
        <a:schemeClr val="bg1"/>
      </a:solidFill>
      <a:round/>
    </a:ln>
  </c:spPr>
  <c:txPr>
    <a:bodyPr rot="0" vert="horz"/>
    <a:lstStyle/>
    <a:p>
      <a:pPr>
        <a:defRPr lang="en-US" sz="700" u="none" baseline="0">
          <a:solidFill>
            <a:schemeClr val="tx1"/>
          </a:solidFill>
          <a:latin typeface="Arial"/>
          <a:ea typeface="Arial"/>
          <a:cs typeface="Arial"/>
        </a:defRPr>
      </a:pPr>
    </a:p>
  </c:txPr>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
          <c:y val="0.14375"/>
          <c:w val="0.89"/>
          <c:h val="0.58825"/>
        </c:manualLayout>
      </c:layout>
      <c:barChart>
        <c:barDir val="col"/>
        <c:grouping val="stacked"/>
        <c:varyColors val="0"/>
        <c:ser>
          <c:idx val="0"/>
          <c:order val="0"/>
          <c:tx>
            <c:strRef>
              <c:f>Osinko!$E$21</c:f>
              <c:strCache>
                <c:ptCount val="1"/>
                <c:pt idx="0">
                  <c:v>Osinko per osake</c:v>
                </c:pt>
              </c:strCache>
            </c:strRef>
          </c:tx>
          <c:spPr>
            <a:solidFill>
              <a:srgbClr val="0F334A"/>
            </a:solidFill>
            <a:ln w="6350">
              <a:solidFill>
                <a:srgbClr val="0F334A"/>
              </a:solidFill>
            </a:ln>
          </c:spPr>
          <c:invertIfNegative val="0"/>
          <c:dLbls>
            <c:dLbl>
              <c:idx val="0"/>
              <c:layout>
                <c:manualLayout>
                  <c:x val="0"/>
                  <c:y val="-0.117"/>
                </c:manualLayout>
              </c:layout>
              <c:numFmt formatCode="General" sourceLinked="1"/>
              <c:spPr>
                <a:noFill/>
                <a:ln w="6350">
                  <a:noFill/>
                </a:ln>
              </c:spPr>
              <c:txPr>
                <a:bodyPr rot="0" vert="horz">
                  <a:spAutoFit/>
                </a:bodyPr>
                <a:lstStyle/>
                <a:p>
                  <a:pPr algn="ctr">
                    <a:defRPr lang="en-US" sz="600" u="none" baseline="0">
                      <a:solidFill>
                        <a:schemeClr val="tx1"/>
                      </a:solidFill>
                      <a:latin typeface="Arial"/>
                      <a:ea typeface="Arial"/>
                      <a:cs typeface="Arial"/>
                    </a:defRPr>
                  </a:pPr>
                </a:p>
              </c:txPr>
              <c:showLegendKey val="0"/>
              <c:showVal val="1"/>
              <c:showCatName val="0"/>
              <c:showSerName val="0"/>
              <c:showPercent val="0"/>
              <c:showBubbleSize val="0"/>
              <c:extLst>
                <c:ext xmlns:c15="http://schemas.microsoft.com/office/drawing/2012/chart" uri="{CE6537A1-D6FC-4f65-9D91-7224C49458BB}">
                  <c15:showDataLabelsRange val="0"/>
                </c:ext>
              </c:extLst>
            </c:dLbl>
            <c:dLbl>
              <c:idx val="1"/>
              <c:layout>
                <c:manualLayout>
                  <c:x val="0"/>
                  <c:y val="-0.116"/>
                </c:manualLayout>
              </c:layout>
              <c:numFmt formatCode="General" sourceLinked="1"/>
              <c:spPr>
                <a:noFill/>
                <a:ln w="6350">
                  <a:noFill/>
                </a:ln>
              </c:spPr>
              <c:txPr>
                <a:bodyPr rot="0" vert="horz">
                  <a:spAutoFit/>
                </a:bodyPr>
                <a:lstStyle/>
                <a:p>
                  <a:pPr algn="ctr">
                    <a:defRPr lang="en-US" sz="600" u="none" baseline="0">
                      <a:solidFill>
                        <a:schemeClr val="tx1"/>
                      </a:solidFill>
                      <a:latin typeface="Arial"/>
                      <a:ea typeface="Arial"/>
                      <a:cs typeface="Arial"/>
                    </a:defRPr>
                  </a:pPr>
                </a:p>
              </c:txPr>
              <c:showLegendKey val="0"/>
              <c:showVal val="1"/>
              <c:showCatName val="0"/>
              <c:showSerName val="0"/>
              <c:showPercent val="0"/>
              <c:showBubbleSize val="0"/>
              <c:extLst>
                <c:ext xmlns:c15="http://schemas.microsoft.com/office/drawing/2012/chart" uri="{CE6537A1-D6FC-4f65-9D91-7224C49458BB}">
                  <c15:showDataLabelsRange val="0"/>
                </c:ext>
              </c:extLst>
            </c:dLbl>
            <c:dLbl>
              <c:idx val="2"/>
              <c:layout>
                <c:manualLayout>
                  <c:x val="0"/>
                  <c:y val="-0.1225"/>
                </c:manualLayout>
              </c:layout>
              <c:numFmt formatCode="General" sourceLinked="1"/>
              <c:spPr>
                <a:noFill/>
                <a:ln w="6350">
                  <a:noFill/>
                </a:ln>
              </c:spPr>
              <c:txPr>
                <a:bodyPr rot="0" vert="horz">
                  <a:spAutoFit/>
                </a:bodyPr>
                <a:lstStyle/>
                <a:p>
                  <a:pPr algn="ctr">
                    <a:defRPr lang="en-US" sz="600" u="none" baseline="0">
                      <a:solidFill>
                        <a:schemeClr val="tx1"/>
                      </a:solidFill>
                      <a:latin typeface="Arial"/>
                      <a:ea typeface="Arial"/>
                      <a:cs typeface="Arial"/>
                    </a:defRPr>
                  </a:pPr>
                </a:p>
              </c:txPr>
              <c:showLegendKey val="0"/>
              <c:showVal val="1"/>
              <c:showCatName val="0"/>
              <c:showSerName val="0"/>
              <c:showPercent val="0"/>
              <c:showBubbleSize val="0"/>
              <c:extLst>
                <c:ext xmlns:c15="http://schemas.microsoft.com/office/drawing/2012/chart" uri="{CE6537A1-D6FC-4f65-9D91-7224C49458BB}">
                  <c15:showDataLabelsRange val="0"/>
                </c:ext>
              </c:extLst>
            </c:dLbl>
            <c:dLbl>
              <c:idx val="3"/>
              <c:layout>
                <c:manualLayout>
                  <c:x val="0"/>
                  <c:y val="-0.135"/>
                </c:manualLayout>
              </c:layout>
              <c:numFmt formatCode="General" sourceLinked="1"/>
              <c:spPr>
                <a:noFill/>
                <a:ln w="6350">
                  <a:noFill/>
                </a:ln>
              </c:spPr>
              <c:txPr>
                <a:bodyPr rot="0" vert="horz">
                  <a:spAutoFit/>
                </a:bodyPr>
                <a:lstStyle/>
                <a:p>
                  <a:pPr algn="ctr">
                    <a:defRPr lang="en-US" sz="600" u="none" baseline="0">
                      <a:solidFill>
                        <a:schemeClr val="tx1"/>
                      </a:solidFill>
                      <a:latin typeface="Arial"/>
                      <a:ea typeface="Arial"/>
                      <a:cs typeface="Arial"/>
                    </a:defRPr>
                  </a:pPr>
                </a:p>
              </c:txPr>
              <c:showLegendKey val="0"/>
              <c:showVal val="1"/>
              <c:showCatName val="0"/>
              <c:showSerName val="0"/>
              <c:showPercent val="0"/>
              <c:showBubbleSize val="0"/>
              <c:extLst>
                <c:ext xmlns:c15="http://schemas.microsoft.com/office/drawing/2012/chart" uri="{CE6537A1-D6FC-4f65-9D91-7224C49458BB}">
                  <c15:showDataLabelsRange val="0"/>
                </c:ext>
              </c:extLst>
            </c:dLbl>
            <c:dLbl>
              <c:idx val="4"/>
              <c:layout>
                <c:manualLayout>
                  <c:x val="0"/>
                  <c:y val="-0.1415"/>
                </c:manualLayout>
              </c:layout>
              <c:numFmt formatCode="General" sourceLinked="1"/>
              <c:spPr>
                <a:noFill/>
                <a:ln w="6350">
                  <a:noFill/>
                </a:ln>
              </c:spPr>
              <c:txPr>
                <a:bodyPr rot="0" vert="horz">
                  <a:spAutoFit/>
                </a:bodyPr>
                <a:lstStyle/>
                <a:p>
                  <a:pPr algn="ctr">
                    <a:defRPr lang="en-US" sz="600" u="none" baseline="0">
                      <a:solidFill>
                        <a:schemeClr val="tx1"/>
                      </a:solidFill>
                      <a:latin typeface="Arial"/>
                      <a:ea typeface="Arial"/>
                      <a:cs typeface="Arial"/>
                    </a:defRPr>
                  </a:pPr>
                </a:p>
              </c:txPr>
              <c:showLegendKey val="0"/>
              <c:showVal val="1"/>
              <c:showCatName val="0"/>
              <c:showSerName val="0"/>
              <c:showPercent val="0"/>
              <c:showBubbleSize val="0"/>
              <c:extLst>
                <c:ext xmlns:c15="http://schemas.microsoft.com/office/drawing/2012/chart" uri="{CE6537A1-D6FC-4f65-9D91-7224C49458BB}">
                  <c15:showDataLabelsRange val="0"/>
                </c:ext>
              </c:extLst>
            </c:dLbl>
            <c:dLbl>
              <c:idx val="5"/>
              <c:layout>
                <c:manualLayout>
                  <c:x val="0"/>
                  <c:y val="-0.14775"/>
                </c:manualLayout>
              </c:layout>
              <c:numFmt formatCode="General" sourceLinked="1"/>
              <c:spPr>
                <a:noFill/>
                <a:ln w="6350">
                  <a:noFill/>
                </a:ln>
              </c:spPr>
              <c:txPr>
                <a:bodyPr rot="0" vert="horz">
                  <a:spAutoFit/>
                </a:bodyPr>
                <a:lstStyle/>
                <a:p>
                  <a:pPr algn="ctr">
                    <a:defRPr lang="en-US" sz="600" u="none" baseline="0">
                      <a:solidFill>
                        <a:schemeClr val="tx1"/>
                      </a:solidFill>
                      <a:latin typeface="Arial"/>
                      <a:ea typeface="Arial"/>
                      <a:cs typeface="Arial"/>
                    </a:defRPr>
                  </a:pPr>
                </a:p>
              </c:txPr>
              <c:showLegendKey val="0"/>
              <c:showVal val="1"/>
              <c:showCatName val="0"/>
              <c:showSerName val="0"/>
              <c:showPercent val="0"/>
              <c:showBubbleSize val="0"/>
              <c:extLst>
                <c:ext xmlns:c15="http://schemas.microsoft.com/office/drawing/2012/chart" uri="{CE6537A1-D6FC-4f65-9D91-7224C49458BB}">
                  <c15:showDataLabelsRange val="0"/>
                </c:ext>
              </c:extLst>
            </c:dLbl>
            <c:dLbl>
              <c:idx val="6"/>
              <c:layout>
                <c:manualLayout>
                  <c:x val="0"/>
                  <c:y val="-0.15425"/>
                </c:manualLayout>
              </c:layout>
              <c:numFmt formatCode="General" sourceLinked="1"/>
              <c:spPr>
                <a:noFill/>
                <a:ln w="6350">
                  <a:noFill/>
                </a:ln>
              </c:spPr>
              <c:txPr>
                <a:bodyPr rot="0" vert="horz">
                  <a:spAutoFit/>
                </a:bodyPr>
                <a:lstStyle/>
                <a:p>
                  <a:pPr algn="ctr">
                    <a:defRPr lang="en-US" sz="600" u="none" baseline="0">
                      <a:solidFill>
                        <a:schemeClr val="tx1"/>
                      </a:solidFill>
                      <a:latin typeface="Arial"/>
                      <a:ea typeface="Arial"/>
                      <a:cs typeface="Arial"/>
                    </a:defRPr>
                  </a:pPr>
                </a:p>
              </c:txPr>
              <c:showLegendKey val="0"/>
              <c:showVal val="1"/>
              <c:showCatName val="0"/>
              <c:showSerName val="0"/>
              <c:showPercent val="0"/>
              <c:showBubbleSize val="0"/>
              <c:extLst>
                <c:ext xmlns:c15="http://schemas.microsoft.com/office/drawing/2012/chart" uri="{CE6537A1-D6FC-4f65-9D91-7224C49458BB}">
                  <c15:showDataLabelsRange val="0"/>
                </c:ext>
              </c:extLst>
            </c:dLbl>
            <c:dLbl>
              <c:idx val="7"/>
              <c:layout>
                <c:manualLayout>
                  <c:x val="0"/>
                  <c:y val="-0.154"/>
                </c:manualLayout>
              </c:layout>
              <c:numFmt formatCode="General" sourceLinked="1"/>
              <c:spPr>
                <a:noFill/>
                <a:ln w="6350">
                  <a:noFill/>
                </a:ln>
              </c:spPr>
              <c:txPr>
                <a:bodyPr rot="0" vert="horz">
                  <a:spAutoFit/>
                </a:bodyPr>
                <a:lstStyle/>
                <a:p>
                  <a:pPr algn="ctr">
                    <a:defRPr lang="en-US" sz="600" u="none" baseline="0">
                      <a:solidFill>
                        <a:schemeClr val="tx1"/>
                      </a:solidFill>
                      <a:latin typeface="Arial"/>
                      <a:ea typeface="Arial"/>
                      <a:cs typeface="Arial"/>
                    </a:defRPr>
                  </a:pPr>
                </a:p>
              </c:txPr>
              <c:showLegendKey val="0"/>
              <c:showVal val="1"/>
              <c:showCatName val="0"/>
              <c:showSerName val="0"/>
              <c:showPercent val="0"/>
              <c:showBubbleSize val="0"/>
              <c:extLst>
                <c:ext xmlns:c15="http://schemas.microsoft.com/office/drawing/2012/chart" uri="{CE6537A1-D6FC-4f65-9D91-7224C49458BB}">
                  <c15:showDataLabelsRange val="0"/>
                </c:ext>
              </c:extLst>
            </c:dLbl>
            <c:dLbl>
              <c:idx val="8"/>
              <c:layout>
                <c:manualLayout>
                  <c:x val="0"/>
                  <c:y val="-0.116"/>
                </c:manualLayout>
              </c:layout>
              <c:numFmt formatCode="General" sourceLinked="1"/>
              <c:spPr>
                <a:noFill/>
                <a:ln w="6350">
                  <a:noFill/>
                </a:ln>
              </c:spPr>
              <c:txPr>
                <a:bodyPr rot="0" vert="horz">
                  <a:spAutoFit/>
                </a:bodyPr>
                <a:lstStyle/>
                <a:p>
                  <a:pPr algn="ctr">
                    <a:defRPr lang="en-US" sz="600" u="none" baseline="0">
                      <a:solidFill>
                        <a:schemeClr val="tx1"/>
                      </a:solidFill>
                      <a:latin typeface="Arial"/>
                      <a:ea typeface="Arial"/>
                      <a:cs typeface="Arial"/>
                    </a:defRPr>
                  </a:pPr>
                </a:p>
              </c:txPr>
              <c:showLegendKey val="0"/>
              <c:showVal val="1"/>
              <c:showCatName val="0"/>
              <c:showSerName val="0"/>
              <c:showPercent val="0"/>
              <c:showBubbleSize val="0"/>
              <c:extLst>
                <c:ext xmlns:c15="http://schemas.microsoft.com/office/drawing/2012/chart" uri="{CE6537A1-D6FC-4f65-9D91-7224C49458BB}">
                  <c15:showDataLabelsRange val="0"/>
                </c:ext>
              </c:extLst>
            </c:dLbl>
            <c:dLbl>
              <c:idx val="9"/>
              <c:layout>
                <c:manualLayout>
                  <c:x val="0"/>
                  <c:y val="-0.0905"/>
                </c:manualLayout>
              </c:layout>
              <c:numFmt formatCode="General" sourceLinked="1"/>
              <c:spPr>
                <a:noFill/>
                <a:ln w="6350">
                  <a:noFill/>
                </a:ln>
              </c:spPr>
              <c:txPr>
                <a:bodyPr rot="0" vert="horz">
                  <a:spAutoFit/>
                </a:bodyPr>
                <a:lstStyle/>
                <a:p>
                  <a:pPr algn="ctr">
                    <a:defRPr lang="en-US" sz="600" u="none" baseline="0">
                      <a:solidFill>
                        <a:schemeClr val="tx1"/>
                      </a:solidFill>
                      <a:latin typeface="Arial"/>
                      <a:ea typeface="Arial"/>
                      <a:cs typeface="Arial"/>
                    </a:defRPr>
                  </a:pPr>
                </a:p>
              </c:txPr>
              <c:showLegendKey val="0"/>
              <c:showVal val="1"/>
              <c:showCatName val="0"/>
              <c:showSerName val="0"/>
              <c:showPercent val="0"/>
              <c:showBubbleSize val="0"/>
              <c:extLst>
                <c:ext xmlns:c15="http://schemas.microsoft.com/office/drawing/2012/chart" uri="{CE6537A1-D6FC-4f65-9D91-7224C49458BB}">
                  <c15:showDataLabelsRange val="0"/>
                </c:ext>
              </c:extLst>
            </c:dLbl>
            <c:numFmt formatCode="General" sourceLinked="1"/>
            <c:spPr>
              <a:noFill/>
              <a:ln w="6350">
                <a:noFill/>
              </a:ln>
            </c:spPr>
            <c:txPr>
              <a:bodyPr rot="0" vert="horz">
                <a:spAutoFit/>
              </a:bodyPr>
              <a:lstStyle/>
              <a:p>
                <a:pPr algn="ctr">
                  <a:defRPr lang="en-US" sz="600" u="none" baseline="0">
                    <a:solidFill>
                      <a:schemeClr val="tx1"/>
                    </a:solidFill>
                    <a:latin typeface="Arial"/>
                    <a:ea typeface="Arial"/>
                    <a:cs typeface="Arial"/>
                  </a:defRPr>
                </a:pPr>
              </a:p>
            </c:txPr>
            <c:showLegendKey val="0"/>
            <c:showVal val="1"/>
            <c:showCatName val="0"/>
            <c:showSerName val="0"/>
            <c:showPercent val="0"/>
            <c:showBubbleSize val="0"/>
            <c:showLeaderLines val="0"/>
            <c:extLst>
              <c:ext xmlns:c15="http://schemas.microsoft.com/office/drawing/2012/chart" uri="{CE6537A1-D6FC-4f65-9D91-7224C49458BB}"/>
            </c:extLst>
          </c:dLbls>
          <c:cat>
            <c:numRef>
              <c:f>Osinko!$B$6:$B$15</c:f>
              <c:numCache>
                <c:formatCode>General</c:formatCode>
                <c:ptCount val="10"/>
                <c:pt idx="0">
                  <c:v>12</c:v>
                </c:pt>
                <c:pt idx="1">
                  <c:v>13</c:v>
                </c:pt>
                <c:pt idx="2">
                  <c:v>14</c:v>
                </c:pt>
                <c:pt idx="3">
                  <c:v>15</c:v>
                </c:pt>
                <c:pt idx="4">
                  <c:v>16</c:v>
                </c:pt>
                <c:pt idx="5">
                  <c:v>17</c:v>
                </c:pt>
                <c:pt idx="6">
                  <c:v>18</c:v>
                </c:pt>
                <c:pt idx="7">
                  <c:v>19</c:v>
                </c:pt>
                <c:pt idx="8">
                  <c:v>20</c:v>
                </c:pt>
                <c:pt idx="9">
                  <c:v>21</c:v>
                </c:pt>
              </c:numCache>
            </c:numRef>
          </c:cat>
          <c:val>
            <c:numRef>
              <c:f>Osinko!$E$6:$E$15</c:f>
              <c:numCache>
                <c:formatCode>0.00</c:formatCode>
                <c:ptCount val="10"/>
                <c:pt idx="0">
                  <c:v>0.33</c:v>
                </c:pt>
                <c:pt idx="1">
                  <c:v>0.35</c:v>
                </c:pt>
                <c:pt idx="2">
                  <c:v>0.38</c:v>
                </c:pt>
                <c:pt idx="3">
                  <c:v>0.4</c:v>
                </c:pt>
                <c:pt idx="4">
                  <c:v>0.43</c:v>
                </c:pt>
                <c:pt idx="5">
                  <c:v>0.46</c:v>
                </c:pt>
                <c:pt idx="6">
                  <c:v>0.48</c:v>
                </c:pt>
                <c:pt idx="7">
                  <c:v>0.48</c:v>
                </c:pt>
                <c:pt idx="8">
                  <c:v>0.2</c:v>
                </c:pt>
                <c:pt idx="9">
                  <c:v>0.24</c:v>
                </c:pt>
              </c:numCache>
            </c:numRef>
          </c:val>
          <c:extLst>
            <c:ext xmlns:c="http://schemas.openxmlformats.org/drawingml/2006/chart" xmlns:c16="http://schemas.microsoft.com/office/drawing/2014/chart" uri="{C3380CC4-5D6E-409C-BE32-E72D297353CC}">
              <c16:uniqueId val="{00000000-7DDB-4AD4-BAC0-CD5EA958AE80}"/>
            </c:ext>
          </c:extLst>
        </c:ser>
        <c:gapWidth val="200"/>
        <c:overlap val="100"/>
        <c:axId val="36560662"/>
        <c:axId val="4055365"/>
        <c:extLst>
          <c:ext xmlns:c="http://schemas.openxmlformats.org/drawingml/2006/chart" xmlns:c15="http://schemas.microsoft.com/office/drawing/2012/chart" uri="{02D57815-91ED-43cb-92C2-25804820EDAC}">
            <c15:filteredBarSeries>
              <c15:ser>
                <c:idx val="1"/>
                <c:order val="1"/>
                <c:tx>
                  <c:strRef>
                    <c:extLst>
                      <c:ext uri="{02D57815-91ED-43cb-92C2-25804820EDAC}">
                        <c15:formulaRef>
                          <c15:sqref>Osinko!$G$21</c15:sqref>
                        </c15:formulaRef>
                      </c:ext>
                    </c:extLst>
                    <c:strCache>
                      <c:ptCount val="1"/>
                      <c:pt idx="0">
                        <c:v>Ylimääräinen osinko per osake</c:v>
                      </c:pt>
                    </c:strCache>
                  </c:strRef>
                </c:tx>
                <c:spPr>
                  <a:solidFill xmlns:a="http://schemas.openxmlformats.org/drawingml/2006/main">
                    <a:srgbClr val="CCCCCC"/>
                  </a:solidFill>
                  <a:ln xmlns:a="http://schemas.openxmlformats.org/drawingml/2006/main" cap="flat" cmpd="sng" w="0">
                    <a:solidFill>
                      <a:srgbClr val="CCCCCC"/>
                    </a:solidFill>
                  </a:ln>
                </c:spPr>
                <c:invertIfNegative val="0"/>
                <c:cat>
                  <c:numRef>
                    <c:extLst>
                      <c:ext uri="{02D57815-91ED-43cb-92C2-25804820EDAC}">
                        <c15:formulaRef>
                          <c15:sqref>Osinko!$B$6:$B$15</c15:sqref>
                        </c15:formulaRef>
                      </c:ext>
                    </c:extLst>
                    <c:numCache>
                      <c:formatCode>General</c:formatCode>
                      <c:ptCount val="10"/>
                      <c:pt idx="0">
                        <c:v>12</c:v>
                      </c:pt>
                      <c:pt idx="1">
                        <c:v>13</c:v>
                      </c:pt>
                      <c:pt idx="2">
                        <c:v>14</c:v>
                      </c:pt>
                      <c:pt idx="3">
                        <c:v>15</c:v>
                      </c:pt>
                      <c:pt idx="4">
                        <c:v>16</c:v>
                      </c:pt>
                      <c:pt idx="5">
                        <c:v>17</c:v>
                      </c:pt>
                      <c:pt idx="6">
                        <c:v>18</c:v>
                      </c:pt>
                      <c:pt idx="7">
                        <c:v>19</c:v>
                      </c:pt>
                      <c:pt idx="8">
                        <c:v>20</c:v>
                      </c:pt>
                      <c:pt idx="9">
                        <c:v>21</c:v>
                      </c:pt>
                    </c:numCache>
                  </c:numRef>
                </c:cat>
                <c:val>
                  <c:numRef>
                    <c:extLst>
                      <c:ext uri="{02D57815-91ED-43cb-92C2-25804820EDAC}">
                        <c15:formulaRef>
                          <c15:sqref>Osinko!$G$6:$G$15</c15:sqref>
                        </c15:formulaRef>
                      </c:ext>
                    </c:extLst>
                    <c:numCache>
                      <c:formatCode>General</c:formatCode>
                      <c:ptCount val="10"/>
                    </c:numCache>
                  </c:numRef>
                </c:val>
                <c:extLst>
                  <c:ext xmlns:c16="http://schemas.microsoft.com/office/drawing/2014/chart" uri="{C3380CC4-5D6E-409C-BE32-E72D297353CC}">
                    <c16:uniqueId val="{00000001-7DDB-4AD4-BAC0-CD5EA958AE80}"/>
                  </c:ext>
                </c:extLst>
              </c15:ser>
            </c15:filteredBarSeries>
          </c:ext>
        </c:extLst>
      </c:barChart>
      <c:lineChart>
        <c:grouping val="standard"/>
        <c:varyColors val="0"/>
        <c:ser>
          <c:idx val="2"/>
          <c:order val="1"/>
          <c:tx>
            <c:strRef>
              <c:f>Osinko!$J$21</c:f>
              <c:strCache>
                <c:ptCount val="1"/>
                <c:pt idx="0">
                  <c:v>Laimentamaton osakekohtainen tulos</c:v>
                </c:pt>
              </c:strCache>
            </c:strRef>
          </c:tx>
          <c:spPr>
            <a:ln w="22225" cap="rnd">
              <a:solidFill>
                <a:srgbClr val="FF7321"/>
              </a:solidFill>
              <a:round/>
            </a:ln>
          </c:spPr>
          <c:marker>
            <c:symbol val="none"/>
          </c:marker>
          <c:dLbls>
            <c:numFmt formatCode="General" sourceLinked="1"/>
            <c:showLegendKey val="0"/>
            <c:showVal val="0"/>
            <c:showCatName val="0"/>
            <c:showSerName val="0"/>
            <c:showPercent val="0"/>
            <c:showBubbleSize val="0"/>
            <c:showLeaderLines val="0"/>
          </c:dLbls>
          <c:cat>
            <c:numRef>
              <c:f>Osinko!$B$6:$B$15</c:f>
              <c:numCache>
                <c:formatCode>General</c:formatCode>
                <c:ptCount val="10"/>
                <c:pt idx="0">
                  <c:v>12</c:v>
                </c:pt>
                <c:pt idx="1">
                  <c:v>13</c:v>
                </c:pt>
                <c:pt idx="2">
                  <c:v>14</c:v>
                </c:pt>
                <c:pt idx="3">
                  <c:v>15</c:v>
                </c:pt>
                <c:pt idx="4">
                  <c:v>16</c:v>
                </c:pt>
                <c:pt idx="5">
                  <c:v>17</c:v>
                </c:pt>
                <c:pt idx="6">
                  <c:v>18</c:v>
                </c:pt>
                <c:pt idx="7">
                  <c:v>19</c:v>
                </c:pt>
                <c:pt idx="8">
                  <c:v>20</c:v>
                </c:pt>
                <c:pt idx="9">
                  <c:v>21</c:v>
                </c:pt>
              </c:numCache>
            </c:numRef>
          </c:cat>
          <c:val>
            <c:numRef>
              <c:f>Osinko!$J$6:$J$15</c:f>
              <c:numCache>
                <c:formatCode>General</c:formatCode>
                <c:ptCount val="10"/>
                <c:pt idx="0">
                  <c:v>0.57</c:v>
                </c:pt>
                <c:pt idx="1">
                  <c:v>0.66</c:v>
                </c:pt>
                <c:pt idx="2">
                  <c:v>0.59</c:v>
                </c:pt>
                <c:pt idx="3">
                  <c:v>0.75</c:v>
                </c:pt>
                <c:pt idx="4">
                  <c:v>0.6</c:v>
                </c:pt>
                <c:pt idx="5">
                  <c:v>0.63</c:v>
                </c:pt>
                <c:pt idx="6">
                  <c:v>0.65</c:v>
                </c:pt>
                <c:pt idx="7">
                  <c:v>0.37</c:v>
                </c:pt>
                <c:pt idx="8">
                  <c:v>0.23</c:v>
                </c:pt>
                <c:pt idx="9">
                  <c:v>0.34</c:v>
                </c:pt>
              </c:numCache>
            </c:numRef>
          </c:val>
          <c:smooth val="0"/>
          <c:extLst>
            <c:ext xmlns:c="http://schemas.openxmlformats.org/drawingml/2006/chart" xmlns:c16="http://schemas.microsoft.com/office/drawing/2014/chart" uri="{C3380CC4-5D6E-409C-BE32-E72D297353CC}">
              <c16:uniqueId val="{00000002-7DDB-4AD4-BAC0-CD5EA958AE80}"/>
            </c:ext>
          </c:extLst>
        </c:ser>
        <c:marker val="1"/>
        <c:axId val="36560662"/>
        <c:axId val="4055365"/>
      </c:lineChart>
      <c:catAx>
        <c:axId val="36560662"/>
        <c:scaling>
          <c:orientation val="minMax"/>
        </c:scaling>
        <c:delete val="0"/>
        <c:axPos val="b"/>
        <c:numFmt formatCode="General" sourceLinked="1"/>
        <c:majorTickMark val="none"/>
        <c:minorTickMark val="none"/>
        <c:tickLblPos val="nextTo"/>
        <c:spPr>
          <a:noFill/>
          <a:ln w="9525">
            <a:solidFill>
              <a:schemeClr val="tx1">
                <a:lumMod val="15000"/>
                <a:lumOff val="85000"/>
              </a:schemeClr>
            </a:solidFill>
            <a:round/>
          </a:ln>
        </c:spPr>
        <c:txPr>
          <a:bodyPr/>
          <a:lstStyle/>
          <a:p>
            <a:pPr>
              <a:defRPr lang="en-US" sz="700" b="1" u="none" baseline="0">
                <a:solidFill>
                  <a:schemeClr val="tx1"/>
                </a:solidFill>
                <a:latin typeface="Arial"/>
                <a:ea typeface="Arial"/>
                <a:cs typeface="Arial"/>
              </a:defRPr>
            </a:pPr>
          </a:p>
        </c:txPr>
        <c:crossAx val="4055365"/>
        <c:crosses val="autoZero"/>
        <c:auto val="1"/>
        <c:lblOffset val="100"/>
        <c:noMultiLvlLbl val="0"/>
      </c:catAx>
      <c:valAx>
        <c:axId val="4055365"/>
        <c:scaling>
          <c:orientation val="minMax"/>
          <c:max val="1"/>
        </c:scaling>
        <c:delete val="0"/>
        <c:axPos val="l"/>
        <c:majorGridlines>
          <c:spPr>
            <a:ln w="9525">
              <a:solidFill>
                <a:schemeClr val="tx1">
                  <a:lumMod val="15000"/>
                  <a:lumOff val="85000"/>
                </a:schemeClr>
              </a:solidFill>
              <a:round/>
            </a:ln>
          </c:spPr>
        </c:majorGridlines>
        <c:title>
          <c:tx>
            <c:rich>
              <a:bodyPr rot="0" vertOverflow="clip" vert="horz"/>
              <a:lstStyle/>
              <a:p>
                <a:pPr algn="ctr">
                  <a:defRPr/>
                </a:pPr>
                <a:r>
                  <a:rPr lang="en-US" u="none" baseline="0">
                    <a:solidFill>
                      <a:schemeClr val="tx1"/>
                    </a:solidFill>
                    <a:latin typeface="Arial"/>
                    <a:ea typeface="Arial"/>
                    <a:cs typeface="Arial"/>
                  </a:rPr>
                  <a:t>EUR</a:t>
                </a:r>
              </a:p>
            </c:rich>
          </c:tx>
          <c:layout>
            <c:manualLayout>
              <c:xMode val="edge"/>
              <c:yMode val="edge"/>
              <c:x val="0"/>
              <c:y val="0.00275"/>
            </c:manualLayout>
          </c:layout>
          <c:overlay val="0"/>
          <c:spPr>
            <a:noFill/>
            <a:ln w="6350">
              <a:noFill/>
            </a:ln>
          </c:spPr>
        </c:title>
        <c:numFmt formatCode="General" sourceLinked="1"/>
        <c:majorTickMark val="none"/>
        <c:minorTickMark val="none"/>
        <c:tickLblPos val="nextTo"/>
        <c:spPr>
          <a:noFill/>
          <a:ln w="6350">
            <a:noFill/>
          </a:ln>
        </c:spPr>
        <c:crossAx val="36560662"/>
        <c:crosses val="autoZero"/>
        <c:crossBetween val="between"/>
        <c:majorUnit val="0.25"/>
      </c:valAx>
      <c:spPr>
        <a:noFill/>
        <a:ln w="6350">
          <a:noFill/>
        </a:ln>
      </c:spPr>
    </c:plotArea>
    <c:legend>
      <c:legendPos val="b"/>
      <c:layout>
        <c:manualLayout>
          <c:xMode val="edge"/>
          <c:yMode val="edge"/>
          <c:x val="0.02775"/>
          <c:y val="0.86025"/>
          <c:w val="0.67725"/>
          <c:h val="0.1395"/>
        </c:manualLayout>
      </c:layout>
      <c:overlay val="0"/>
      <c:spPr>
        <a:noFill/>
        <a:ln w="6350">
          <a:noFill/>
        </a:ln>
      </c:spPr>
    </c:legend>
    <c:plotVisOnly val="1"/>
    <c:dispBlanksAs val="gap"/>
    <c:showDLblsOverMax val="0"/>
  </c:chart>
  <c:spPr>
    <a:solidFill>
      <a:schemeClr val="bg1"/>
    </a:solidFill>
    <a:ln w="9525">
      <a:solidFill>
        <a:schemeClr val="bg1"/>
      </a:solidFill>
      <a:round/>
    </a:ln>
  </c:spPr>
  <c:txPr>
    <a:bodyPr rot="0" vert="horz"/>
    <a:lstStyle/>
    <a:p>
      <a:pPr>
        <a:defRPr lang="en-US" sz="700" u="none" baseline="0">
          <a:solidFill>
            <a:schemeClr val="tx1"/>
          </a:solidFill>
          <a:latin typeface="Arial"/>
          <a:ea typeface="Arial"/>
          <a:cs typeface="Arial"/>
        </a:defRPr>
      </a:pPr>
    </a:p>
  </c:txPr>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E31F64-2268-453D-8B66-87A86C4E83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198</TotalTime>
  <Pages>97</Pages>
  <Words>33723</Words>
  <Characters>269575</Characters>
  <Application>Microsoft Office Word</Application>
  <DocSecurity>0</DocSecurity>
  <Lines>14</Lines>
  <Paragraphs>7698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295871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Rantala, Emilia</cp:lastModifiedBy>
  <cp:revision>104</cp:revision>
  <cp:lastPrinted>2020-10-21T07:41:00Z</cp:lastPrinted>
  <dcterms:created xsi:type="dcterms:W3CDTF">2018-10-29T15:56:00Z</dcterms:created>
  <dcterms:modified xsi:type="dcterms:W3CDTF">2022-01-26T06:16:00Z</dcterms:modified>
</cp:coreProperties>
</file>